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058" w:rsidRPr="00075058" w:rsidRDefault="00061010" w:rsidP="00075058">
      <w:pPr>
        <w:spacing w:after="120"/>
        <w:rPr>
          <w:rFonts w:cs="Arial"/>
          <w:b/>
          <w:i/>
          <w:szCs w:val="22"/>
          <w:lang w:eastAsia="fr-FR" w:bidi="fr-FR"/>
        </w:rPr>
      </w:pPr>
      <w:bookmarkStart w:id="0" w:name="_Toc339725213"/>
      <w:bookmarkStart w:id="1" w:name="_GoBack"/>
      <w:bookmarkEnd w:id="1"/>
      <w:r w:rsidRPr="00075058">
        <w:rPr>
          <w:rFonts w:cs="Arial"/>
          <w:b/>
          <w:i/>
          <w:noProof/>
          <w:szCs w:val="22"/>
          <w:lang w:eastAsia="fr-FR"/>
        </w:rPr>
        <w:drawing>
          <wp:anchor distT="0" distB="0" distL="114300" distR="114300" simplePos="0" relativeHeight="251702272" behindDoc="1" locked="0" layoutInCell="1" allowOverlap="1" wp14:anchorId="1340175A" wp14:editId="2A7D4D36">
            <wp:simplePos x="0" y="0"/>
            <wp:positionH relativeFrom="margin">
              <wp:posOffset>-635</wp:posOffset>
            </wp:positionH>
            <wp:positionV relativeFrom="paragraph">
              <wp:posOffset>0</wp:posOffset>
            </wp:positionV>
            <wp:extent cx="708025" cy="862039"/>
            <wp:effectExtent l="0" t="0" r="0" b="0"/>
            <wp:wrapThrough wrapText="bothSides">
              <wp:wrapPolygon edited="0">
                <wp:start x="0" y="0"/>
                <wp:lineTo x="0" y="21011"/>
                <wp:lineTo x="20922" y="21011"/>
                <wp:lineTo x="20922" y="0"/>
                <wp:lineTo x="0" y="0"/>
              </wp:wrapPolygon>
            </wp:wrapThrough>
            <wp:docPr id="1111" name="Image 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08025" cy="862039"/>
                    </a:xfrm>
                    <a:prstGeom prst="rect">
                      <a:avLst/>
                    </a:prstGeom>
                    <a:noFill/>
                    <a:ln>
                      <a:noFill/>
                    </a:ln>
                  </pic:spPr>
                </pic:pic>
              </a:graphicData>
            </a:graphic>
            <wp14:sizeRelV relativeFrom="margin">
              <wp14:pctHeight>0</wp14:pctHeight>
            </wp14:sizeRelV>
          </wp:anchor>
        </w:drawing>
      </w:r>
      <w:r w:rsidR="00CD43D0">
        <w:rPr>
          <w:rFonts w:cs="Arial"/>
          <w:b/>
          <w:i/>
          <w:noProof/>
          <w:szCs w:val="22"/>
          <w:lang w:eastAsia="fr-FR" w:bidi="fr-FR"/>
        </w:rPr>
        <w:drawing>
          <wp:anchor distT="0" distB="0" distL="114300" distR="114300" simplePos="0" relativeHeight="251756544" behindDoc="0" locked="0" layoutInCell="1" allowOverlap="1" wp14:editId="31F0375E">
            <wp:simplePos x="0" y="0"/>
            <wp:positionH relativeFrom="column">
              <wp:posOffset>5348605</wp:posOffset>
            </wp:positionH>
            <wp:positionV relativeFrom="paragraph">
              <wp:posOffset>0</wp:posOffset>
            </wp:positionV>
            <wp:extent cx="758825" cy="1112520"/>
            <wp:effectExtent l="0" t="0" r="3175" b="0"/>
            <wp:wrapSquare wrapText="left"/>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082">
        <w:rPr>
          <w:rFonts w:cs="Arial"/>
          <w:b/>
          <w:i/>
          <w:szCs w:val="22"/>
          <w:lang w:eastAsia="fr-FR" w:bidi="fr-FR"/>
        </w:rPr>
        <w:t xml:space="preserve">                                              </w:t>
      </w:r>
      <w:r w:rsidR="00F40E5F">
        <w:rPr>
          <w:rFonts w:cs="Arial"/>
          <w:b/>
          <w:i/>
          <w:szCs w:val="22"/>
          <w:lang w:eastAsia="fr-FR" w:bidi="fr-FR"/>
        </w:rPr>
        <w:t xml:space="preserve">     </w:t>
      </w:r>
      <w:r w:rsidR="00075058" w:rsidRPr="00075058">
        <w:rPr>
          <w:rFonts w:cs="Arial"/>
          <w:b/>
          <w:i/>
          <w:noProof/>
          <w:szCs w:val="22"/>
          <w:lang w:eastAsia="fr-FR"/>
        </w:rPr>
        <w:drawing>
          <wp:inline distT="0" distB="0" distL="0" distR="0" wp14:anchorId="368F31B2" wp14:editId="2E725454">
            <wp:extent cx="1104900" cy="628650"/>
            <wp:effectExtent l="0" t="0" r="0" b="0"/>
            <wp:docPr id="1109" name="Image 6" descr="ia_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a_senegal"/>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04900" cy="628650"/>
                    </a:xfrm>
                    <a:prstGeom prst="rect">
                      <a:avLst/>
                    </a:prstGeom>
                    <a:noFill/>
                    <a:ln>
                      <a:noFill/>
                    </a:ln>
                  </pic:spPr>
                </pic:pic>
              </a:graphicData>
            </a:graphic>
          </wp:inline>
        </w:drawing>
      </w:r>
    </w:p>
    <w:p w:rsidR="00075058" w:rsidRPr="00075058" w:rsidRDefault="00550082" w:rsidP="00075058">
      <w:pPr>
        <w:spacing w:after="120"/>
        <w:rPr>
          <w:rFonts w:cs="Arial"/>
          <w:b/>
          <w:i/>
          <w:szCs w:val="22"/>
          <w:lang w:eastAsia="fr-FR" w:bidi="fr-FR"/>
        </w:rPr>
      </w:pPr>
      <w:r>
        <w:rPr>
          <w:rFonts w:cs="Arial"/>
          <w:b/>
          <w:i/>
          <w:szCs w:val="22"/>
          <w:lang w:eastAsia="fr-FR" w:bidi="fr-FR"/>
        </w:rPr>
        <w:t xml:space="preserve">   </w:t>
      </w:r>
    </w:p>
    <w:p w:rsidR="00E22425" w:rsidRPr="00F42462" w:rsidRDefault="00E22425" w:rsidP="00061010">
      <w:pPr>
        <w:spacing w:after="120"/>
        <w:jc w:val="center"/>
        <w:rPr>
          <w:b/>
          <w:sz w:val="24"/>
          <w:lang w:eastAsia="fr-FR" w:bidi="fr-FR"/>
        </w:rPr>
      </w:pPr>
      <w:r w:rsidRPr="00F42462">
        <w:rPr>
          <w:b/>
          <w:sz w:val="24"/>
          <w:lang w:eastAsia="fr-FR" w:bidi="fr-FR"/>
        </w:rPr>
        <w:t>Pays : République du Sénégal</w:t>
      </w:r>
    </w:p>
    <w:p w:rsidR="00E22425" w:rsidRDefault="00E22425" w:rsidP="00AF2D0D">
      <w:pPr>
        <w:spacing w:after="120"/>
        <w:rPr>
          <w:color w:val="000000"/>
          <w:lang w:eastAsia="fr-FR" w:bidi="fr-FR"/>
        </w:rPr>
      </w:pPr>
      <w:r w:rsidRPr="00075058">
        <w:rPr>
          <w:b/>
          <w:lang w:eastAsia="fr-FR" w:bidi="fr-FR"/>
        </w:rPr>
        <w:t>Titre du projet</w:t>
      </w:r>
      <w:r>
        <w:rPr>
          <w:b/>
          <w:lang w:eastAsia="fr-FR" w:bidi="fr-FR"/>
        </w:rPr>
        <w:t> :</w:t>
      </w:r>
      <w:r w:rsidRPr="00075058">
        <w:rPr>
          <w:b/>
          <w:lang w:eastAsia="fr-FR" w:bidi="fr-FR"/>
        </w:rPr>
        <w:t xml:space="preserve"> </w:t>
      </w:r>
      <w:r w:rsidR="00B74CC8">
        <w:rPr>
          <w:color w:val="000000"/>
          <w:lang w:eastAsia="fr-FR" w:bidi="fr-FR"/>
        </w:rPr>
        <w:t>promotion</w:t>
      </w:r>
      <w:r w:rsidR="00B74CC8" w:rsidRPr="00BF5225">
        <w:rPr>
          <w:color w:val="000000"/>
          <w:lang w:eastAsia="fr-FR" w:bidi="fr-FR"/>
        </w:rPr>
        <w:t xml:space="preserve"> </w:t>
      </w:r>
      <w:r w:rsidR="00B74CC8">
        <w:rPr>
          <w:color w:val="000000"/>
          <w:lang w:eastAsia="fr-FR" w:bidi="fr-FR"/>
        </w:rPr>
        <w:t>d’une</w:t>
      </w:r>
      <w:r w:rsidR="00B74CC8" w:rsidRPr="00BF5225">
        <w:rPr>
          <w:color w:val="000000"/>
          <w:lang w:eastAsia="fr-FR" w:bidi="fr-FR"/>
        </w:rPr>
        <w:t xml:space="preserve"> </w:t>
      </w:r>
      <w:r w:rsidRPr="00BF5225">
        <w:rPr>
          <w:color w:val="000000"/>
          <w:lang w:eastAsia="fr-FR" w:bidi="fr-FR"/>
        </w:rPr>
        <w:t xml:space="preserve">finance novatrice et </w:t>
      </w:r>
      <w:r w:rsidR="002F0D8C">
        <w:rPr>
          <w:color w:val="000000"/>
          <w:lang w:eastAsia="fr-FR" w:bidi="fr-FR"/>
        </w:rPr>
        <w:t>d</w:t>
      </w:r>
      <w:r w:rsidRPr="00BF5225">
        <w:rPr>
          <w:color w:val="000000"/>
          <w:lang w:eastAsia="fr-FR" w:bidi="fr-FR"/>
        </w:rPr>
        <w:t xml:space="preserve">’adaptation communautaire dans les communes autour des réserves naturelles communautaires </w:t>
      </w:r>
      <w:r>
        <w:rPr>
          <w:color w:val="000000"/>
          <w:lang w:eastAsia="fr-FR" w:bidi="fr-FR"/>
        </w:rPr>
        <w:t>(Ferlo, Niokolo-</w:t>
      </w:r>
      <w:r w:rsidRPr="00075058">
        <w:rPr>
          <w:color w:val="000000"/>
          <w:lang w:eastAsia="fr-FR" w:bidi="fr-FR"/>
        </w:rPr>
        <w:t xml:space="preserve">Koba, </w:t>
      </w:r>
      <w:r>
        <w:rPr>
          <w:color w:val="000000"/>
          <w:lang w:eastAsia="fr-FR" w:bidi="fr-FR"/>
        </w:rPr>
        <w:t>bas delta du fleuve Sénégal et</w:t>
      </w:r>
      <w:r w:rsidRPr="00075058">
        <w:rPr>
          <w:color w:val="000000"/>
          <w:lang w:eastAsia="fr-FR" w:bidi="fr-FR"/>
        </w:rPr>
        <w:t xml:space="preserve"> </w:t>
      </w:r>
      <w:r>
        <w:rPr>
          <w:color w:val="000000"/>
          <w:lang w:eastAsia="fr-FR" w:bidi="fr-FR"/>
        </w:rPr>
        <w:t>delta du Saloum</w:t>
      </w:r>
      <w:r w:rsidRPr="00075058">
        <w:rPr>
          <w:color w:val="000000"/>
          <w:lang w:eastAsia="fr-FR" w:bidi="fr-FR"/>
        </w:rPr>
        <w:t>)</w:t>
      </w:r>
    </w:p>
    <w:p w:rsidR="009222EC" w:rsidRDefault="005A25B5" w:rsidP="009B3C60">
      <w:pPr>
        <w:spacing w:after="120"/>
        <w:rPr>
          <w:b/>
          <w:color w:val="000000"/>
          <w:lang w:eastAsia="fr-FR" w:bidi="fr-FR"/>
        </w:rPr>
      </w:pPr>
      <w:r w:rsidRPr="009B3C60">
        <w:rPr>
          <w:b/>
          <w:color w:val="000000"/>
          <w:lang w:eastAsia="fr-FR" w:bidi="fr-FR"/>
        </w:rPr>
        <w:t xml:space="preserve">Axes </w:t>
      </w:r>
      <w:r w:rsidR="00F67950" w:rsidRPr="009B3C60">
        <w:rPr>
          <w:b/>
          <w:color w:val="000000"/>
          <w:lang w:eastAsia="fr-FR" w:bidi="fr-FR"/>
        </w:rPr>
        <w:t xml:space="preserve">stratégiques du </w:t>
      </w:r>
      <w:r w:rsidRPr="009B3C60">
        <w:rPr>
          <w:b/>
          <w:color w:val="000000"/>
          <w:lang w:eastAsia="fr-FR" w:bidi="fr-FR"/>
        </w:rPr>
        <w:t>PSE :</w:t>
      </w:r>
    </w:p>
    <w:p w:rsidR="005A25B5" w:rsidRDefault="00900150" w:rsidP="002C6446">
      <w:pPr>
        <w:spacing w:after="0"/>
        <w:rPr>
          <w:color w:val="000000"/>
          <w:lang w:eastAsia="fr-FR" w:bidi="fr-FR"/>
        </w:rPr>
      </w:pPr>
      <w:r w:rsidRPr="00C458A8">
        <w:rPr>
          <w:b/>
          <w:color w:val="000000"/>
          <w:lang w:eastAsia="fr-FR" w:bidi="fr-FR"/>
        </w:rPr>
        <w:t>Axe 1</w:t>
      </w:r>
      <w:r w:rsidR="00157C96">
        <w:rPr>
          <w:b/>
          <w:color w:val="000000"/>
          <w:lang w:eastAsia="fr-FR" w:bidi="fr-FR"/>
        </w:rPr>
        <w:t xml:space="preserve"> </w:t>
      </w:r>
      <w:r w:rsidRPr="009B3C60">
        <w:rPr>
          <w:color w:val="000000"/>
          <w:lang w:eastAsia="fr-FR" w:bidi="fr-FR"/>
        </w:rPr>
        <w:t>: Transformation structurelle de l’économie et croissance</w:t>
      </w:r>
      <w:r>
        <w:rPr>
          <w:color w:val="000000"/>
          <w:lang w:eastAsia="fr-FR" w:bidi="fr-FR"/>
        </w:rPr>
        <w:t xml:space="preserve"> </w:t>
      </w:r>
      <w:r w:rsidRPr="009B3C60">
        <w:rPr>
          <w:i/>
          <w:color w:val="000000"/>
          <w:lang w:eastAsia="fr-FR" w:bidi="fr-FR"/>
        </w:rPr>
        <w:t>« Agriculture, élevage, pêche et aquaculture, agroalimentaire ; Économie sociale et solidaire</w:t>
      </w:r>
      <w:r w:rsidR="00F67950">
        <w:rPr>
          <w:color w:val="000000"/>
          <w:lang w:eastAsia="fr-FR" w:bidi="fr-FR"/>
        </w:rPr>
        <w:t> »</w:t>
      </w:r>
    </w:p>
    <w:p w:rsidR="005A25B5" w:rsidRDefault="00900150" w:rsidP="002C6446">
      <w:pPr>
        <w:spacing w:after="0"/>
        <w:rPr>
          <w:color w:val="000000"/>
          <w:lang w:eastAsia="fr-FR" w:bidi="fr-FR"/>
        </w:rPr>
      </w:pPr>
      <w:r w:rsidRPr="00C458A8">
        <w:rPr>
          <w:b/>
          <w:color w:val="000000"/>
          <w:lang w:eastAsia="fr-FR" w:bidi="fr-FR"/>
        </w:rPr>
        <w:t>Axe 2</w:t>
      </w:r>
      <w:r w:rsidR="00157C96">
        <w:rPr>
          <w:b/>
          <w:color w:val="000000"/>
          <w:lang w:eastAsia="fr-FR" w:bidi="fr-FR"/>
        </w:rPr>
        <w:t xml:space="preserve"> </w:t>
      </w:r>
      <w:r w:rsidRPr="00900150">
        <w:rPr>
          <w:color w:val="000000"/>
          <w:lang w:eastAsia="fr-FR" w:bidi="fr-FR"/>
        </w:rPr>
        <w:t xml:space="preserve">: Capital humain, Protection sociale et Développement </w:t>
      </w:r>
      <w:r w:rsidR="00157C96" w:rsidRPr="00900150">
        <w:rPr>
          <w:color w:val="000000"/>
          <w:lang w:eastAsia="fr-FR" w:bidi="fr-FR"/>
        </w:rPr>
        <w:t>durabl</w:t>
      </w:r>
      <w:r w:rsidR="00157C96">
        <w:rPr>
          <w:color w:val="000000"/>
          <w:lang w:eastAsia="fr-FR" w:bidi="fr-FR"/>
        </w:rPr>
        <w:t>e «</w:t>
      </w:r>
      <w:r w:rsidRPr="009B3C60">
        <w:rPr>
          <w:i/>
          <w:color w:val="000000"/>
          <w:lang w:eastAsia="fr-FR" w:bidi="fr-FR"/>
        </w:rPr>
        <w:t> Population et développement humain durable ; Protection sociale ; Habitat et cadre de vie</w:t>
      </w:r>
      <w:r w:rsidR="00F67950" w:rsidRPr="009B3C60">
        <w:rPr>
          <w:i/>
          <w:color w:val="000000"/>
          <w:lang w:eastAsia="fr-FR" w:bidi="fr-FR"/>
        </w:rPr>
        <w:t> ; Environnement et Développement durable »</w:t>
      </w:r>
    </w:p>
    <w:p w:rsidR="00F67950" w:rsidRPr="009B3C60" w:rsidRDefault="00F67950" w:rsidP="002C6446">
      <w:pPr>
        <w:spacing w:after="0"/>
        <w:rPr>
          <w:color w:val="000000"/>
          <w:lang w:eastAsia="fr-FR" w:bidi="fr-FR"/>
        </w:rPr>
      </w:pPr>
      <w:r w:rsidRPr="00C458A8">
        <w:rPr>
          <w:b/>
          <w:color w:val="000000"/>
          <w:lang w:eastAsia="fr-FR" w:bidi="fr-FR"/>
        </w:rPr>
        <w:t>Axe 3</w:t>
      </w:r>
      <w:r w:rsidR="00157C96">
        <w:rPr>
          <w:b/>
          <w:color w:val="000000"/>
          <w:lang w:eastAsia="fr-FR" w:bidi="fr-FR"/>
        </w:rPr>
        <w:t xml:space="preserve"> </w:t>
      </w:r>
      <w:r w:rsidRPr="00F67950">
        <w:rPr>
          <w:color w:val="000000"/>
          <w:lang w:eastAsia="fr-FR" w:bidi="fr-FR"/>
        </w:rPr>
        <w:t>: Gouvernance, Institutions, Paix et Sécurité</w:t>
      </w:r>
      <w:r w:rsidR="00157C96">
        <w:rPr>
          <w:color w:val="000000"/>
          <w:lang w:eastAsia="fr-FR" w:bidi="fr-FR"/>
        </w:rPr>
        <w:t xml:space="preserve"> </w:t>
      </w:r>
      <w:r w:rsidR="00157C96" w:rsidRPr="009B3C60">
        <w:rPr>
          <w:i/>
          <w:color w:val="000000"/>
          <w:lang w:eastAsia="fr-FR" w:bidi="fr-FR"/>
        </w:rPr>
        <w:t>« Promotion</w:t>
      </w:r>
      <w:r w:rsidRPr="009B3C60">
        <w:rPr>
          <w:i/>
          <w:color w:val="000000"/>
          <w:lang w:eastAsia="fr-FR" w:bidi="fr-FR"/>
        </w:rPr>
        <w:t xml:space="preserve"> de l’équité et de l’égalité de genre ; Aménagement du territoire, développement local et territorialisation »</w:t>
      </w:r>
      <w:r w:rsidR="002C6446">
        <w:rPr>
          <w:i/>
          <w:color w:val="000000"/>
          <w:lang w:eastAsia="fr-FR" w:bidi="fr-FR"/>
        </w:rPr>
        <w:t>.</w:t>
      </w:r>
      <w:r>
        <w:rPr>
          <w:color w:val="000000"/>
          <w:lang w:eastAsia="fr-FR" w:bidi="fr-FR"/>
        </w:rPr>
        <w:t> </w:t>
      </w:r>
    </w:p>
    <w:p w:rsidR="00234FC0" w:rsidRPr="009B3C60" w:rsidRDefault="00F67950" w:rsidP="009B3C60">
      <w:pPr>
        <w:spacing w:after="120"/>
        <w:rPr>
          <w:b/>
          <w:color w:val="000000"/>
          <w:lang w:eastAsia="fr-FR" w:bidi="fr-FR"/>
        </w:rPr>
      </w:pPr>
      <w:r w:rsidRPr="009B3C60">
        <w:rPr>
          <w:b/>
          <w:color w:val="000000"/>
          <w:lang w:eastAsia="fr-FR" w:bidi="fr-FR"/>
        </w:rPr>
        <w:t xml:space="preserve">Axes stratégiques </w:t>
      </w:r>
      <w:r w:rsidR="00172459" w:rsidRPr="009B3C60">
        <w:rPr>
          <w:b/>
          <w:color w:val="000000"/>
          <w:lang w:eastAsia="fr-FR" w:bidi="fr-FR"/>
        </w:rPr>
        <w:t>LP</w:t>
      </w:r>
      <w:r w:rsidR="002D1439">
        <w:rPr>
          <w:b/>
          <w:color w:val="000000"/>
          <w:lang w:eastAsia="fr-FR" w:bidi="fr-FR"/>
        </w:rPr>
        <w:t>SE</w:t>
      </w:r>
      <w:r w:rsidR="00172459" w:rsidRPr="009B3C60">
        <w:rPr>
          <w:b/>
          <w:color w:val="000000"/>
          <w:lang w:eastAsia="fr-FR" w:bidi="fr-FR"/>
        </w:rPr>
        <w:t>D</w:t>
      </w:r>
      <w:r w:rsidR="002D1439">
        <w:rPr>
          <w:b/>
          <w:color w:val="000000"/>
          <w:lang w:eastAsia="fr-FR" w:bidi="fr-FR"/>
        </w:rPr>
        <w:t>D/M</w:t>
      </w:r>
      <w:r w:rsidR="00172459" w:rsidRPr="009B3C60">
        <w:rPr>
          <w:b/>
          <w:color w:val="000000"/>
          <w:lang w:eastAsia="fr-FR" w:bidi="fr-FR"/>
        </w:rPr>
        <w:t>EDD</w:t>
      </w:r>
      <w:r w:rsidR="00157C96">
        <w:rPr>
          <w:b/>
          <w:color w:val="000000"/>
          <w:lang w:eastAsia="fr-FR" w:bidi="fr-FR"/>
        </w:rPr>
        <w:t xml:space="preserve"> </w:t>
      </w:r>
      <w:r w:rsidR="005A25B5" w:rsidRPr="009B3C60">
        <w:rPr>
          <w:b/>
          <w:color w:val="000000"/>
          <w:lang w:eastAsia="fr-FR" w:bidi="fr-FR"/>
        </w:rPr>
        <w:t>:</w:t>
      </w:r>
      <w:r w:rsidR="00172459" w:rsidRPr="009B3C60">
        <w:rPr>
          <w:b/>
          <w:color w:val="000000"/>
          <w:lang w:eastAsia="fr-FR" w:bidi="fr-FR"/>
        </w:rPr>
        <w:t xml:space="preserve"> </w:t>
      </w:r>
    </w:p>
    <w:p w:rsidR="005A25B5" w:rsidRDefault="002D1439" w:rsidP="002C6446">
      <w:pPr>
        <w:spacing w:after="0"/>
        <w:rPr>
          <w:color w:val="000000"/>
          <w:lang w:eastAsia="fr-FR" w:bidi="fr-FR"/>
        </w:rPr>
      </w:pPr>
      <w:r w:rsidRPr="00C458A8">
        <w:rPr>
          <w:b/>
          <w:color w:val="000000"/>
          <w:lang w:eastAsia="fr-FR" w:bidi="fr-FR"/>
        </w:rPr>
        <w:t>Axe 1</w:t>
      </w:r>
      <w:r>
        <w:rPr>
          <w:b/>
          <w:color w:val="000000"/>
          <w:lang w:eastAsia="fr-FR" w:bidi="fr-FR"/>
        </w:rPr>
        <w:t xml:space="preserve"> : </w:t>
      </w:r>
      <w:r w:rsidR="00234FC0" w:rsidRPr="00234FC0">
        <w:rPr>
          <w:color w:val="000000"/>
          <w:lang w:eastAsia="fr-FR" w:bidi="fr-FR"/>
        </w:rPr>
        <w:t>Gestion de l’Environnement et des ressources naturelles</w:t>
      </w:r>
      <w:r>
        <w:rPr>
          <w:color w:val="000000"/>
          <w:lang w:eastAsia="fr-FR" w:bidi="fr-FR"/>
        </w:rPr>
        <w:t xml:space="preserve"> : OS1 </w:t>
      </w:r>
      <w:r w:rsidR="00234FC0">
        <w:rPr>
          <w:color w:val="000000"/>
          <w:lang w:eastAsia="fr-FR" w:bidi="fr-FR"/>
        </w:rPr>
        <w:t>« </w:t>
      </w:r>
      <w:r w:rsidR="00234FC0" w:rsidRPr="00172459">
        <w:rPr>
          <w:color w:val="000000"/>
          <w:lang w:eastAsia="fr-FR" w:bidi="fr-FR"/>
        </w:rPr>
        <w:t>Réduir</w:t>
      </w:r>
      <w:r w:rsidR="00234FC0">
        <w:rPr>
          <w:color w:val="000000"/>
          <w:lang w:eastAsia="fr-FR" w:bidi="fr-FR"/>
        </w:rPr>
        <w:t>e la dégradation de l’environne</w:t>
      </w:r>
      <w:r w:rsidR="00234FC0" w:rsidRPr="00172459">
        <w:rPr>
          <w:color w:val="000000"/>
          <w:lang w:eastAsia="fr-FR" w:bidi="fr-FR"/>
        </w:rPr>
        <w:t>ment et des ressources naturelles, les effets néfastes du</w:t>
      </w:r>
      <w:r w:rsidR="00234FC0">
        <w:rPr>
          <w:color w:val="000000"/>
          <w:lang w:eastAsia="fr-FR" w:bidi="fr-FR"/>
        </w:rPr>
        <w:t xml:space="preserve"> changement climatique et la pe</w:t>
      </w:r>
      <w:r w:rsidR="00234FC0" w:rsidRPr="00172459">
        <w:rPr>
          <w:color w:val="000000"/>
          <w:lang w:eastAsia="fr-FR" w:bidi="fr-FR"/>
        </w:rPr>
        <w:t>rte de biodiversité</w:t>
      </w:r>
      <w:r w:rsidR="00157C96">
        <w:rPr>
          <w:color w:val="000000"/>
          <w:lang w:eastAsia="fr-FR" w:bidi="fr-FR"/>
        </w:rPr>
        <w:t xml:space="preserve"> </w:t>
      </w:r>
      <w:r w:rsidR="00234FC0">
        <w:rPr>
          <w:color w:val="000000"/>
          <w:lang w:eastAsia="fr-FR" w:bidi="fr-FR"/>
        </w:rPr>
        <w:t>»</w:t>
      </w:r>
    </w:p>
    <w:p w:rsidR="000506C6" w:rsidRDefault="002D1439" w:rsidP="002C6446">
      <w:pPr>
        <w:spacing w:after="0"/>
        <w:jc w:val="left"/>
        <w:rPr>
          <w:color w:val="000000"/>
          <w:lang w:eastAsia="fr-FR" w:bidi="fr-FR"/>
        </w:rPr>
      </w:pPr>
      <w:r w:rsidRPr="00C458A8">
        <w:rPr>
          <w:b/>
          <w:color w:val="000000"/>
          <w:lang w:eastAsia="fr-FR" w:bidi="fr-FR"/>
        </w:rPr>
        <w:t>Axe 2</w:t>
      </w:r>
      <w:r>
        <w:rPr>
          <w:b/>
          <w:color w:val="000000"/>
          <w:lang w:eastAsia="fr-FR" w:bidi="fr-FR"/>
        </w:rPr>
        <w:t xml:space="preserve"> : </w:t>
      </w:r>
      <w:r w:rsidR="00234FC0">
        <w:rPr>
          <w:color w:val="000000"/>
          <w:lang w:eastAsia="fr-FR" w:bidi="fr-FR"/>
        </w:rPr>
        <w:t>Promotion du développe</w:t>
      </w:r>
      <w:r w:rsidR="00234FC0" w:rsidRPr="00234FC0">
        <w:rPr>
          <w:color w:val="000000"/>
          <w:lang w:eastAsia="fr-FR" w:bidi="fr-FR"/>
        </w:rPr>
        <w:t>ment durable</w:t>
      </w:r>
      <w:r w:rsidR="00234FC0">
        <w:rPr>
          <w:color w:val="000000"/>
          <w:lang w:eastAsia="fr-FR" w:bidi="fr-FR"/>
        </w:rPr>
        <w:t xml:space="preserve"> : </w:t>
      </w:r>
      <w:r w:rsidR="00C458A8">
        <w:rPr>
          <w:color w:val="000000"/>
          <w:lang w:eastAsia="fr-FR" w:bidi="fr-FR"/>
        </w:rPr>
        <w:t>OS</w:t>
      </w:r>
      <w:r>
        <w:rPr>
          <w:color w:val="000000"/>
          <w:lang w:eastAsia="fr-FR" w:bidi="fr-FR"/>
        </w:rPr>
        <w:t>2</w:t>
      </w:r>
      <w:r w:rsidR="00C458A8">
        <w:rPr>
          <w:color w:val="000000"/>
          <w:lang w:eastAsia="fr-FR" w:bidi="fr-FR"/>
        </w:rPr>
        <w:t> «</w:t>
      </w:r>
      <w:r w:rsidR="00234FC0">
        <w:rPr>
          <w:color w:val="000000"/>
          <w:lang w:eastAsia="fr-FR" w:bidi="fr-FR"/>
        </w:rPr>
        <w:t> </w:t>
      </w:r>
      <w:r w:rsidR="00234FC0" w:rsidRPr="00C24F6D">
        <w:rPr>
          <w:color w:val="000000"/>
          <w:lang w:eastAsia="fr-FR" w:bidi="fr-FR"/>
        </w:rPr>
        <w:t>Inté</w:t>
      </w:r>
      <w:r w:rsidR="00234FC0">
        <w:rPr>
          <w:color w:val="000000"/>
          <w:lang w:eastAsia="fr-FR" w:bidi="fr-FR"/>
        </w:rPr>
        <w:t>grer les principes du développe</w:t>
      </w:r>
      <w:r w:rsidR="00234FC0" w:rsidRPr="00C24F6D">
        <w:rPr>
          <w:color w:val="000000"/>
          <w:lang w:eastAsia="fr-FR" w:bidi="fr-FR"/>
        </w:rPr>
        <w:t>ment durable dans les politiques publiques, la gestion du cadre de vie, la promotion de moyens d’existences, la résilience des groupes vulnérables et les modes de production et de consommation</w:t>
      </w:r>
      <w:r w:rsidR="00234FC0">
        <w:rPr>
          <w:color w:val="000000"/>
          <w:lang w:eastAsia="fr-FR" w:bidi="fr-FR"/>
        </w:rPr>
        <w:t> »</w:t>
      </w:r>
      <w:r w:rsidR="002C6446">
        <w:rPr>
          <w:color w:val="000000"/>
          <w:lang w:eastAsia="fr-FR" w:bidi="fr-FR"/>
        </w:rPr>
        <w:t>.</w:t>
      </w:r>
    </w:p>
    <w:p w:rsidR="002C6446" w:rsidRPr="000506C6" w:rsidRDefault="002C6446" w:rsidP="00E22425">
      <w:pPr>
        <w:spacing w:after="0"/>
        <w:jc w:val="left"/>
        <w:rPr>
          <w:color w:val="000000"/>
          <w:lang w:eastAsia="fr-FR" w:bidi="fr-FR"/>
        </w:rPr>
      </w:pPr>
    </w:p>
    <w:p w:rsidR="002C6446" w:rsidRDefault="002C6446" w:rsidP="002C6446">
      <w:pPr>
        <w:spacing w:after="0"/>
        <w:jc w:val="left"/>
        <w:rPr>
          <w:rStyle w:val="fontstyle01"/>
        </w:rPr>
      </w:pPr>
      <w:r>
        <w:rPr>
          <w:rStyle w:val="fontstyle01"/>
        </w:rPr>
        <w:t>Résultat(s) du PNUAD</w:t>
      </w:r>
    </w:p>
    <w:p w:rsidR="002C6446" w:rsidRPr="002C6446" w:rsidRDefault="002C6446" w:rsidP="002C6446">
      <w:pPr>
        <w:spacing w:after="0"/>
        <w:jc w:val="left"/>
        <w:rPr>
          <w:lang w:eastAsia="fr-FR" w:bidi="fr-FR"/>
        </w:rPr>
      </w:pPr>
      <w:r>
        <w:rPr>
          <w:rStyle w:val="fontstyle01"/>
        </w:rPr>
        <w:t xml:space="preserve">Résultat 7 : </w:t>
      </w:r>
      <w:r w:rsidRPr="00157C96">
        <w:rPr>
          <w:lang w:eastAsia="fr-FR" w:bidi="fr-FR"/>
        </w:rPr>
        <w:t>les initiatives d'adaptation aux changements climatiques favorisent l'accès aux besoins fondamentaux ainsi qu'aux moyens de subsistance durables.</w:t>
      </w:r>
    </w:p>
    <w:p w:rsidR="002C6446" w:rsidRPr="002C6446" w:rsidRDefault="002C6446" w:rsidP="002C6446">
      <w:pPr>
        <w:spacing w:after="120"/>
        <w:rPr>
          <w:rStyle w:val="fontstyle01"/>
          <w:b w:val="0"/>
          <w:bCs w:val="0"/>
          <w:color w:val="auto"/>
          <w:szCs w:val="24"/>
          <w:lang w:eastAsia="fr-FR" w:bidi="fr-FR"/>
        </w:rPr>
      </w:pPr>
      <w:r w:rsidRPr="00157C96">
        <w:rPr>
          <w:b/>
          <w:lang w:eastAsia="fr-FR" w:bidi="fr-FR"/>
        </w:rPr>
        <w:t>Résultat 8</w:t>
      </w:r>
      <w:r w:rsidRPr="00157C96">
        <w:rPr>
          <w:lang w:eastAsia="fr-FR" w:bidi="fr-FR"/>
        </w:rPr>
        <w:t xml:space="preserve"> : les institutions nationales et locales sont capables de promouvoir la gouvernance des politiques et des programmes en adoptant une approche participative, transparente et juste.</w:t>
      </w:r>
    </w:p>
    <w:p w:rsidR="000506C6" w:rsidRDefault="000506C6" w:rsidP="00E22425">
      <w:pPr>
        <w:spacing w:after="0"/>
        <w:jc w:val="left"/>
      </w:pPr>
      <w:r>
        <w:rPr>
          <w:rStyle w:val="fontstyle01"/>
        </w:rPr>
        <w:t>Axe Principal du Plan Stratégique du PNUD</w:t>
      </w:r>
      <w:r w:rsidR="002C6446">
        <w:rPr>
          <w:rStyle w:val="fontstyle01"/>
        </w:rPr>
        <w:t xml:space="preserve"> </w:t>
      </w:r>
      <w:r>
        <w:rPr>
          <w:rStyle w:val="fontstyle21"/>
        </w:rPr>
        <w:t>: Voies de développement durable qui peuvent éradiquer l'extrême</w:t>
      </w:r>
      <w:r>
        <w:rPr>
          <w:color w:val="000000"/>
          <w:szCs w:val="20"/>
        </w:rPr>
        <w:br/>
      </w:r>
      <w:r>
        <w:rPr>
          <w:rStyle w:val="fontstyle21"/>
        </w:rPr>
        <w:t>pauvreté et réduire les inégalités et l'exclusion sociale et économique.</w:t>
      </w:r>
      <w:r>
        <w:rPr>
          <w:color w:val="000000"/>
          <w:szCs w:val="20"/>
        </w:rPr>
        <w:br/>
      </w:r>
      <w:r>
        <w:rPr>
          <w:rStyle w:val="fontstyle01"/>
        </w:rPr>
        <w:t xml:space="preserve">Résultat(s) attendus du CPAP </w:t>
      </w:r>
      <w:r>
        <w:rPr>
          <w:rStyle w:val="fontstyle21"/>
        </w:rPr>
        <w:t>: Appui à l’Adaptation et à l’Atténuation aux Changements Climatiques pour le</w:t>
      </w:r>
      <w:r>
        <w:rPr>
          <w:color w:val="000000"/>
          <w:szCs w:val="20"/>
        </w:rPr>
        <w:br/>
      </w:r>
      <w:r>
        <w:rPr>
          <w:rStyle w:val="fontstyle21"/>
        </w:rPr>
        <w:t>développement durable (PRODAC)</w:t>
      </w:r>
      <w:r w:rsidR="002C6446">
        <w:rPr>
          <w:rStyle w:val="fontstyle21"/>
        </w:rPr>
        <w:t>.</w:t>
      </w:r>
      <w:r>
        <w:t xml:space="preserve"> </w:t>
      </w:r>
    </w:p>
    <w:p w:rsidR="000506C6" w:rsidRDefault="000506C6" w:rsidP="00E22425">
      <w:pPr>
        <w:spacing w:after="0"/>
        <w:jc w:val="left"/>
      </w:pPr>
    </w:p>
    <w:p w:rsidR="009B75FA" w:rsidRPr="00157C96" w:rsidRDefault="00234FC0" w:rsidP="002C6446">
      <w:pPr>
        <w:spacing w:after="0"/>
        <w:rPr>
          <w:rFonts w:asciiTheme="minorHAnsi" w:hAnsiTheme="minorHAnsi"/>
          <w:b/>
          <w:bCs/>
          <w:sz w:val="18"/>
          <w:szCs w:val="18"/>
        </w:rPr>
      </w:pPr>
      <w:r w:rsidRPr="00157C96">
        <w:rPr>
          <w:rFonts w:asciiTheme="minorHAnsi" w:hAnsiTheme="minorHAnsi"/>
          <w:b/>
          <w:lang w:eastAsia="fr-FR" w:bidi="fr-FR"/>
        </w:rPr>
        <w:t>Objectif du projet</w:t>
      </w:r>
      <w:r w:rsidRPr="00157C96">
        <w:rPr>
          <w:rFonts w:asciiTheme="minorHAnsi" w:hAnsiTheme="minorHAnsi"/>
          <w:lang w:eastAsia="fr-FR" w:bidi="fr-FR"/>
        </w:rPr>
        <w:t> :</w:t>
      </w:r>
      <w:r w:rsidR="009B75FA" w:rsidRPr="00157C96">
        <w:rPr>
          <w:rFonts w:asciiTheme="minorHAnsi" w:hAnsiTheme="minorHAnsi"/>
          <w:b/>
          <w:bCs/>
          <w:sz w:val="18"/>
          <w:szCs w:val="18"/>
        </w:rPr>
        <w:t xml:space="preserve"> </w:t>
      </w:r>
      <w:r w:rsidR="009B75FA" w:rsidRPr="00157C96">
        <w:rPr>
          <w:rFonts w:asciiTheme="minorHAnsi" w:hAnsiTheme="minorHAnsi"/>
        </w:rPr>
        <w:t>Promouvoir une finance novatrice et l’adaptation communautaire dans les communes autour des RNC</w:t>
      </w:r>
    </w:p>
    <w:p w:rsidR="009B75FA" w:rsidRPr="00157C96" w:rsidRDefault="009B75FA" w:rsidP="002C6446">
      <w:pPr>
        <w:spacing w:after="0"/>
        <w:rPr>
          <w:rFonts w:asciiTheme="minorHAnsi" w:hAnsiTheme="minorHAnsi"/>
          <w:sz w:val="18"/>
          <w:szCs w:val="18"/>
        </w:rPr>
      </w:pPr>
      <w:r w:rsidRPr="00157C96">
        <w:rPr>
          <w:rFonts w:asciiTheme="minorHAnsi" w:hAnsiTheme="minorHAnsi"/>
          <w:b/>
          <w:bCs/>
          <w:sz w:val="18"/>
          <w:szCs w:val="18"/>
        </w:rPr>
        <w:t>Résulta</w:t>
      </w:r>
      <w:r w:rsidR="009222EC" w:rsidRPr="00157C96">
        <w:rPr>
          <w:rFonts w:asciiTheme="minorHAnsi" w:hAnsiTheme="minorHAnsi"/>
          <w:b/>
          <w:bCs/>
          <w:sz w:val="18"/>
          <w:szCs w:val="18"/>
        </w:rPr>
        <w:t>t</w:t>
      </w:r>
      <w:r w:rsidRPr="00157C96">
        <w:rPr>
          <w:rFonts w:asciiTheme="minorHAnsi" w:hAnsiTheme="minorHAnsi"/>
          <w:b/>
          <w:bCs/>
          <w:sz w:val="18"/>
          <w:szCs w:val="18"/>
        </w:rPr>
        <w:t xml:space="preserve"> 1 : </w:t>
      </w:r>
      <w:r w:rsidRPr="00157C96">
        <w:rPr>
          <w:rFonts w:asciiTheme="minorHAnsi" w:hAnsiTheme="minorHAnsi"/>
        </w:rPr>
        <w:t>Des mécanismes novateurs financent des actions d’adaptation aux changements climatiques au niveau local</w:t>
      </w:r>
      <w:r w:rsidR="002C6446">
        <w:rPr>
          <w:rFonts w:asciiTheme="minorHAnsi" w:hAnsiTheme="minorHAnsi"/>
        </w:rPr>
        <w:t>.</w:t>
      </w:r>
    </w:p>
    <w:p w:rsidR="009B75FA" w:rsidRPr="00157C96" w:rsidRDefault="009B75FA" w:rsidP="002C6446">
      <w:pPr>
        <w:spacing w:after="0"/>
        <w:rPr>
          <w:rFonts w:asciiTheme="minorHAnsi" w:hAnsiTheme="minorHAnsi"/>
          <w:b/>
          <w:bCs/>
          <w:sz w:val="18"/>
          <w:szCs w:val="18"/>
        </w:rPr>
      </w:pPr>
      <w:r w:rsidRPr="00157C96">
        <w:rPr>
          <w:rFonts w:asciiTheme="minorHAnsi" w:hAnsiTheme="minorHAnsi"/>
          <w:b/>
          <w:sz w:val="18"/>
          <w:szCs w:val="18"/>
        </w:rPr>
        <w:t>Résultat</w:t>
      </w:r>
      <w:r w:rsidRPr="00157C96">
        <w:rPr>
          <w:rFonts w:asciiTheme="minorHAnsi" w:hAnsiTheme="minorHAnsi"/>
          <w:sz w:val="18"/>
          <w:szCs w:val="18"/>
        </w:rPr>
        <w:t xml:space="preserve"> </w:t>
      </w:r>
      <w:r w:rsidRPr="00157C96">
        <w:rPr>
          <w:rFonts w:asciiTheme="minorHAnsi" w:hAnsiTheme="minorHAnsi"/>
          <w:b/>
          <w:sz w:val="18"/>
          <w:szCs w:val="18"/>
        </w:rPr>
        <w:t>2</w:t>
      </w:r>
      <w:r w:rsidRPr="00157C96">
        <w:rPr>
          <w:rFonts w:asciiTheme="minorHAnsi" w:hAnsiTheme="minorHAnsi"/>
          <w:sz w:val="18"/>
          <w:szCs w:val="18"/>
        </w:rPr>
        <w:t> </w:t>
      </w:r>
      <w:r w:rsidRPr="00157C96">
        <w:rPr>
          <w:rFonts w:asciiTheme="minorHAnsi" w:hAnsiTheme="minorHAnsi"/>
          <w:b/>
          <w:sz w:val="18"/>
          <w:szCs w:val="18"/>
        </w:rPr>
        <w:t xml:space="preserve">: </w:t>
      </w:r>
      <w:r w:rsidRPr="00157C96">
        <w:rPr>
          <w:rFonts w:asciiTheme="minorHAnsi" w:hAnsiTheme="minorHAnsi"/>
        </w:rPr>
        <w:t>Les populations vulnérables adoptent des pratiques d'investissement et de résilience</w:t>
      </w:r>
      <w:r w:rsidR="002C6446">
        <w:rPr>
          <w:rFonts w:asciiTheme="minorHAnsi" w:hAnsiTheme="minorHAnsi"/>
        </w:rPr>
        <w:t>.</w:t>
      </w:r>
    </w:p>
    <w:p w:rsidR="00E22425" w:rsidRPr="00157C96" w:rsidRDefault="00E22425" w:rsidP="002C6446">
      <w:pPr>
        <w:spacing w:after="0"/>
        <w:rPr>
          <w:rFonts w:asciiTheme="minorHAnsi" w:hAnsiTheme="minorHAnsi"/>
          <w:lang w:eastAsia="fr-FR" w:bidi="fr-FR"/>
        </w:rPr>
      </w:pPr>
      <w:r w:rsidRPr="00157C96">
        <w:rPr>
          <w:rFonts w:asciiTheme="minorHAnsi" w:hAnsiTheme="minorHAnsi"/>
          <w:b/>
          <w:lang w:eastAsia="fr-FR" w:bidi="fr-FR"/>
        </w:rPr>
        <w:t xml:space="preserve">Partenaire opérationnel : </w:t>
      </w:r>
      <w:r w:rsidRPr="00157C96">
        <w:rPr>
          <w:rFonts w:asciiTheme="minorHAnsi" w:hAnsiTheme="minorHAnsi"/>
          <w:lang w:eastAsia="fr-FR" w:bidi="fr-FR"/>
        </w:rPr>
        <w:t>Ministère de l'environnement et du développement durable (MEDD)</w:t>
      </w:r>
      <w:r w:rsidR="00C96028">
        <w:rPr>
          <w:rFonts w:asciiTheme="minorHAnsi" w:hAnsiTheme="minorHAnsi"/>
          <w:lang w:eastAsia="fr-FR" w:bidi="fr-FR"/>
        </w:rPr>
        <w:t xml:space="preserve"> à travers la Direction des Parcs Nationaux</w:t>
      </w:r>
      <w:r w:rsidR="002C6446">
        <w:rPr>
          <w:rFonts w:asciiTheme="minorHAnsi" w:hAnsiTheme="minorHAnsi"/>
          <w:lang w:eastAsia="fr-FR" w:bidi="fr-FR"/>
        </w:rPr>
        <w:t>.</w:t>
      </w:r>
    </w:p>
    <w:p w:rsidR="00E22425" w:rsidRDefault="00EA695E" w:rsidP="00E22425">
      <w:pPr>
        <w:spacing w:after="120"/>
        <w:rPr>
          <w:lang w:eastAsia="fr-FR" w:bidi="fr-FR"/>
        </w:rPr>
      </w:pPr>
      <w:r w:rsidRPr="001066CD">
        <w:rPr>
          <w:rFonts w:ascii="Garamond" w:hAnsi="Garamond" w:cs="Arial"/>
          <w:noProof/>
          <w:sz w:val="22"/>
          <w:szCs w:val="22"/>
          <w:lang w:eastAsia="fr-FR"/>
        </w:rPr>
        <mc:AlternateContent>
          <mc:Choice Requires="wps">
            <w:drawing>
              <wp:anchor distT="0" distB="0" distL="114300" distR="114300" simplePos="0" relativeHeight="251752448" behindDoc="0" locked="0" layoutInCell="1" allowOverlap="1" wp14:anchorId="15089C3A" wp14:editId="26B15690">
                <wp:simplePos x="0" y="0"/>
                <wp:positionH relativeFrom="margin">
                  <wp:posOffset>-635</wp:posOffset>
                </wp:positionH>
                <wp:positionV relativeFrom="paragraph">
                  <wp:posOffset>32703</wp:posOffset>
                </wp:positionV>
                <wp:extent cx="3022600" cy="1976437"/>
                <wp:effectExtent l="0" t="0" r="25400" b="2413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976437"/>
                        </a:xfrm>
                        <a:prstGeom prst="rect">
                          <a:avLst/>
                        </a:prstGeom>
                        <a:solidFill>
                          <a:srgbClr val="FFFFFF"/>
                        </a:solidFill>
                        <a:ln w="9525">
                          <a:solidFill>
                            <a:srgbClr val="000000"/>
                          </a:solidFill>
                          <a:miter lim="800000"/>
                          <a:headEnd/>
                          <a:tailEnd/>
                        </a:ln>
                      </wps:spPr>
                      <wps:txbx>
                        <w:txbxContent>
                          <w:p w:rsidR="00061010" w:rsidRPr="00061010" w:rsidRDefault="00061010" w:rsidP="00415D1C">
                            <w:pPr>
                              <w:spacing w:after="120"/>
                              <w:rPr>
                                <w:rFonts w:cs="Arial"/>
                                <w:i/>
                                <w:sz w:val="18"/>
                                <w:szCs w:val="18"/>
                                <w:lang w:val="en-GB"/>
                              </w:rPr>
                            </w:pPr>
                            <w:r w:rsidRPr="00061010">
                              <w:rPr>
                                <w:rFonts w:cs="Arial"/>
                                <w:b/>
                                <w:sz w:val="18"/>
                                <w:szCs w:val="18"/>
                                <w:lang w:val="en-GB"/>
                              </w:rPr>
                              <w:t xml:space="preserve">Atlas </w:t>
                            </w:r>
                            <w:r w:rsidRPr="00061010">
                              <w:rPr>
                                <w:rFonts w:cs="Arial"/>
                                <w:b/>
                                <w:sz w:val="18"/>
                                <w:szCs w:val="18"/>
                                <w:lang w:val="en-GB" w:eastAsia="zh-CN"/>
                              </w:rPr>
                              <w:t>Project ID/</w:t>
                            </w:r>
                            <w:r w:rsidRPr="00061010">
                              <w:rPr>
                                <w:rFonts w:cs="Arial"/>
                                <w:b/>
                                <w:sz w:val="18"/>
                                <w:szCs w:val="18"/>
                                <w:lang w:val="en-GB"/>
                              </w:rPr>
                              <w:t xml:space="preserve">Award ID number: </w:t>
                            </w:r>
                            <w:r w:rsidRPr="00061010">
                              <w:rPr>
                                <w:rFonts w:cs="Arial"/>
                                <w:i/>
                                <w:sz w:val="18"/>
                                <w:szCs w:val="18"/>
                                <w:lang w:val="en-GB"/>
                              </w:rPr>
                              <w:t>00103749</w:t>
                            </w:r>
                          </w:p>
                          <w:p w:rsidR="00061010" w:rsidRPr="00061010" w:rsidRDefault="00061010" w:rsidP="00415D1C">
                            <w:pPr>
                              <w:spacing w:after="120"/>
                              <w:rPr>
                                <w:sz w:val="18"/>
                                <w:szCs w:val="18"/>
                                <w:lang w:eastAsia="fr-FR" w:bidi="fr-FR"/>
                              </w:rPr>
                            </w:pPr>
                            <w:r w:rsidRPr="00061010">
                              <w:rPr>
                                <w:b/>
                                <w:sz w:val="18"/>
                                <w:szCs w:val="18"/>
                                <w:lang w:eastAsia="fr-FR" w:bidi="fr-FR"/>
                              </w:rPr>
                              <w:t>Numéro d'identification PIMS FEM du PNUD :</w:t>
                            </w:r>
                            <w:r w:rsidRPr="00061010">
                              <w:rPr>
                                <w:sz w:val="18"/>
                                <w:szCs w:val="18"/>
                                <w:lang w:eastAsia="fr-FR" w:bidi="fr-FR"/>
                              </w:rPr>
                              <w:t xml:space="preserve"> 5401</w:t>
                            </w:r>
                          </w:p>
                          <w:p w:rsidR="00061010" w:rsidRPr="00061010" w:rsidRDefault="00061010" w:rsidP="00415D1C">
                            <w:pPr>
                              <w:spacing w:after="120"/>
                              <w:rPr>
                                <w:rFonts w:cs="Arial"/>
                                <w:i/>
                                <w:sz w:val="18"/>
                                <w:szCs w:val="18"/>
                                <w:lang w:val="en-GB"/>
                              </w:rPr>
                            </w:pPr>
                            <w:r w:rsidRPr="00061010">
                              <w:rPr>
                                <w:rFonts w:cs="Arial"/>
                                <w:b/>
                                <w:sz w:val="18"/>
                                <w:szCs w:val="18"/>
                                <w:lang w:val="en-GB"/>
                              </w:rPr>
                              <w:t>Atlas O</w:t>
                            </w:r>
                            <w:r w:rsidRPr="00061010">
                              <w:rPr>
                                <w:rFonts w:cs="Arial"/>
                                <w:b/>
                                <w:sz w:val="18"/>
                                <w:szCs w:val="18"/>
                                <w:lang w:val="en-GB" w:eastAsia="zh-CN"/>
                              </w:rPr>
                              <w:t>utput ID/</w:t>
                            </w:r>
                            <w:r w:rsidRPr="00061010">
                              <w:rPr>
                                <w:rFonts w:cs="Arial"/>
                                <w:b/>
                                <w:sz w:val="18"/>
                                <w:szCs w:val="18"/>
                                <w:lang w:val="en-GB"/>
                              </w:rPr>
                              <w:t xml:space="preserve">Project ID number: </w:t>
                            </w:r>
                            <w:r w:rsidRPr="00061010">
                              <w:rPr>
                                <w:rFonts w:cs="Arial"/>
                                <w:i/>
                                <w:sz w:val="18"/>
                                <w:szCs w:val="18"/>
                                <w:lang w:val="en-GB"/>
                              </w:rPr>
                              <w:t>00105641</w:t>
                            </w:r>
                          </w:p>
                          <w:p w:rsidR="00061010" w:rsidRPr="00061010" w:rsidRDefault="00061010" w:rsidP="00415D1C">
                            <w:pPr>
                              <w:spacing w:after="120"/>
                              <w:rPr>
                                <w:rFonts w:cs="Arial"/>
                                <w:i/>
                                <w:sz w:val="18"/>
                                <w:szCs w:val="18"/>
                                <w:lang w:val="fr-SN"/>
                              </w:rPr>
                            </w:pPr>
                            <w:r w:rsidRPr="00061010">
                              <w:rPr>
                                <w:b/>
                                <w:sz w:val="18"/>
                                <w:szCs w:val="18"/>
                                <w:lang w:eastAsia="fr-FR" w:bidi="fr-FR"/>
                              </w:rPr>
                              <w:t>Numéro d'identification du projet FEM :</w:t>
                            </w:r>
                            <w:r w:rsidRPr="00061010">
                              <w:rPr>
                                <w:sz w:val="18"/>
                                <w:szCs w:val="18"/>
                                <w:lang w:eastAsia="fr-FR" w:bidi="fr-FR"/>
                              </w:rPr>
                              <w:t xml:space="preserve"> 5867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de démarrage :              Décembre 2017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d’achèvement :             Novembre 2021</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Modalités de gestion :                 NEX</w:t>
                            </w:r>
                          </w:p>
                          <w:p w:rsidR="00061010" w:rsidRPr="00061010" w:rsidRDefault="00061010" w:rsidP="002B5200">
                            <w:pPr>
                              <w:tabs>
                                <w:tab w:val="right" w:pos="4395"/>
                              </w:tabs>
                              <w:rPr>
                                <w:rFonts w:asciiTheme="minorHAnsi" w:hAnsiTheme="minorHAnsi" w:cs="Arial"/>
                                <w:sz w:val="18"/>
                                <w:szCs w:val="18"/>
                              </w:rPr>
                            </w:pPr>
                            <w:r w:rsidRPr="00061010">
                              <w:rPr>
                                <w:rFonts w:asciiTheme="minorHAnsi" w:hAnsiTheme="minorHAnsi" w:cs="Arial"/>
                                <w:sz w:val="18"/>
                                <w:szCs w:val="18"/>
                              </w:rPr>
                              <w:t>Date de réunion CLEP :      19 Octobre 2017</w:t>
                            </w:r>
                          </w:p>
                          <w:p w:rsidR="00061010" w:rsidRPr="00061010" w:rsidRDefault="00061010" w:rsidP="002B5200">
                            <w:pPr>
                              <w:rPr>
                                <w:rFonts w:asciiTheme="minorHAnsi" w:hAnsi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89C3A" id="_x0000_t202" coordsize="21600,21600" o:spt="202" path="m,l,21600r21600,l21600,xe">
                <v:stroke joinstyle="miter"/>
                <v:path gradientshapeok="t" o:connecttype="rect"/>
              </v:shapetype>
              <v:shape id="Zone de texte 50" o:spid="_x0000_s1026" type="#_x0000_t202" style="position:absolute;left:0;text-align:left;margin-left:-.05pt;margin-top:2.6pt;width:238pt;height:155.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">
                <v:textbox>
                  <w:txbxContent>
                    <w:p w:rsidR="00061010" w:rsidRPr="00061010" w:rsidRDefault="00061010" w:rsidP="00415D1C">
                      <w:pPr>
                        <w:spacing w:after="120"/>
                        <w:rPr>
                          <w:rFonts w:cs="Arial"/>
                          <w:i/>
                          <w:sz w:val="18"/>
                          <w:szCs w:val="18"/>
                          <w:lang w:val="en-GB"/>
                        </w:rPr>
                      </w:pPr>
                      <w:r w:rsidRPr="00061010">
                        <w:rPr>
                          <w:rFonts w:cs="Arial"/>
                          <w:b/>
                          <w:sz w:val="18"/>
                          <w:szCs w:val="18"/>
                          <w:lang w:val="en-GB"/>
                        </w:rPr>
                        <w:t xml:space="preserve">Atlas </w:t>
                      </w:r>
                      <w:r w:rsidRPr="00061010">
                        <w:rPr>
                          <w:rFonts w:cs="Arial"/>
                          <w:b/>
                          <w:sz w:val="18"/>
                          <w:szCs w:val="18"/>
                          <w:lang w:val="en-GB" w:eastAsia="zh-CN"/>
                        </w:rPr>
                        <w:t>Project ID/</w:t>
                      </w:r>
                      <w:r w:rsidRPr="00061010">
                        <w:rPr>
                          <w:rFonts w:cs="Arial"/>
                          <w:b/>
                          <w:sz w:val="18"/>
                          <w:szCs w:val="18"/>
                          <w:lang w:val="en-GB"/>
                        </w:rPr>
                        <w:t xml:space="preserve">Award ID number: </w:t>
                      </w:r>
                      <w:r w:rsidRPr="00061010">
                        <w:rPr>
                          <w:rFonts w:cs="Arial"/>
                          <w:i/>
                          <w:sz w:val="18"/>
                          <w:szCs w:val="18"/>
                          <w:lang w:val="en-GB"/>
                        </w:rPr>
                        <w:t>00103749</w:t>
                      </w:r>
                    </w:p>
                    <w:p w:rsidR="00061010" w:rsidRPr="00061010" w:rsidRDefault="00061010" w:rsidP="00415D1C">
                      <w:pPr>
                        <w:spacing w:after="120"/>
                        <w:rPr>
                          <w:sz w:val="18"/>
                          <w:szCs w:val="18"/>
                          <w:lang w:eastAsia="fr-FR" w:bidi="fr-FR"/>
                        </w:rPr>
                      </w:pPr>
                      <w:r w:rsidRPr="00061010">
                        <w:rPr>
                          <w:b/>
                          <w:sz w:val="18"/>
                          <w:szCs w:val="18"/>
                          <w:lang w:eastAsia="fr-FR" w:bidi="fr-FR"/>
                        </w:rPr>
                        <w:t>Numéro d'identification PIMS FEM du PNUD :</w:t>
                      </w:r>
                      <w:r w:rsidRPr="00061010">
                        <w:rPr>
                          <w:sz w:val="18"/>
                          <w:szCs w:val="18"/>
                          <w:lang w:eastAsia="fr-FR" w:bidi="fr-FR"/>
                        </w:rPr>
                        <w:t xml:space="preserve"> 5401</w:t>
                      </w:r>
                    </w:p>
                    <w:p w:rsidR="00061010" w:rsidRPr="00061010" w:rsidRDefault="00061010" w:rsidP="00415D1C">
                      <w:pPr>
                        <w:spacing w:after="120"/>
                        <w:rPr>
                          <w:rFonts w:cs="Arial"/>
                          <w:i/>
                          <w:sz w:val="18"/>
                          <w:szCs w:val="18"/>
                          <w:lang w:val="en-GB"/>
                        </w:rPr>
                      </w:pPr>
                      <w:r w:rsidRPr="00061010">
                        <w:rPr>
                          <w:rFonts w:cs="Arial"/>
                          <w:b/>
                          <w:sz w:val="18"/>
                          <w:szCs w:val="18"/>
                          <w:lang w:val="en-GB"/>
                        </w:rPr>
                        <w:t>Atlas O</w:t>
                      </w:r>
                      <w:r w:rsidRPr="00061010">
                        <w:rPr>
                          <w:rFonts w:cs="Arial"/>
                          <w:b/>
                          <w:sz w:val="18"/>
                          <w:szCs w:val="18"/>
                          <w:lang w:val="en-GB" w:eastAsia="zh-CN"/>
                        </w:rPr>
                        <w:t>utput ID/</w:t>
                      </w:r>
                      <w:r w:rsidRPr="00061010">
                        <w:rPr>
                          <w:rFonts w:cs="Arial"/>
                          <w:b/>
                          <w:sz w:val="18"/>
                          <w:szCs w:val="18"/>
                          <w:lang w:val="en-GB"/>
                        </w:rPr>
                        <w:t xml:space="preserve">Project ID number: </w:t>
                      </w:r>
                      <w:r w:rsidRPr="00061010">
                        <w:rPr>
                          <w:rFonts w:cs="Arial"/>
                          <w:i/>
                          <w:sz w:val="18"/>
                          <w:szCs w:val="18"/>
                          <w:lang w:val="en-GB"/>
                        </w:rPr>
                        <w:t>00105641</w:t>
                      </w:r>
                    </w:p>
                    <w:p w:rsidR="00061010" w:rsidRPr="00061010" w:rsidRDefault="00061010" w:rsidP="00415D1C">
                      <w:pPr>
                        <w:spacing w:after="120"/>
                        <w:rPr>
                          <w:rFonts w:cs="Arial"/>
                          <w:i/>
                          <w:sz w:val="18"/>
                          <w:szCs w:val="18"/>
                          <w:lang w:val="fr-SN"/>
                        </w:rPr>
                      </w:pPr>
                      <w:r w:rsidRPr="00061010">
                        <w:rPr>
                          <w:b/>
                          <w:sz w:val="18"/>
                          <w:szCs w:val="18"/>
                          <w:lang w:eastAsia="fr-FR" w:bidi="fr-FR"/>
                        </w:rPr>
                        <w:t>Numéro d'identification du projet FEM :</w:t>
                      </w:r>
                      <w:r w:rsidRPr="00061010">
                        <w:rPr>
                          <w:sz w:val="18"/>
                          <w:szCs w:val="18"/>
                          <w:lang w:eastAsia="fr-FR" w:bidi="fr-FR"/>
                        </w:rPr>
                        <w:t xml:space="preserve"> 5867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de démarrage :              Décembre 2017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d’achèvement :             Novembre 2021</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Modalités de gestion :                 NEX</w:t>
                      </w:r>
                    </w:p>
                    <w:p w:rsidR="00061010" w:rsidRPr="00061010" w:rsidRDefault="00061010" w:rsidP="002B5200">
                      <w:pPr>
                        <w:tabs>
                          <w:tab w:val="right" w:pos="4395"/>
                        </w:tabs>
                        <w:rPr>
                          <w:rFonts w:asciiTheme="minorHAnsi" w:hAnsiTheme="minorHAnsi" w:cs="Arial"/>
                          <w:sz w:val="18"/>
                          <w:szCs w:val="18"/>
                        </w:rPr>
                      </w:pPr>
                      <w:r w:rsidRPr="00061010">
                        <w:rPr>
                          <w:rFonts w:asciiTheme="minorHAnsi" w:hAnsiTheme="minorHAnsi" w:cs="Arial"/>
                          <w:sz w:val="18"/>
                          <w:szCs w:val="18"/>
                        </w:rPr>
                        <w:t>Date de réunion CLEP :      19 Octobre 2017</w:t>
                      </w:r>
                    </w:p>
                    <w:p w:rsidR="00061010" w:rsidRPr="00061010" w:rsidRDefault="00061010" w:rsidP="002B5200">
                      <w:pPr>
                        <w:rPr>
                          <w:rFonts w:asciiTheme="minorHAnsi" w:hAnsiTheme="minorHAnsi"/>
                          <w:sz w:val="18"/>
                          <w:szCs w:val="18"/>
                        </w:rPr>
                      </w:pPr>
                    </w:p>
                  </w:txbxContent>
                </v:textbox>
                <w10:wrap anchorx="margin"/>
              </v:shape>
            </w:pict>
          </mc:Fallback>
        </mc:AlternateContent>
      </w:r>
      <w:r w:rsidRPr="001066CD">
        <w:rPr>
          <w:rFonts w:ascii="Garamond" w:hAnsi="Garamond" w:cs="Arial"/>
          <w:noProof/>
          <w:sz w:val="22"/>
          <w:szCs w:val="22"/>
          <w:lang w:eastAsia="fr-FR"/>
        </w:rPr>
        <mc:AlternateContent>
          <mc:Choice Requires="wps">
            <w:drawing>
              <wp:anchor distT="0" distB="0" distL="114300" distR="114300" simplePos="0" relativeHeight="251753472" behindDoc="0" locked="0" layoutInCell="1" allowOverlap="1" wp14:anchorId="65E38C08" wp14:editId="68425DFF">
                <wp:simplePos x="0" y="0"/>
                <wp:positionH relativeFrom="character">
                  <wp:posOffset>3375978</wp:posOffset>
                </wp:positionH>
                <wp:positionV relativeFrom="paragraph">
                  <wp:posOffset>4128</wp:posOffset>
                </wp:positionV>
                <wp:extent cx="2870200" cy="1985962"/>
                <wp:effectExtent l="0" t="0" r="25400" b="1460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985962"/>
                        </a:xfrm>
                        <a:prstGeom prst="rect">
                          <a:avLst/>
                        </a:prstGeom>
                        <a:solidFill>
                          <a:srgbClr val="FFFFFF"/>
                        </a:solidFill>
                        <a:ln w="9525">
                          <a:solidFill>
                            <a:srgbClr val="000000"/>
                          </a:solidFill>
                          <a:miter lim="800000"/>
                          <a:headEnd/>
                          <a:tailEnd/>
                        </a:ln>
                      </wps:spPr>
                      <wps:txbx>
                        <w:txbxContent>
                          <w:p w:rsidR="00061010" w:rsidRPr="00061010" w:rsidRDefault="00061010" w:rsidP="0070673A">
                            <w:pPr>
                              <w:tabs>
                                <w:tab w:val="right" w:pos="4253"/>
                              </w:tabs>
                              <w:spacing w:after="0"/>
                              <w:rPr>
                                <w:rFonts w:asciiTheme="minorHAnsi" w:hAnsiTheme="minorHAnsi"/>
                                <w:b/>
                                <w:sz w:val="18"/>
                                <w:szCs w:val="18"/>
                                <w:lang w:val="en-US"/>
                              </w:rPr>
                            </w:pPr>
                            <w:r w:rsidRPr="00061010">
                              <w:rPr>
                                <w:rFonts w:asciiTheme="minorHAnsi" w:hAnsiTheme="minorHAnsi"/>
                                <w:b/>
                                <w:sz w:val="18"/>
                                <w:szCs w:val="18"/>
                                <w:lang w:val="en-US"/>
                              </w:rPr>
                              <w:t xml:space="preserve">Budget Total </w:t>
                            </w:r>
                            <w:r w:rsidRPr="00061010">
                              <w:rPr>
                                <w:rFonts w:asciiTheme="minorHAnsi" w:hAnsiTheme="minorHAnsi"/>
                                <w:sz w:val="18"/>
                                <w:szCs w:val="18"/>
                                <w:lang w:val="en-US"/>
                              </w:rPr>
                              <w:t>: 6 960 000 US D</w:t>
                            </w:r>
                          </w:p>
                          <w:p w:rsidR="00061010" w:rsidRPr="00061010" w:rsidRDefault="00061010" w:rsidP="0070673A">
                            <w:pPr>
                              <w:tabs>
                                <w:tab w:val="right" w:pos="4395"/>
                              </w:tabs>
                              <w:spacing w:after="0"/>
                              <w:rPr>
                                <w:rFonts w:asciiTheme="minorHAnsi" w:hAnsiTheme="minorHAnsi"/>
                                <w:b/>
                                <w:sz w:val="18"/>
                                <w:szCs w:val="18"/>
                                <w:lang w:val="en-US"/>
                              </w:rPr>
                            </w:pPr>
                            <w:r w:rsidRPr="00061010">
                              <w:rPr>
                                <w:rFonts w:asciiTheme="minorHAnsi" w:hAnsiTheme="minorHAnsi"/>
                                <w:b/>
                                <w:sz w:val="18"/>
                                <w:szCs w:val="18"/>
                                <w:lang w:val="en-US"/>
                              </w:rPr>
                              <w:t>-FEM/FPMA (subvention)</w:t>
                            </w:r>
                            <w:r w:rsidRPr="00061010">
                              <w:rPr>
                                <w:rFonts w:asciiTheme="minorHAnsi" w:hAnsiTheme="minorHAnsi"/>
                                <w:sz w:val="18"/>
                                <w:szCs w:val="18"/>
                                <w:lang w:val="en-US"/>
                              </w:rPr>
                              <w:t xml:space="preserve"> :     </w:t>
                            </w:r>
                            <w:r w:rsidRPr="00061010">
                              <w:rPr>
                                <w:rFonts w:asciiTheme="minorHAnsi" w:hAnsiTheme="minorHAnsi"/>
                                <w:sz w:val="18"/>
                                <w:szCs w:val="18"/>
                                <w:lang w:val="en-US" w:eastAsia="fr-FR" w:bidi="fr-FR"/>
                              </w:rPr>
                              <w:t>5 460 000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-PNUD (subvention)</w:t>
                            </w:r>
                            <w:r w:rsidRPr="00061010">
                              <w:rPr>
                                <w:rFonts w:asciiTheme="minorHAnsi" w:hAnsiTheme="minorHAnsi"/>
                                <w:sz w:val="18"/>
                                <w:szCs w:val="18"/>
                              </w:rPr>
                              <w:t xml:space="preserve"> :                  </w:t>
                            </w:r>
                            <w:r w:rsidRPr="00061010">
                              <w:rPr>
                                <w:rFonts w:asciiTheme="minorHAnsi" w:hAnsiTheme="minorHAnsi"/>
                                <w:sz w:val="18"/>
                                <w:szCs w:val="18"/>
                                <w:lang w:eastAsia="fr-FR" w:bidi="fr-FR"/>
                              </w:rPr>
                              <w:t>500 000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-ETAT (subvention)</w:t>
                            </w:r>
                            <w:r w:rsidRPr="00061010">
                              <w:rPr>
                                <w:rFonts w:asciiTheme="minorHAnsi" w:hAnsiTheme="minorHAnsi"/>
                                <w:sz w:val="18"/>
                                <w:szCs w:val="18"/>
                              </w:rPr>
                              <w:t xml:space="preserve"> :                 1 000 000 USD </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sz w:val="18"/>
                                <w:szCs w:val="18"/>
                              </w:rPr>
                              <w:t xml:space="preserve">  GDS (en nature) :                     1 000 000 USD</w:t>
                            </w:r>
                            <w:r w:rsidRPr="00061010">
                              <w:rPr>
                                <w:rFonts w:asciiTheme="minorHAnsi" w:hAnsiTheme="minorHAnsi"/>
                                <w:sz w:val="18"/>
                                <w:szCs w:val="18"/>
                              </w:rPr>
                              <w:tab/>
                            </w:r>
                          </w:p>
                          <w:p w:rsidR="00061010" w:rsidRPr="00061010" w:rsidRDefault="00061010" w:rsidP="0070673A">
                            <w:pPr>
                              <w:tabs>
                                <w:tab w:val="right" w:pos="4357"/>
                              </w:tabs>
                              <w:spacing w:after="0"/>
                              <w:rPr>
                                <w:rFonts w:asciiTheme="minorHAnsi" w:hAnsiTheme="minorHAnsi"/>
                                <w:b/>
                                <w:sz w:val="18"/>
                                <w:szCs w:val="18"/>
                              </w:rPr>
                            </w:pPr>
                            <w:r w:rsidRPr="00061010">
                              <w:rPr>
                                <w:rFonts w:asciiTheme="minorHAnsi" w:hAnsiTheme="minorHAnsi"/>
                                <w:b/>
                                <w:smallCaps/>
                                <w:sz w:val="18"/>
                                <w:szCs w:val="18"/>
                                <w:lang w:eastAsia="fr-FR" w:bidi="fr-FR"/>
                              </w:rPr>
                              <w:t>Cofinancement parallèle</w:t>
                            </w:r>
                            <w:r w:rsidRPr="00061010">
                              <w:rPr>
                                <w:rFonts w:asciiTheme="minorHAnsi" w:hAnsiTheme="minorHAnsi"/>
                                <w:b/>
                                <w:sz w:val="18"/>
                                <w:szCs w:val="18"/>
                              </w:rPr>
                              <w:t xml:space="preserve"> :</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MEDD : </w:t>
                            </w:r>
                            <w:r w:rsidRPr="00061010">
                              <w:rPr>
                                <w:rFonts w:asciiTheme="minorHAnsi" w:hAnsiTheme="minorHAnsi"/>
                                <w:sz w:val="18"/>
                                <w:szCs w:val="18"/>
                                <w:lang w:eastAsia="fr-FR" w:bidi="fr-FR"/>
                              </w:rPr>
                              <w:t>8 400 000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ANACIM : </w:t>
                            </w:r>
                            <w:r w:rsidRPr="00061010">
                              <w:rPr>
                                <w:rFonts w:asciiTheme="minorHAnsi" w:hAnsiTheme="minorHAnsi"/>
                                <w:i/>
                                <w:sz w:val="18"/>
                                <w:szCs w:val="18"/>
                                <w:lang w:eastAsia="fr-FR" w:bidi="fr-FR"/>
                              </w:rPr>
                              <w:t>2 500 000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PNUD : 6 000 000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PADAER </w:t>
                            </w:r>
                            <w:r w:rsidRPr="00061010">
                              <w:rPr>
                                <w:rFonts w:asciiTheme="minorHAnsi" w:hAnsiTheme="minorHAnsi"/>
                                <w:i/>
                                <w:sz w:val="18"/>
                                <w:szCs w:val="18"/>
                                <w:lang w:eastAsia="fr-FR" w:bidi="fr-FR"/>
                              </w:rPr>
                              <w:t xml:space="preserve">: </w:t>
                            </w:r>
                            <w:r w:rsidRPr="00061010">
                              <w:rPr>
                                <w:rFonts w:asciiTheme="minorHAnsi" w:hAnsiTheme="minorHAnsi"/>
                                <w:sz w:val="18"/>
                                <w:szCs w:val="18"/>
                                <w:lang w:eastAsia="fr-FR" w:bidi="fr-FR"/>
                              </w:rPr>
                              <w:t>2 741 894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PASA Loumakaf : 10 879 741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i/>
                                <w:sz w:val="18"/>
                                <w:szCs w:val="18"/>
                                <w:lang w:eastAsia="fr-FR" w:bidi="fr-FR"/>
                              </w:rPr>
                              <w:t>Communes : 819 534 USD</w:t>
                            </w:r>
                          </w:p>
                          <w:p w:rsidR="00061010" w:rsidRPr="00061010" w:rsidRDefault="00061010" w:rsidP="0070673A">
                            <w:pPr>
                              <w:tabs>
                                <w:tab w:val="right" w:pos="4395"/>
                              </w:tabs>
                              <w:rPr>
                                <w:sz w:val="18"/>
                                <w:szCs w:val="18"/>
                              </w:rPr>
                            </w:pPr>
                            <w:r w:rsidRPr="00061010">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8C08" id="Zone de texte 51" o:spid="_x0000_s1027" type="#_x0000_t202" style="position:absolute;margin-left:265.85pt;margin-top:.35pt;width:226pt;height:156.35pt;z-index:25175347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">
                <v:textbox>
                  <w:txbxContent>
                    <w:p w:rsidR="00061010" w:rsidRPr="00061010" w:rsidRDefault="00061010" w:rsidP="0070673A">
                      <w:pPr>
                        <w:tabs>
                          <w:tab w:val="right" w:pos="4253"/>
                        </w:tabs>
                        <w:spacing w:after="0"/>
                        <w:rPr>
                          <w:rFonts w:asciiTheme="minorHAnsi" w:hAnsiTheme="minorHAnsi"/>
                          <w:b/>
                          <w:sz w:val="18"/>
                          <w:szCs w:val="18"/>
                          <w:lang w:val="en-US"/>
                        </w:rPr>
                      </w:pPr>
                      <w:r w:rsidRPr="00061010">
                        <w:rPr>
                          <w:rFonts w:asciiTheme="minorHAnsi" w:hAnsiTheme="minorHAnsi"/>
                          <w:b/>
                          <w:sz w:val="18"/>
                          <w:szCs w:val="18"/>
                          <w:lang w:val="en-US"/>
                        </w:rPr>
                        <w:t xml:space="preserve">Budget Total </w:t>
                      </w:r>
                      <w:r w:rsidRPr="00061010">
                        <w:rPr>
                          <w:rFonts w:asciiTheme="minorHAnsi" w:hAnsiTheme="minorHAnsi"/>
                          <w:sz w:val="18"/>
                          <w:szCs w:val="18"/>
                          <w:lang w:val="en-US"/>
                        </w:rPr>
                        <w:t>: 6 960 000 US D</w:t>
                      </w:r>
                    </w:p>
                    <w:p w:rsidR="00061010" w:rsidRPr="00061010" w:rsidRDefault="00061010" w:rsidP="0070673A">
                      <w:pPr>
                        <w:tabs>
                          <w:tab w:val="right" w:pos="4395"/>
                        </w:tabs>
                        <w:spacing w:after="0"/>
                        <w:rPr>
                          <w:rFonts w:asciiTheme="minorHAnsi" w:hAnsiTheme="minorHAnsi"/>
                          <w:b/>
                          <w:sz w:val="18"/>
                          <w:szCs w:val="18"/>
                          <w:lang w:val="en-US"/>
                        </w:rPr>
                      </w:pPr>
                      <w:r w:rsidRPr="00061010">
                        <w:rPr>
                          <w:rFonts w:asciiTheme="minorHAnsi" w:hAnsiTheme="minorHAnsi"/>
                          <w:b/>
                          <w:sz w:val="18"/>
                          <w:szCs w:val="18"/>
                          <w:lang w:val="en-US"/>
                        </w:rPr>
                        <w:t>-FEM/FPMA (subvention)</w:t>
                      </w:r>
                      <w:r w:rsidRPr="00061010">
                        <w:rPr>
                          <w:rFonts w:asciiTheme="minorHAnsi" w:hAnsiTheme="minorHAnsi"/>
                          <w:sz w:val="18"/>
                          <w:szCs w:val="18"/>
                          <w:lang w:val="en-US"/>
                        </w:rPr>
                        <w:t xml:space="preserve"> :     </w:t>
                      </w:r>
                      <w:r w:rsidRPr="00061010">
                        <w:rPr>
                          <w:rFonts w:asciiTheme="minorHAnsi" w:hAnsiTheme="minorHAnsi"/>
                          <w:sz w:val="18"/>
                          <w:szCs w:val="18"/>
                          <w:lang w:val="en-US" w:eastAsia="fr-FR" w:bidi="fr-FR"/>
                        </w:rPr>
                        <w:t>5 460 000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-PNUD (subvention)</w:t>
                      </w:r>
                      <w:r w:rsidRPr="00061010">
                        <w:rPr>
                          <w:rFonts w:asciiTheme="minorHAnsi" w:hAnsiTheme="minorHAnsi"/>
                          <w:sz w:val="18"/>
                          <w:szCs w:val="18"/>
                        </w:rPr>
                        <w:t xml:space="preserve"> :                  </w:t>
                      </w:r>
                      <w:r w:rsidRPr="00061010">
                        <w:rPr>
                          <w:rFonts w:asciiTheme="minorHAnsi" w:hAnsiTheme="minorHAnsi"/>
                          <w:sz w:val="18"/>
                          <w:szCs w:val="18"/>
                          <w:lang w:eastAsia="fr-FR" w:bidi="fr-FR"/>
                        </w:rPr>
                        <w:t>500 000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-ETAT (subvention)</w:t>
                      </w:r>
                      <w:r w:rsidRPr="00061010">
                        <w:rPr>
                          <w:rFonts w:asciiTheme="minorHAnsi" w:hAnsiTheme="minorHAnsi"/>
                          <w:sz w:val="18"/>
                          <w:szCs w:val="18"/>
                        </w:rPr>
                        <w:t xml:space="preserve"> :                 1 000 000 USD </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sz w:val="18"/>
                          <w:szCs w:val="18"/>
                        </w:rPr>
                        <w:t xml:space="preserve">  GDS (en nature) :                     1 000 000 USD</w:t>
                      </w:r>
                      <w:r w:rsidRPr="00061010">
                        <w:rPr>
                          <w:rFonts w:asciiTheme="minorHAnsi" w:hAnsiTheme="minorHAnsi"/>
                          <w:sz w:val="18"/>
                          <w:szCs w:val="18"/>
                        </w:rPr>
                        <w:tab/>
                      </w:r>
                    </w:p>
                    <w:p w:rsidR="00061010" w:rsidRPr="00061010" w:rsidRDefault="00061010" w:rsidP="0070673A">
                      <w:pPr>
                        <w:tabs>
                          <w:tab w:val="right" w:pos="4357"/>
                        </w:tabs>
                        <w:spacing w:after="0"/>
                        <w:rPr>
                          <w:rFonts w:asciiTheme="minorHAnsi" w:hAnsiTheme="minorHAnsi"/>
                          <w:b/>
                          <w:sz w:val="18"/>
                          <w:szCs w:val="18"/>
                        </w:rPr>
                      </w:pPr>
                      <w:r w:rsidRPr="00061010">
                        <w:rPr>
                          <w:rFonts w:asciiTheme="minorHAnsi" w:hAnsiTheme="minorHAnsi"/>
                          <w:b/>
                          <w:smallCaps/>
                          <w:sz w:val="18"/>
                          <w:szCs w:val="18"/>
                          <w:lang w:eastAsia="fr-FR" w:bidi="fr-FR"/>
                        </w:rPr>
                        <w:t>Cofinancement parallèle</w:t>
                      </w:r>
                      <w:r w:rsidRPr="00061010">
                        <w:rPr>
                          <w:rFonts w:asciiTheme="minorHAnsi" w:hAnsiTheme="minorHAnsi"/>
                          <w:b/>
                          <w:sz w:val="18"/>
                          <w:szCs w:val="18"/>
                        </w:rPr>
                        <w:t xml:space="preserve"> :</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MEDD : </w:t>
                      </w:r>
                      <w:r w:rsidRPr="00061010">
                        <w:rPr>
                          <w:rFonts w:asciiTheme="minorHAnsi" w:hAnsiTheme="minorHAnsi"/>
                          <w:sz w:val="18"/>
                          <w:szCs w:val="18"/>
                          <w:lang w:eastAsia="fr-FR" w:bidi="fr-FR"/>
                        </w:rPr>
                        <w:t>8 400 000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ANACIM : </w:t>
                      </w:r>
                      <w:r w:rsidRPr="00061010">
                        <w:rPr>
                          <w:rFonts w:asciiTheme="minorHAnsi" w:hAnsiTheme="minorHAnsi"/>
                          <w:i/>
                          <w:sz w:val="18"/>
                          <w:szCs w:val="18"/>
                          <w:lang w:eastAsia="fr-FR" w:bidi="fr-FR"/>
                        </w:rPr>
                        <w:t>2 500 000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PNUD : 6 000 000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PADAER </w:t>
                      </w:r>
                      <w:r w:rsidRPr="00061010">
                        <w:rPr>
                          <w:rFonts w:asciiTheme="minorHAnsi" w:hAnsiTheme="minorHAnsi"/>
                          <w:i/>
                          <w:sz w:val="18"/>
                          <w:szCs w:val="18"/>
                          <w:lang w:eastAsia="fr-FR" w:bidi="fr-FR"/>
                        </w:rPr>
                        <w:t xml:space="preserve">: </w:t>
                      </w:r>
                      <w:r w:rsidRPr="00061010">
                        <w:rPr>
                          <w:rFonts w:asciiTheme="minorHAnsi" w:hAnsiTheme="minorHAnsi"/>
                          <w:sz w:val="18"/>
                          <w:szCs w:val="18"/>
                          <w:lang w:eastAsia="fr-FR" w:bidi="fr-FR"/>
                        </w:rPr>
                        <w:t>2 741 894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PASA Loumakaf : 10 879 741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i/>
                          <w:sz w:val="18"/>
                          <w:szCs w:val="18"/>
                          <w:lang w:eastAsia="fr-FR" w:bidi="fr-FR"/>
                        </w:rPr>
                        <w:t>Communes : 819 534 USD</w:t>
                      </w:r>
                    </w:p>
                    <w:p w:rsidR="00061010" w:rsidRPr="00061010" w:rsidRDefault="00061010" w:rsidP="0070673A">
                      <w:pPr>
                        <w:tabs>
                          <w:tab w:val="right" w:pos="4395"/>
                        </w:tabs>
                        <w:rPr>
                          <w:sz w:val="18"/>
                          <w:szCs w:val="18"/>
                        </w:rPr>
                      </w:pPr>
                      <w:r w:rsidRPr="00061010">
                        <w:rPr>
                          <w:sz w:val="18"/>
                          <w:szCs w:val="18"/>
                        </w:rPr>
                        <w:t xml:space="preserve">  </w:t>
                      </w:r>
                    </w:p>
                  </w:txbxContent>
                </v:textbox>
              </v:shape>
            </w:pict>
          </mc:Fallback>
        </mc:AlternateContent>
      </w:r>
      <w:r w:rsidR="00E22425" w:rsidRPr="00075058">
        <w:rPr>
          <w:b/>
          <w:lang w:eastAsia="fr-FR" w:bidi="fr-FR"/>
        </w:rPr>
        <w:t xml:space="preserve"> </w:t>
      </w:r>
    </w:p>
    <w:p w:rsidR="00415D1C" w:rsidRDefault="00415D1C" w:rsidP="00E22425">
      <w:pPr>
        <w:spacing w:after="120"/>
        <w:rPr>
          <w:lang w:eastAsia="fr-FR" w:bidi="fr-FR"/>
        </w:rPr>
      </w:pPr>
    </w:p>
    <w:p w:rsidR="00415D1C" w:rsidRDefault="00415D1C" w:rsidP="00E22425">
      <w:pPr>
        <w:spacing w:after="120"/>
        <w:rPr>
          <w:lang w:eastAsia="fr-FR" w:bidi="fr-FR"/>
        </w:rPr>
      </w:pPr>
    </w:p>
    <w:p w:rsidR="00E22425" w:rsidRDefault="00E22425" w:rsidP="00E22425">
      <w:pPr>
        <w:spacing w:after="120"/>
        <w:rPr>
          <w:b/>
          <w:lang w:eastAsia="fr-FR" w:bidi="fr-FR"/>
        </w:rPr>
      </w:pPr>
    </w:p>
    <w:p w:rsidR="00EC242A" w:rsidRPr="001066CD" w:rsidRDefault="00EC242A"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noProof/>
          <w:sz w:val="22"/>
          <w:szCs w:val="22"/>
        </w:rPr>
        <mc:AlternateContent>
          <mc:Choice Requires="wps">
            <w:drawing>
              <wp:anchor distT="0" distB="0" distL="114300" distR="114300" simplePos="0" relativeHeight="251755520" behindDoc="0" locked="0" layoutInCell="1" allowOverlap="1" wp14:anchorId="3AA7784B" wp14:editId="593E1152">
                <wp:simplePos x="0" y="0"/>
                <wp:positionH relativeFrom="margin">
                  <wp:align>right</wp:align>
                </wp:positionH>
                <wp:positionV relativeFrom="paragraph">
                  <wp:posOffset>1236345</wp:posOffset>
                </wp:positionV>
                <wp:extent cx="6242050" cy="1176338"/>
                <wp:effectExtent l="0" t="0" r="25400" b="2413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176338"/>
                        </a:xfrm>
                        <a:prstGeom prst="rect">
                          <a:avLst/>
                        </a:prstGeom>
                        <a:solidFill>
                          <a:srgbClr val="FFFFFF"/>
                        </a:solidFill>
                        <a:ln w="9525">
                          <a:solidFill>
                            <a:srgbClr val="000000"/>
                          </a:solidFill>
                          <a:miter lim="800000"/>
                          <a:headEnd/>
                          <a:tailEnd/>
                        </a:ln>
                      </wps:spPr>
                      <wps:txbx>
                        <w:txbxContent>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Approuvé au nom du :</w:t>
                            </w:r>
                          </w:p>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Gouvernement : Titre :_______________ Signature :</w:t>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t>Date :</w:t>
                            </w:r>
                          </w:p>
                          <w:p w:rsidR="00061010" w:rsidRDefault="00061010" w:rsidP="00EC242A">
                            <w:pPr>
                              <w:rPr>
                                <w:rFonts w:asciiTheme="minorHAnsi" w:hAnsiTheme="minorHAnsi"/>
                                <w:szCs w:val="20"/>
                              </w:rPr>
                            </w:pPr>
                          </w:p>
                          <w:p w:rsidR="00061010" w:rsidRDefault="00061010" w:rsidP="00EC242A">
                            <w:pPr>
                              <w:rPr>
                                <w:rFonts w:asciiTheme="minorHAnsi" w:hAnsiTheme="minorHAnsi"/>
                                <w:szCs w:val="20"/>
                              </w:rPr>
                            </w:pPr>
                          </w:p>
                          <w:p w:rsidR="00061010" w:rsidRDefault="00061010" w:rsidP="00EC242A">
                            <w:r>
                              <w:rPr>
                                <w:rFonts w:ascii="Garamond" w:hAnsi="Garamond" w:cs="Arial"/>
                                <w:b/>
                              </w:rPr>
                              <w:t>PNUD :</w:t>
                            </w:r>
                            <w:r>
                              <w:rPr>
                                <w:rFonts w:ascii="Garamond" w:hAnsi="Garamond" w:cs="Arial"/>
                                <w:b/>
                              </w:rPr>
                              <w:tab/>
                              <w:t xml:space="preserve"> Titre :___________________________</w:t>
                            </w:r>
                            <w:r w:rsidRPr="001066CD">
                              <w:rPr>
                                <w:rFonts w:ascii="Garamond" w:hAnsi="Garamond" w:cs="Arial"/>
                                <w:b/>
                              </w:rPr>
                              <w:t>Signature :</w:t>
                            </w:r>
                            <w:r w:rsidRPr="001066CD">
                              <w:rPr>
                                <w:rFonts w:ascii="Garamond" w:hAnsi="Garamond" w:cs="Arial"/>
                                <w:b/>
                              </w:rPr>
                              <w:tab/>
                            </w:r>
                            <w:r w:rsidRPr="001066CD">
                              <w:rPr>
                                <w:rFonts w:ascii="Garamond" w:hAnsi="Garamond" w:cs="Arial"/>
                                <w:b/>
                              </w:rPr>
                              <w:tab/>
                            </w:r>
                            <w:r w:rsidRPr="001066CD">
                              <w:rPr>
                                <w:rFonts w:ascii="Garamond" w:hAnsi="Garamond" w:cs="Arial"/>
                                <w:b/>
                              </w:rPr>
                              <w:tab/>
                            </w:r>
                            <w:r w:rsidRPr="001066CD">
                              <w:rPr>
                                <w:rFonts w:ascii="Garamond" w:hAnsi="Garamond" w:cs="Arial"/>
                                <w:b/>
                              </w:rPr>
                              <w:tab/>
                              <w:t>Date :</w:t>
                            </w:r>
                          </w:p>
                          <w:p w:rsidR="00061010" w:rsidRDefault="00061010" w:rsidP="00EC242A">
                            <w:pPr>
                              <w:spacing w:after="160" w:line="259" w:lineRule="auto"/>
                              <w:jc w:val="left"/>
                              <w:rPr>
                                <w:b/>
                                <w:lang w:eastAsia="fr-FR" w:bidi="fr-FR"/>
                              </w:rPr>
                            </w:pPr>
                            <w:r>
                              <w:rPr>
                                <w:b/>
                                <w:lang w:eastAsia="fr-FR" w:bidi="fr-FR"/>
                              </w:rPr>
                              <w:br w:type="page"/>
                            </w:r>
                          </w:p>
                          <w:p w:rsidR="00061010" w:rsidRPr="002B5200" w:rsidRDefault="00061010" w:rsidP="00EC242A">
                            <w:pPr>
                              <w:rPr>
                                <w:rFonts w:asciiTheme="minorHAnsi" w:hAnsiTheme="minorHAns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784B" id="Zone de texte 52" o:spid="_x0000_s1028" type="#_x0000_t202" style="position:absolute;left:0;text-align:left;margin-left:440.3pt;margin-top:97.35pt;width:491.5pt;height:92.6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">
                <v:textbox>
                  <w:txbxContent>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Approuvé au nom du :</w:t>
                      </w:r>
                    </w:p>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Gouvernement : Titre :_______________ Signature :</w:t>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t>Date :</w:t>
                      </w:r>
                    </w:p>
                    <w:p w:rsidR="00061010" w:rsidRDefault="00061010" w:rsidP="00EC242A">
                      <w:pPr>
                        <w:rPr>
                          <w:rFonts w:asciiTheme="minorHAnsi" w:hAnsiTheme="minorHAnsi"/>
                          <w:szCs w:val="20"/>
                        </w:rPr>
                      </w:pPr>
                    </w:p>
                    <w:p w:rsidR="00061010" w:rsidRDefault="00061010" w:rsidP="00EC242A">
                      <w:pPr>
                        <w:rPr>
                          <w:rFonts w:asciiTheme="minorHAnsi" w:hAnsiTheme="minorHAnsi"/>
                          <w:szCs w:val="20"/>
                        </w:rPr>
                      </w:pPr>
                    </w:p>
                    <w:p w:rsidR="00061010" w:rsidRDefault="00061010" w:rsidP="00EC242A">
                      <w:r>
                        <w:rPr>
                          <w:rFonts w:ascii="Garamond" w:hAnsi="Garamond" w:cs="Arial"/>
                          <w:b/>
                        </w:rPr>
                        <w:t>PNUD :</w:t>
                      </w:r>
                      <w:r>
                        <w:rPr>
                          <w:rFonts w:ascii="Garamond" w:hAnsi="Garamond" w:cs="Arial"/>
                          <w:b/>
                        </w:rPr>
                        <w:tab/>
                        <w:t xml:space="preserve"> Titre :___________________________</w:t>
                      </w:r>
                      <w:r w:rsidRPr="001066CD">
                        <w:rPr>
                          <w:rFonts w:ascii="Garamond" w:hAnsi="Garamond" w:cs="Arial"/>
                          <w:b/>
                        </w:rPr>
                        <w:t>Signature :</w:t>
                      </w:r>
                      <w:r w:rsidRPr="001066CD">
                        <w:rPr>
                          <w:rFonts w:ascii="Garamond" w:hAnsi="Garamond" w:cs="Arial"/>
                          <w:b/>
                        </w:rPr>
                        <w:tab/>
                      </w:r>
                      <w:r w:rsidRPr="001066CD">
                        <w:rPr>
                          <w:rFonts w:ascii="Garamond" w:hAnsi="Garamond" w:cs="Arial"/>
                          <w:b/>
                        </w:rPr>
                        <w:tab/>
                      </w:r>
                      <w:r w:rsidRPr="001066CD">
                        <w:rPr>
                          <w:rFonts w:ascii="Garamond" w:hAnsi="Garamond" w:cs="Arial"/>
                          <w:b/>
                        </w:rPr>
                        <w:tab/>
                      </w:r>
                      <w:r w:rsidRPr="001066CD">
                        <w:rPr>
                          <w:rFonts w:ascii="Garamond" w:hAnsi="Garamond" w:cs="Arial"/>
                          <w:b/>
                        </w:rPr>
                        <w:tab/>
                        <w:t>Date :</w:t>
                      </w:r>
                    </w:p>
                    <w:p w:rsidR="00061010" w:rsidRDefault="00061010" w:rsidP="00EC242A">
                      <w:pPr>
                        <w:spacing w:after="160" w:line="259" w:lineRule="auto"/>
                        <w:jc w:val="left"/>
                        <w:rPr>
                          <w:b/>
                          <w:lang w:eastAsia="fr-FR" w:bidi="fr-FR"/>
                        </w:rPr>
                      </w:pPr>
                      <w:r>
                        <w:rPr>
                          <w:b/>
                          <w:lang w:eastAsia="fr-FR" w:bidi="fr-FR"/>
                        </w:rPr>
                        <w:br w:type="page"/>
                      </w:r>
                    </w:p>
                    <w:p w:rsidR="00061010" w:rsidRPr="002B5200" w:rsidRDefault="00061010" w:rsidP="00EC242A">
                      <w:pPr>
                        <w:rPr>
                          <w:rFonts w:asciiTheme="minorHAnsi" w:hAnsiTheme="minorHAnsi"/>
                          <w:szCs w:val="20"/>
                        </w:rPr>
                      </w:pPr>
                    </w:p>
                  </w:txbxContent>
                </v:textbox>
                <w10:wrap anchorx="margin"/>
              </v:shape>
            </w:pict>
          </mc:Fallback>
        </mc:AlternateContent>
      </w:r>
      <w:r w:rsidR="00E22425">
        <w:rPr>
          <w:b/>
          <w:lang w:bidi="fr-FR"/>
        </w:rPr>
        <w:br w:type="page"/>
      </w:r>
    </w:p>
    <w:p w:rsidR="00EC242A" w:rsidRDefault="00EC242A" w:rsidP="00EC242A">
      <w:pPr>
        <w:pStyle w:val="NormalWeb"/>
        <w:spacing w:before="0" w:beforeAutospacing="0" w:after="120" w:afterAutospacing="0"/>
        <w:jc w:val="both"/>
        <w:rPr>
          <w:rFonts w:ascii="Garamond" w:hAnsi="Garamond" w:cs="Arial"/>
          <w:b/>
          <w:sz w:val="22"/>
          <w:szCs w:val="22"/>
        </w:rPr>
      </w:pPr>
    </w:p>
    <w:p w:rsidR="00E22425" w:rsidRPr="00EC242A" w:rsidRDefault="00E22425" w:rsidP="00EC242A">
      <w:pPr>
        <w:pStyle w:val="NormalWeb"/>
        <w:spacing w:before="0" w:beforeAutospacing="0" w:after="120" w:afterAutospacing="0"/>
        <w:jc w:val="both"/>
        <w:rPr>
          <w:rFonts w:ascii="Garamond" w:hAnsi="Garamond" w:cs="Arial"/>
          <w:b/>
          <w:sz w:val="22"/>
          <w:szCs w:val="22"/>
        </w:rPr>
      </w:pPr>
    </w:p>
    <w:p w:rsidR="00E22425" w:rsidRPr="00075058" w:rsidRDefault="00E22425" w:rsidP="00E22425">
      <w:pPr>
        <w:spacing w:after="120"/>
        <w:jc w:val="center"/>
        <w:rPr>
          <w:rFonts w:cs="Arial"/>
          <w:i/>
          <w:szCs w:val="20"/>
          <w:lang w:eastAsia="fr-FR" w:bidi="fr-FR"/>
        </w:rPr>
      </w:pPr>
      <w:r w:rsidRPr="00075058">
        <w:rPr>
          <w:b/>
          <w:lang w:eastAsia="fr-FR" w:bidi="fr-FR"/>
        </w:rPr>
        <w:t>Brève description du projet</w:t>
      </w:r>
    </w:p>
    <w:p w:rsidR="00E22425" w:rsidRPr="00075058" w:rsidRDefault="00E22425" w:rsidP="00E22425">
      <w:pPr>
        <w:spacing w:after="120"/>
        <w:rPr>
          <w:rFonts w:cs="Arial"/>
          <w:i/>
          <w:szCs w:val="20"/>
          <w:lang w:eastAsia="fr-FR" w:bidi="fr-FR"/>
        </w:rPr>
      </w:pPr>
      <w:r w:rsidRPr="00075058">
        <w:rPr>
          <w:lang w:eastAsia="fr-FR" w:bidi="fr-FR"/>
        </w:rPr>
        <w:t>Le Sénégal est particulièrement vulnérable au</w:t>
      </w:r>
      <w:r w:rsidR="00134D97">
        <w:rPr>
          <w:lang w:eastAsia="fr-FR" w:bidi="fr-FR"/>
        </w:rPr>
        <w:t>x</w:t>
      </w:r>
      <w:r w:rsidRPr="00075058">
        <w:rPr>
          <w:lang w:eastAsia="fr-FR" w:bidi="fr-FR"/>
        </w:rPr>
        <w:t xml:space="preserve"> </w:t>
      </w:r>
      <w:r w:rsidR="00134D97">
        <w:rPr>
          <w:lang w:eastAsia="fr-FR" w:bidi="fr-FR"/>
        </w:rPr>
        <w:t>changements</w:t>
      </w:r>
      <w:r w:rsidR="00134D97" w:rsidRPr="00075058">
        <w:rPr>
          <w:lang w:eastAsia="fr-FR" w:bidi="fr-FR"/>
        </w:rPr>
        <w:t xml:space="preserve"> </w:t>
      </w:r>
      <w:r w:rsidRPr="00075058">
        <w:rPr>
          <w:lang w:eastAsia="fr-FR" w:bidi="fr-FR"/>
        </w:rPr>
        <w:t>climatique</w:t>
      </w:r>
      <w:r w:rsidR="00134D97">
        <w:rPr>
          <w:lang w:eastAsia="fr-FR" w:bidi="fr-FR"/>
        </w:rPr>
        <w:t>s qui</w:t>
      </w:r>
      <w:r w:rsidRPr="00075058">
        <w:rPr>
          <w:lang w:eastAsia="fr-FR" w:bidi="fr-FR"/>
        </w:rPr>
        <w:t xml:space="preserve"> menace</w:t>
      </w:r>
      <w:r w:rsidR="00134D97">
        <w:rPr>
          <w:lang w:eastAsia="fr-FR" w:bidi="fr-FR"/>
        </w:rPr>
        <w:t>nt</w:t>
      </w:r>
      <w:r w:rsidRPr="00075058">
        <w:rPr>
          <w:lang w:eastAsia="fr-FR" w:bidi="fr-FR"/>
        </w:rPr>
        <w:t xml:space="preserve"> les principa</w:t>
      </w:r>
      <w:r w:rsidR="00134D97">
        <w:rPr>
          <w:lang w:eastAsia="fr-FR" w:bidi="fr-FR"/>
        </w:rPr>
        <w:t>les</w:t>
      </w:r>
      <w:r w:rsidRPr="00075058">
        <w:rPr>
          <w:lang w:eastAsia="fr-FR" w:bidi="fr-FR"/>
        </w:rPr>
        <w:t xml:space="preserve"> </w:t>
      </w:r>
      <w:r w:rsidR="00134D97">
        <w:rPr>
          <w:lang w:eastAsia="fr-FR" w:bidi="fr-FR"/>
        </w:rPr>
        <w:t xml:space="preserve">composantes </w:t>
      </w:r>
      <w:r w:rsidRPr="00075058">
        <w:rPr>
          <w:lang w:eastAsia="fr-FR" w:bidi="fr-FR"/>
        </w:rPr>
        <w:t>de son économie rurale. Dans le cadre du projet</w:t>
      </w:r>
      <w:r w:rsidR="003A66D0">
        <w:rPr>
          <w:lang w:eastAsia="fr-FR" w:bidi="fr-FR"/>
        </w:rPr>
        <w:t xml:space="preserve"> financé par les fonds PMA’</w:t>
      </w:r>
      <w:r w:rsidR="00234FC0">
        <w:rPr>
          <w:lang w:eastAsia="fr-FR" w:bidi="fr-FR"/>
        </w:rPr>
        <w:t xml:space="preserve"> </w:t>
      </w:r>
      <w:r w:rsidR="003A66D0">
        <w:rPr>
          <w:lang w:eastAsia="fr-FR" w:bidi="fr-FR"/>
        </w:rPr>
        <w:t>pays les moins avancés)</w:t>
      </w:r>
      <w:r w:rsidRPr="00075058">
        <w:rPr>
          <w:lang w:eastAsia="fr-FR" w:bidi="fr-FR"/>
        </w:rPr>
        <w:t>, quatre sites ont été choisis du fait de leur vulnérabilité face au</w:t>
      </w:r>
      <w:r w:rsidR="003A66D0">
        <w:rPr>
          <w:lang w:eastAsia="fr-FR" w:bidi="fr-FR"/>
        </w:rPr>
        <w:t>x</w:t>
      </w:r>
      <w:r w:rsidRPr="00075058">
        <w:rPr>
          <w:lang w:eastAsia="fr-FR" w:bidi="fr-FR"/>
        </w:rPr>
        <w:t xml:space="preserve"> </w:t>
      </w:r>
      <w:r w:rsidR="003A66D0">
        <w:rPr>
          <w:lang w:eastAsia="fr-FR" w:bidi="fr-FR"/>
        </w:rPr>
        <w:t>changements</w:t>
      </w:r>
      <w:r w:rsidR="003A66D0" w:rsidRPr="00075058">
        <w:rPr>
          <w:lang w:eastAsia="fr-FR" w:bidi="fr-FR"/>
        </w:rPr>
        <w:t xml:space="preserve"> </w:t>
      </w:r>
      <w:r w:rsidRPr="00075058">
        <w:rPr>
          <w:lang w:eastAsia="fr-FR" w:bidi="fr-FR"/>
        </w:rPr>
        <w:t>climatique</w:t>
      </w:r>
      <w:r w:rsidR="003A66D0">
        <w:rPr>
          <w:lang w:eastAsia="fr-FR" w:bidi="fr-FR"/>
        </w:rPr>
        <w:t>s</w:t>
      </w:r>
      <w:r w:rsidRPr="00075058">
        <w:rPr>
          <w:lang w:eastAsia="fr-FR" w:bidi="fr-FR"/>
        </w:rPr>
        <w:t xml:space="preserve"> et de la présence de réserves </w:t>
      </w:r>
      <w:r w:rsidR="003A66D0">
        <w:rPr>
          <w:lang w:eastAsia="fr-FR" w:bidi="fr-FR"/>
        </w:rPr>
        <w:t>naturelles</w:t>
      </w:r>
      <w:r w:rsidR="003A66D0" w:rsidRPr="00075058">
        <w:rPr>
          <w:lang w:eastAsia="fr-FR" w:bidi="fr-FR"/>
        </w:rPr>
        <w:t xml:space="preserve"> </w:t>
      </w:r>
      <w:r w:rsidRPr="00075058">
        <w:rPr>
          <w:lang w:eastAsia="fr-FR" w:bidi="fr-FR"/>
        </w:rPr>
        <w:t>communautaires (RNC) qu</w:t>
      </w:r>
      <w:r>
        <w:rPr>
          <w:lang w:eastAsia="fr-FR" w:bidi="fr-FR"/>
        </w:rPr>
        <w:t xml:space="preserve">i sont considérées comme </w:t>
      </w:r>
      <w:r w:rsidR="003A66D0">
        <w:rPr>
          <w:lang w:eastAsia="fr-FR" w:bidi="fr-FR"/>
        </w:rPr>
        <w:t>des</w:t>
      </w:r>
      <w:r w:rsidR="003A66D0" w:rsidRPr="00075058">
        <w:rPr>
          <w:lang w:eastAsia="fr-FR" w:bidi="fr-FR"/>
        </w:rPr>
        <w:t xml:space="preserve"> </w:t>
      </w:r>
      <w:r w:rsidR="003A66D0">
        <w:rPr>
          <w:lang w:eastAsia="fr-FR" w:bidi="fr-FR"/>
        </w:rPr>
        <w:t>outils</w:t>
      </w:r>
      <w:r w:rsidR="003A66D0" w:rsidRPr="00075058">
        <w:rPr>
          <w:lang w:eastAsia="fr-FR" w:bidi="fr-FR"/>
        </w:rPr>
        <w:t xml:space="preserve"> </w:t>
      </w:r>
      <w:r w:rsidRPr="00075058">
        <w:rPr>
          <w:lang w:eastAsia="fr-FR" w:bidi="fr-FR"/>
        </w:rPr>
        <w:t>clé</w:t>
      </w:r>
      <w:r w:rsidR="003A66D0">
        <w:rPr>
          <w:lang w:eastAsia="fr-FR" w:bidi="fr-FR"/>
        </w:rPr>
        <w:t>s</w:t>
      </w:r>
      <w:r w:rsidRPr="00075058">
        <w:rPr>
          <w:lang w:eastAsia="fr-FR" w:bidi="fr-FR"/>
        </w:rPr>
        <w:t xml:space="preserve"> pour</w:t>
      </w:r>
      <w:r w:rsidR="003A66D0">
        <w:rPr>
          <w:lang w:eastAsia="fr-FR" w:bidi="fr-FR"/>
        </w:rPr>
        <w:t xml:space="preserve"> la stratégie</w:t>
      </w:r>
      <w:r w:rsidRPr="00075058">
        <w:rPr>
          <w:lang w:eastAsia="fr-FR" w:bidi="fr-FR"/>
        </w:rPr>
        <w:t xml:space="preserve"> </w:t>
      </w:r>
      <w:r w:rsidR="00FD0F46">
        <w:rPr>
          <w:lang w:eastAsia="fr-FR" w:bidi="fr-FR"/>
        </w:rPr>
        <w:t>d</w:t>
      </w:r>
      <w:r w:rsidRPr="00075058">
        <w:rPr>
          <w:lang w:eastAsia="fr-FR" w:bidi="fr-FR"/>
        </w:rPr>
        <w:t>'adaptation au niveau local</w:t>
      </w:r>
      <w:r w:rsidR="00FD0F46">
        <w:rPr>
          <w:lang w:eastAsia="fr-FR" w:bidi="fr-FR"/>
        </w:rPr>
        <w:t> :</w:t>
      </w:r>
      <w:r w:rsidRPr="00075058">
        <w:rPr>
          <w:lang w:eastAsia="fr-FR" w:bidi="fr-FR"/>
        </w:rPr>
        <w:t xml:space="preserve"> le delta du Saloum, le delta du </w:t>
      </w:r>
      <w:r>
        <w:rPr>
          <w:lang w:eastAsia="fr-FR" w:bidi="fr-FR"/>
        </w:rPr>
        <w:t xml:space="preserve">fleuve </w:t>
      </w:r>
      <w:r w:rsidRPr="00075058">
        <w:rPr>
          <w:lang w:eastAsia="fr-FR" w:bidi="fr-FR"/>
        </w:rPr>
        <w:t>Sénégal, le Ferlo</w:t>
      </w:r>
      <w:r>
        <w:rPr>
          <w:lang w:eastAsia="fr-FR" w:bidi="fr-FR"/>
        </w:rPr>
        <w:t xml:space="preserve"> et le Niokolo-</w:t>
      </w:r>
      <w:r w:rsidRPr="00075058">
        <w:rPr>
          <w:lang w:eastAsia="fr-FR" w:bidi="fr-FR"/>
        </w:rPr>
        <w:t>Koba. Les RNC ont été créées en 2002 dans le cadre du Projet de gestion intégrée des écosystèmes du Sénégal (PGIES). Ce sont des zones forestières (englobant une ou plusieurs communes) cogérées par les communes et un groupe de villages garantissant une utilisation participative et durable des ressources naturelles.</w:t>
      </w:r>
    </w:p>
    <w:p w:rsidR="00E22425" w:rsidRPr="00075058" w:rsidRDefault="00E22425" w:rsidP="00E22425">
      <w:pPr>
        <w:spacing w:after="0"/>
        <w:rPr>
          <w:rFonts w:cs="Arial"/>
          <w:i/>
          <w:szCs w:val="20"/>
          <w:lang w:eastAsia="fr-FR" w:bidi="fr-FR"/>
        </w:rPr>
      </w:pPr>
      <w:r>
        <w:rPr>
          <w:lang w:eastAsia="fr-FR" w:bidi="fr-FR"/>
        </w:rPr>
        <w:t>Le projet</w:t>
      </w:r>
      <w:r w:rsidRPr="00075058">
        <w:rPr>
          <w:lang w:eastAsia="fr-FR" w:bidi="fr-FR"/>
        </w:rPr>
        <w:t xml:space="preserve"> </w:t>
      </w:r>
      <w:r w:rsidR="00C4078E">
        <w:rPr>
          <w:lang w:eastAsia="fr-FR" w:bidi="fr-FR"/>
        </w:rPr>
        <w:t>vise,</w:t>
      </w:r>
      <w:r w:rsidRPr="00075058">
        <w:rPr>
          <w:lang w:eastAsia="fr-FR" w:bidi="fr-FR"/>
        </w:rPr>
        <w:t xml:space="preserve"> sur </w:t>
      </w:r>
      <w:r w:rsidR="00C4078E">
        <w:rPr>
          <w:lang w:eastAsia="fr-FR" w:bidi="fr-FR"/>
        </w:rPr>
        <w:t>la base des Réserves</w:t>
      </w:r>
      <w:r w:rsidR="00C4078E" w:rsidRPr="00075058">
        <w:rPr>
          <w:lang w:eastAsia="fr-FR" w:bidi="fr-FR"/>
        </w:rPr>
        <w:t xml:space="preserve"> </w:t>
      </w:r>
      <w:r w:rsidRPr="00075058">
        <w:rPr>
          <w:lang w:eastAsia="fr-FR" w:bidi="fr-FR"/>
        </w:rPr>
        <w:t>naturelles communautaires et unités pastorales (RNC/UP) existantes</w:t>
      </w:r>
      <w:r w:rsidR="002C6446">
        <w:rPr>
          <w:lang w:eastAsia="fr-FR" w:bidi="fr-FR"/>
        </w:rPr>
        <w:t>,</w:t>
      </w:r>
      <w:r w:rsidRPr="00075058">
        <w:rPr>
          <w:lang w:eastAsia="fr-FR" w:bidi="fr-FR"/>
        </w:rPr>
        <w:t xml:space="preserve"> </w:t>
      </w:r>
      <w:r w:rsidR="00C4078E">
        <w:rPr>
          <w:lang w:eastAsia="fr-FR" w:bidi="fr-FR"/>
        </w:rPr>
        <w:t>à</w:t>
      </w:r>
      <w:r w:rsidRPr="00075058">
        <w:rPr>
          <w:lang w:eastAsia="fr-FR" w:bidi="fr-FR"/>
        </w:rPr>
        <w:t xml:space="preserve"> renforcer </w:t>
      </w:r>
      <w:r w:rsidR="00C4078E">
        <w:rPr>
          <w:lang w:eastAsia="fr-FR" w:bidi="fr-FR"/>
        </w:rPr>
        <w:t>les</w:t>
      </w:r>
      <w:r w:rsidR="00C4078E" w:rsidRPr="00075058">
        <w:rPr>
          <w:lang w:eastAsia="fr-FR" w:bidi="fr-FR"/>
        </w:rPr>
        <w:t xml:space="preserve"> </w:t>
      </w:r>
      <w:r w:rsidRPr="00075058">
        <w:rPr>
          <w:lang w:eastAsia="fr-FR" w:bidi="fr-FR"/>
        </w:rPr>
        <w:t>capacité</w:t>
      </w:r>
      <w:r w:rsidR="00C4078E">
        <w:rPr>
          <w:lang w:eastAsia="fr-FR" w:bidi="fr-FR"/>
        </w:rPr>
        <w:t>s</w:t>
      </w:r>
      <w:r w:rsidRPr="00075058">
        <w:rPr>
          <w:lang w:eastAsia="fr-FR" w:bidi="fr-FR"/>
        </w:rPr>
        <w:t xml:space="preserve"> d'adaptation </w:t>
      </w:r>
      <w:r w:rsidR="00C4078E">
        <w:rPr>
          <w:lang w:eastAsia="fr-FR" w:bidi="fr-FR"/>
        </w:rPr>
        <w:t>afin de</w:t>
      </w:r>
      <w:r w:rsidR="00C4078E" w:rsidRPr="00075058">
        <w:rPr>
          <w:lang w:eastAsia="fr-FR" w:bidi="fr-FR"/>
        </w:rPr>
        <w:t xml:space="preserve"> </w:t>
      </w:r>
      <w:r w:rsidR="00C4078E">
        <w:rPr>
          <w:lang w:eastAsia="fr-FR" w:bidi="fr-FR"/>
        </w:rPr>
        <w:t>lever</w:t>
      </w:r>
      <w:r w:rsidRPr="00075058">
        <w:rPr>
          <w:lang w:eastAsia="fr-FR" w:bidi="fr-FR"/>
        </w:rPr>
        <w:t xml:space="preserve"> les </w:t>
      </w:r>
      <w:r w:rsidR="00C4078E">
        <w:rPr>
          <w:lang w:eastAsia="fr-FR" w:bidi="fr-FR"/>
        </w:rPr>
        <w:t>barrières</w:t>
      </w:r>
      <w:r w:rsidR="00C4078E" w:rsidRPr="00075058">
        <w:rPr>
          <w:lang w:eastAsia="fr-FR" w:bidi="fr-FR"/>
        </w:rPr>
        <w:t xml:space="preserve"> </w:t>
      </w:r>
      <w:r w:rsidRPr="00075058">
        <w:rPr>
          <w:lang w:eastAsia="fr-FR" w:bidi="fr-FR"/>
        </w:rPr>
        <w:t>identifié</w:t>
      </w:r>
      <w:r w:rsidR="00C4078E">
        <w:rPr>
          <w:lang w:eastAsia="fr-FR" w:bidi="fr-FR"/>
        </w:rPr>
        <w:t>e</w:t>
      </w:r>
      <w:r w:rsidRPr="00075058">
        <w:rPr>
          <w:lang w:eastAsia="fr-FR" w:bidi="fr-FR"/>
        </w:rPr>
        <w:t>s tel</w:t>
      </w:r>
      <w:r w:rsidR="00C4078E">
        <w:rPr>
          <w:lang w:eastAsia="fr-FR" w:bidi="fr-FR"/>
        </w:rPr>
        <w:t>le</w:t>
      </w:r>
      <w:r w:rsidRPr="00075058">
        <w:rPr>
          <w:lang w:eastAsia="fr-FR" w:bidi="fr-FR"/>
        </w:rPr>
        <w:t>s que :</w:t>
      </w:r>
    </w:p>
    <w:p w:rsidR="00E22425" w:rsidRPr="00075058" w:rsidRDefault="00E22425" w:rsidP="00E22425">
      <w:pPr>
        <w:numPr>
          <w:ilvl w:val="0"/>
          <w:numId w:val="58"/>
        </w:numPr>
        <w:spacing w:after="0"/>
        <w:contextualSpacing/>
        <w:rPr>
          <w:szCs w:val="20"/>
          <w:lang w:eastAsia="fr-FR" w:bidi="fr-FR"/>
        </w:rPr>
      </w:pPr>
      <w:r>
        <w:rPr>
          <w:lang w:eastAsia="fr-FR" w:bidi="fr-FR"/>
        </w:rPr>
        <w:t>l</w:t>
      </w:r>
      <w:r w:rsidRPr="00075058">
        <w:rPr>
          <w:lang w:eastAsia="fr-FR" w:bidi="fr-FR"/>
        </w:rPr>
        <w:t xml:space="preserve">es </w:t>
      </w:r>
      <w:r w:rsidR="00C4078E">
        <w:rPr>
          <w:lang w:eastAsia="fr-FR" w:bidi="fr-FR"/>
        </w:rPr>
        <w:t>capacités limitées des</w:t>
      </w:r>
      <w:r w:rsidRPr="00075058">
        <w:rPr>
          <w:lang w:eastAsia="fr-FR" w:bidi="fr-FR"/>
        </w:rPr>
        <w:t xml:space="preserve"> acteurs locaux (communes, institutions financières, sociétés civiles et entreprises privées) </w:t>
      </w:r>
      <w:r w:rsidR="00A4630B">
        <w:rPr>
          <w:lang w:eastAsia="fr-FR" w:bidi="fr-FR"/>
        </w:rPr>
        <w:t>à</w:t>
      </w:r>
      <w:r w:rsidRPr="00075058">
        <w:rPr>
          <w:lang w:eastAsia="fr-FR" w:bidi="fr-FR"/>
        </w:rPr>
        <w:t xml:space="preserve"> </w:t>
      </w:r>
      <w:r w:rsidR="00A4630B">
        <w:rPr>
          <w:lang w:eastAsia="fr-FR" w:bidi="fr-FR"/>
        </w:rPr>
        <w:t xml:space="preserve">mobiliser </w:t>
      </w:r>
      <w:r w:rsidRPr="00075058">
        <w:rPr>
          <w:lang w:eastAsia="fr-FR" w:bidi="fr-FR"/>
        </w:rPr>
        <w:t xml:space="preserve">et </w:t>
      </w:r>
      <w:r w:rsidR="00A4630B">
        <w:rPr>
          <w:lang w:eastAsia="fr-FR" w:bidi="fr-FR"/>
        </w:rPr>
        <w:t>à gérer</w:t>
      </w:r>
      <w:r w:rsidRPr="00075058">
        <w:rPr>
          <w:lang w:eastAsia="fr-FR" w:bidi="fr-FR"/>
        </w:rPr>
        <w:t xml:space="preserve"> des financements dédiés à l'adaptation aux changements climatiques.</w:t>
      </w:r>
    </w:p>
    <w:p w:rsidR="00E22425" w:rsidRPr="00075058" w:rsidRDefault="002C6446" w:rsidP="00E22425">
      <w:pPr>
        <w:numPr>
          <w:ilvl w:val="0"/>
          <w:numId w:val="58"/>
        </w:numPr>
        <w:spacing w:after="0"/>
        <w:contextualSpacing/>
        <w:rPr>
          <w:szCs w:val="20"/>
          <w:lang w:eastAsia="fr-FR" w:bidi="fr-FR"/>
        </w:rPr>
      </w:pPr>
      <w:r>
        <w:rPr>
          <w:lang w:eastAsia="fr-FR" w:bidi="fr-FR"/>
        </w:rPr>
        <w:t>les</w:t>
      </w:r>
      <w:r w:rsidR="00E22425" w:rsidRPr="00075058">
        <w:rPr>
          <w:lang w:eastAsia="fr-FR" w:bidi="fr-FR"/>
        </w:rPr>
        <w:t xml:space="preserve"> </w:t>
      </w:r>
      <w:r w:rsidR="00A4630B">
        <w:rPr>
          <w:lang w:eastAsia="fr-FR" w:bidi="fr-FR"/>
        </w:rPr>
        <w:t>capacités limitées des</w:t>
      </w:r>
      <w:r w:rsidR="00E22425" w:rsidRPr="00075058">
        <w:rPr>
          <w:lang w:eastAsia="fr-FR" w:bidi="fr-FR"/>
        </w:rPr>
        <w:t xml:space="preserve"> communautés (en particulier les femmes) </w:t>
      </w:r>
      <w:r w:rsidR="00A4630B">
        <w:rPr>
          <w:lang w:eastAsia="fr-FR" w:bidi="fr-FR"/>
        </w:rPr>
        <w:t>à développer</w:t>
      </w:r>
      <w:r w:rsidR="00E22425" w:rsidRPr="00075058">
        <w:rPr>
          <w:lang w:eastAsia="fr-FR" w:bidi="fr-FR"/>
        </w:rPr>
        <w:t xml:space="preserve"> des opportunités et à </w:t>
      </w:r>
      <w:r w:rsidR="00A4630B">
        <w:rPr>
          <w:lang w:eastAsia="fr-FR" w:bidi="fr-FR"/>
        </w:rPr>
        <w:t>générer des</w:t>
      </w:r>
      <w:r w:rsidR="00E22425" w:rsidRPr="00075058">
        <w:rPr>
          <w:lang w:eastAsia="fr-FR" w:bidi="fr-FR"/>
        </w:rPr>
        <w:t xml:space="preserve"> revenus </w:t>
      </w:r>
      <w:r w:rsidR="00A4630B">
        <w:rPr>
          <w:lang w:eastAsia="fr-FR" w:bidi="fr-FR"/>
        </w:rPr>
        <w:t>de</w:t>
      </w:r>
      <w:r w:rsidR="00A4630B" w:rsidRPr="00075058">
        <w:rPr>
          <w:lang w:eastAsia="fr-FR" w:bidi="fr-FR"/>
        </w:rPr>
        <w:t xml:space="preserve"> </w:t>
      </w:r>
      <w:r w:rsidR="00A4630B">
        <w:rPr>
          <w:lang w:eastAsia="fr-FR" w:bidi="fr-FR"/>
        </w:rPr>
        <w:t>leurs</w:t>
      </w:r>
      <w:r w:rsidR="00A4630B" w:rsidRPr="00075058">
        <w:rPr>
          <w:lang w:eastAsia="fr-FR" w:bidi="fr-FR"/>
        </w:rPr>
        <w:t xml:space="preserve"> </w:t>
      </w:r>
      <w:r w:rsidR="00E22425" w:rsidRPr="00075058">
        <w:rPr>
          <w:lang w:eastAsia="fr-FR" w:bidi="fr-FR"/>
        </w:rPr>
        <w:t xml:space="preserve">activités productives </w:t>
      </w:r>
      <w:r w:rsidR="00E22425">
        <w:rPr>
          <w:lang w:eastAsia="fr-FR" w:bidi="fr-FR"/>
        </w:rPr>
        <w:t>résistantes</w:t>
      </w:r>
      <w:r w:rsidR="00E22425" w:rsidRPr="00075058">
        <w:rPr>
          <w:lang w:eastAsia="fr-FR" w:bidi="fr-FR"/>
        </w:rPr>
        <w:t xml:space="preserve"> au</w:t>
      </w:r>
      <w:r w:rsidR="00A4630B">
        <w:rPr>
          <w:lang w:eastAsia="fr-FR" w:bidi="fr-FR"/>
        </w:rPr>
        <w:t>x</w:t>
      </w:r>
      <w:r w:rsidR="00E22425" w:rsidRPr="00075058">
        <w:rPr>
          <w:lang w:eastAsia="fr-FR" w:bidi="fr-FR"/>
        </w:rPr>
        <w:t xml:space="preserve"> changement</w:t>
      </w:r>
      <w:r w:rsidR="00A4630B">
        <w:rPr>
          <w:lang w:eastAsia="fr-FR" w:bidi="fr-FR"/>
        </w:rPr>
        <w:t>s</w:t>
      </w:r>
      <w:r w:rsidR="00E22425" w:rsidRPr="00075058">
        <w:rPr>
          <w:lang w:eastAsia="fr-FR" w:bidi="fr-FR"/>
        </w:rPr>
        <w:t xml:space="preserve"> climatique</w:t>
      </w:r>
      <w:r w:rsidR="00A4630B">
        <w:rPr>
          <w:lang w:eastAsia="fr-FR" w:bidi="fr-FR"/>
        </w:rPr>
        <w:t>s</w:t>
      </w:r>
      <w:r w:rsidR="00E22425" w:rsidRPr="00075058">
        <w:rPr>
          <w:lang w:eastAsia="fr-FR" w:bidi="fr-FR"/>
        </w:rPr>
        <w:t>.</w:t>
      </w:r>
    </w:p>
    <w:p w:rsidR="00E22425" w:rsidRPr="00075058" w:rsidRDefault="002C6446" w:rsidP="00E22425">
      <w:pPr>
        <w:spacing w:before="120" w:after="0"/>
        <w:rPr>
          <w:szCs w:val="20"/>
          <w:lang w:eastAsia="fr-FR" w:bidi="fr-FR"/>
        </w:rPr>
      </w:pPr>
      <w:r>
        <w:rPr>
          <w:lang w:eastAsia="fr-FR" w:bidi="fr-FR"/>
        </w:rPr>
        <w:t>L</w:t>
      </w:r>
      <w:r w:rsidR="00E22425" w:rsidRPr="00075058">
        <w:rPr>
          <w:lang w:eastAsia="fr-FR" w:bidi="fr-FR"/>
        </w:rPr>
        <w:t xml:space="preserve">e projet est </w:t>
      </w:r>
      <w:r w:rsidR="00A4630B">
        <w:rPr>
          <w:lang w:eastAsia="fr-FR" w:bidi="fr-FR"/>
        </w:rPr>
        <w:t xml:space="preserve">ainsi </w:t>
      </w:r>
      <w:r w:rsidR="00E22425" w:rsidRPr="00075058">
        <w:rPr>
          <w:lang w:eastAsia="fr-FR" w:bidi="fr-FR"/>
        </w:rPr>
        <w:t>construit sur deux axes :</w:t>
      </w:r>
    </w:p>
    <w:p w:rsidR="00E22425" w:rsidRPr="00075058" w:rsidRDefault="00E22425" w:rsidP="00E22425">
      <w:pPr>
        <w:numPr>
          <w:ilvl w:val="0"/>
          <w:numId w:val="58"/>
        </w:numPr>
        <w:spacing w:after="0"/>
        <w:contextualSpacing/>
        <w:rPr>
          <w:szCs w:val="20"/>
          <w:lang w:eastAsia="fr-FR" w:bidi="fr-FR"/>
        </w:rPr>
      </w:pPr>
      <w:r>
        <w:rPr>
          <w:lang w:eastAsia="fr-FR" w:bidi="fr-FR"/>
        </w:rPr>
        <w:t>é</w:t>
      </w:r>
      <w:r w:rsidRPr="00075058">
        <w:rPr>
          <w:lang w:eastAsia="fr-FR" w:bidi="fr-FR"/>
        </w:rPr>
        <w:t>tablir des mécanismes financier</w:t>
      </w:r>
      <w:r>
        <w:rPr>
          <w:lang w:eastAsia="fr-FR" w:bidi="fr-FR"/>
        </w:rPr>
        <w:t xml:space="preserve">s </w:t>
      </w:r>
      <w:r w:rsidRPr="00075058">
        <w:rPr>
          <w:lang w:eastAsia="fr-FR" w:bidi="fr-FR"/>
        </w:rPr>
        <w:t>novateurs apportant des revenus supplémentaires rég</w:t>
      </w:r>
      <w:r>
        <w:rPr>
          <w:lang w:eastAsia="fr-FR" w:bidi="fr-FR"/>
        </w:rPr>
        <w:t>uliers au niveau local et destinés</w:t>
      </w:r>
      <w:r w:rsidRPr="00075058">
        <w:rPr>
          <w:lang w:eastAsia="fr-FR" w:bidi="fr-FR"/>
        </w:rPr>
        <w:t xml:space="preserve"> à financer les activités d'adaptations au</w:t>
      </w:r>
      <w:r>
        <w:rPr>
          <w:lang w:eastAsia="fr-FR" w:bidi="fr-FR"/>
        </w:rPr>
        <w:t>x</w:t>
      </w:r>
      <w:r w:rsidRPr="00075058">
        <w:rPr>
          <w:lang w:eastAsia="fr-FR" w:bidi="fr-FR"/>
        </w:rPr>
        <w:t xml:space="preserve"> changement</w:t>
      </w:r>
      <w:r>
        <w:rPr>
          <w:lang w:eastAsia="fr-FR" w:bidi="fr-FR"/>
        </w:rPr>
        <w:t>s</w:t>
      </w:r>
      <w:r w:rsidRPr="00075058">
        <w:rPr>
          <w:lang w:eastAsia="fr-FR" w:bidi="fr-FR"/>
        </w:rPr>
        <w:t xml:space="preserve"> climatique</w:t>
      </w:r>
      <w:r>
        <w:rPr>
          <w:lang w:eastAsia="fr-FR" w:bidi="fr-FR"/>
        </w:rPr>
        <w:t>s</w:t>
      </w:r>
      <w:r w:rsidRPr="00075058">
        <w:rPr>
          <w:lang w:eastAsia="fr-FR" w:bidi="fr-FR"/>
        </w:rPr>
        <w:t> ;</w:t>
      </w:r>
    </w:p>
    <w:p w:rsidR="00E22425" w:rsidRPr="00075058" w:rsidRDefault="00A03FE0" w:rsidP="00E22425">
      <w:pPr>
        <w:numPr>
          <w:ilvl w:val="0"/>
          <w:numId w:val="58"/>
        </w:numPr>
        <w:spacing w:after="0"/>
        <w:contextualSpacing/>
        <w:rPr>
          <w:szCs w:val="20"/>
          <w:lang w:eastAsia="fr-FR" w:bidi="fr-FR"/>
        </w:rPr>
      </w:pPr>
      <w:r>
        <w:rPr>
          <w:lang w:eastAsia="fr-FR" w:bidi="fr-FR"/>
        </w:rPr>
        <w:t>apporter</w:t>
      </w:r>
      <w:r w:rsidRPr="00075058">
        <w:rPr>
          <w:lang w:eastAsia="fr-FR" w:bidi="fr-FR"/>
        </w:rPr>
        <w:t xml:space="preserve"> </w:t>
      </w:r>
      <w:r>
        <w:rPr>
          <w:lang w:eastAsia="fr-FR" w:bidi="fr-FR"/>
        </w:rPr>
        <w:t>des</w:t>
      </w:r>
      <w:r w:rsidRPr="00075058">
        <w:rPr>
          <w:lang w:eastAsia="fr-FR" w:bidi="fr-FR"/>
        </w:rPr>
        <w:t xml:space="preserve"> </w:t>
      </w:r>
      <w:r w:rsidR="00E22425" w:rsidRPr="00075058">
        <w:rPr>
          <w:lang w:eastAsia="fr-FR" w:bidi="fr-FR"/>
        </w:rPr>
        <w:t xml:space="preserve">investissements et augmenter </w:t>
      </w:r>
      <w:r>
        <w:rPr>
          <w:lang w:eastAsia="fr-FR" w:bidi="fr-FR"/>
        </w:rPr>
        <w:t>les</w:t>
      </w:r>
      <w:r w:rsidRPr="00075058">
        <w:rPr>
          <w:lang w:eastAsia="fr-FR" w:bidi="fr-FR"/>
        </w:rPr>
        <w:t xml:space="preserve"> </w:t>
      </w:r>
      <w:r w:rsidR="00E22425" w:rsidRPr="00075058">
        <w:rPr>
          <w:lang w:eastAsia="fr-FR" w:bidi="fr-FR"/>
        </w:rPr>
        <w:t>capacité</w:t>
      </w:r>
      <w:r>
        <w:rPr>
          <w:lang w:eastAsia="fr-FR" w:bidi="fr-FR"/>
        </w:rPr>
        <w:t>s</w:t>
      </w:r>
      <w:r w:rsidR="00E22425" w:rsidRPr="00075058">
        <w:rPr>
          <w:lang w:eastAsia="fr-FR" w:bidi="fr-FR"/>
        </w:rPr>
        <w:t xml:space="preserve"> des communautés (en particulier </w:t>
      </w:r>
      <w:r w:rsidR="00E22425">
        <w:rPr>
          <w:lang w:eastAsia="fr-FR" w:bidi="fr-FR"/>
        </w:rPr>
        <w:t>pour les femmes et l</w:t>
      </w:r>
      <w:r w:rsidR="00E22425" w:rsidRPr="00075058">
        <w:rPr>
          <w:lang w:eastAsia="fr-FR" w:bidi="fr-FR"/>
        </w:rPr>
        <w:t>es jeunes) afin de leur fournir des solution</w:t>
      </w:r>
      <w:r w:rsidR="00E22425">
        <w:rPr>
          <w:lang w:eastAsia="fr-FR" w:bidi="fr-FR"/>
        </w:rPr>
        <w:t>s</w:t>
      </w:r>
      <w:r w:rsidR="00E22425" w:rsidRPr="00075058">
        <w:rPr>
          <w:lang w:eastAsia="fr-FR" w:bidi="fr-FR"/>
        </w:rPr>
        <w:t xml:space="preserve"> à long terme pour </w:t>
      </w:r>
      <w:r>
        <w:rPr>
          <w:lang w:eastAsia="fr-FR" w:bidi="fr-FR"/>
        </w:rPr>
        <w:t>s’adapter</w:t>
      </w:r>
      <w:r w:rsidR="00E22425" w:rsidRPr="00075058">
        <w:rPr>
          <w:lang w:eastAsia="fr-FR" w:bidi="fr-FR"/>
        </w:rPr>
        <w:t xml:space="preserve"> </w:t>
      </w:r>
      <w:r w:rsidR="00F22AF3">
        <w:rPr>
          <w:lang w:eastAsia="fr-FR" w:bidi="fr-FR"/>
        </w:rPr>
        <w:t>aux changements climatiques</w:t>
      </w:r>
      <w:r w:rsidR="00E22425" w:rsidRPr="00075058">
        <w:rPr>
          <w:lang w:eastAsia="fr-FR" w:bidi="fr-FR"/>
        </w:rPr>
        <w:t xml:space="preserve"> et à la variabilité du climat.</w:t>
      </w:r>
    </w:p>
    <w:p w:rsidR="00E22425" w:rsidRPr="00075058" w:rsidRDefault="00E22425" w:rsidP="00E22425">
      <w:pPr>
        <w:spacing w:before="120" w:after="0"/>
        <w:rPr>
          <w:szCs w:val="20"/>
          <w:lang w:eastAsia="fr-FR" w:bidi="fr-FR"/>
        </w:rPr>
      </w:pPr>
      <w:r w:rsidRPr="00075058">
        <w:rPr>
          <w:lang w:eastAsia="fr-FR" w:bidi="fr-FR"/>
        </w:rPr>
        <w:t xml:space="preserve">Résultats prévus de </w:t>
      </w:r>
      <w:r>
        <w:rPr>
          <w:lang w:eastAsia="fr-FR" w:bidi="fr-FR"/>
        </w:rPr>
        <w:t>ce projet.</w:t>
      </w:r>
    </w:p>
    <w:p w:rsidR="00E22425" w:rsidRPr="00075058" w:rsidRDefault="00E22425" w:rsidP="00E22425">
      <w:pPr>
        <w:numPr>
          <w:ilvl w:val="0"/>
          <w:numId w:val="58"/>
        </w:numPr>
        <w:spacing w:after="0"/>
        <w:contextualSpacing/>
        <w:rPr>
          <w:szCs w:val="20"/>
          <w:lang w:eastAsia="fr-FR" w:bidi="fr-FR"/>
        </w:rPr>
      </w:pPr>
      <w:r>
        <w:rPr>
          <w:lang w:eastAsia="fr-FR" w:bidi="fr-FR"/>
        </w:rPr>
        <w:t>A</w:t>
      </w:r>
      <w:r w:rsidRPr="00075058">
        <w:rPr>
          <w:lang w:eastAsia="fr-FR" w:bidi="fr-FR"/>
        </w:rPr>
        <w:t xml:space="preserve">u niveau national ainsi qu'au niveau des communes, donner au Ministère </w:t>
      </w:r>
      <w:r>
        <w:rPr>
          <w:lang w:eastAsia="fr-FR" w:bidi="fr-FR"/>
        </w:rPr>
        <w:t>de l'environnement, à l'Agence nationale de l'aviation c</w:t>
      </w:r>
      <w:r w:rsidRPr="00075058">
        <w:rPr>
          <w:lang w:eastAsia="fr-FR" w:bidi="fr-FR"/>
        </w:rPr>
        <w:t xml:space="preserve">ivile (ANACIM) et à l'Agence régionale de développement (ARD) tous les moyens pour développer des mécanismes de financement novateurs pour la mise en œuvre </w:t>
      </w:r>
      <w:r w:rsidR="009C315F">
        <w:rPr>
          <w:lang w:eastAsia="fr-FR" w:bidi="fr-FR"/>
        </w:rPr>
        <w:t>des mesures</w:t>
      </w:r>
      <w:r w:rsidR="009C315F" w:rsidRPr="00075058">
        <w:rPr>
          <w:lang w:eastAsia="fr-FR" w:bidi="fr-FR"/>
        </w:rPr>
        <w:t xml:space="preserve"> </w:t>
      </w:r>
      <w:r w:rsidR="00D4512E">
        <w:rPr>
          <w:lang w:eastAsia="fr-FR" w:bidi="fr-FR"/>
        </w:rPr>
        <w:t>d'adaptation</w:t>
      </w:r>
      <w:r w:rsidRPr="00075058">
        <w:rPr>
          <w:lang w:eastAsia="fr-FR" w:bidi="fr-FR"/>
        </w:rPr>
        <w:t xml:space="preserve"> </w:t>
      </w:r>
      <w:r w:rsidR="009C315F">
        <w:rPr>
          <w:lang w:eastAsia="fr-FR" w:bidi="fr-FR"/>
        </w:rPr>
        <w:t xml:space="preserve">et d’expérimenter les actions d’adaptation </w:t>
      </w:r>
      <w:r w:rsidRPr="00075058">
        <w:rPr>
          <w:lang w:eastAsia="fr-FR" w:bidi="fr-FR"/>
        </w:rPr>
        <w:t xml:space="preserve">dans les secteurs </w:t>
      </w:r>
      <w:r w:rsidR="009C315F">
        <w:rPr>
          <w:lang w:eastAsia="fr-FR" w:bidi="fr-FR"/>
        </w:rPr>
        <w:t>de l’agriculture, des</w:t>
      </w:r>
      <w:r w:rsidRPr="00075058">
        <w:rPr>
          <w:lang w:eastAsia="fr-FR" w:bidi="fr-FR"/>
        </w:rPr>
        <w:t xml:space="preserve"> ressources en eau </w:t>
      </w:r>
      <w:r w:rsidR="009C315F">
        <w:rPr>
          <w:lang w:eastAsia="fr-FR" w:bidi="fr-FR"/>
        </w:rPr>
        <w:t>et de la foresterie</w:t>
      </w:r>
      <w:r w:rsidRPr="00075058">
        <w:rPr>
          <w:lang w:eastAsia="fr-FR" w:bidi="fr-FR"/>
        </w:rPr>
        <w:t xml:space="preserve"> (minimum 40 représentants au niveau national et 60 représentants pour les communes).</w:t>
      </w:r>
    </w:p>
    <w:p w:rsidR="00E22425" w:rsidRPr="00EE0D24" w:rsidRDefault="00D4512E" w:rsidP="00E22425">
      <w:pPr>
        <w:numPr>
          <w:ilvl w:val="0"/>
          <w:numId w:val="58"/>
        </w:numPr>
        <w:spacing w:after="0"/>
        <w:contextualSpacing/>
        <w:rPr>
          <w:szCs w:val="20"/>
          <w:lang w:eastAsia="fr-FR" w:bidi="fr-FR"/>
        </w:rPr>
      </w:pPr>
      <w:r>
        <w:rPr>
          <w:lang w:eastAsia="fr-FR" w:bidi="fr-FR"/>
        </w:rPr>
        <w:t xml:space="preserve">L’adaptation ciblée profit </w:t>
      </w:r>
      <w:r w:rsidR="00E22425" w:rsidRPr="00075058">
        <w:rPr>
          <w:lang w:eastAsia="fr-FR" w:bidi="fr-FR"/>
        </w:rPr>
        <w:t>à 224 villages répartis dans les quatre sites mentionnés, ce qui se traduit par des avan</w:t>
      </w:r>
      <w:r w:rsidR="00E22425">
        <w:rPr>
          <w:lang w:eastAsia="fr-FR" w:bidi="fr-FR"/>
        </w:rPr>
        <w:t>tages directs pour</w:t>
      </w:r>
      <w:r w:rsidR="00DB1791">
        <w:rPr>
          <w:lang w:eastAsia="fr-FR" w:bidi="fr-FR"/>
        </w:rPr>
        <w:t xml:space="preserve"> une population d’</w:t>
      </w:r>
      <w:r w:rsidR="00E22425">
        <w:rPr>
          <w:lang w:eastAsia="fr-FR" w:bidi="fr-FR"/>
        </w:rPr>
        <w:t xml:space="preserve"> au moins 50 </w:t>
      </w:r>
      <w:r w:rsidR="00E22425" w:rsidRPr="00075058">
        <w:rPr>
          <w:lang w:eastAsia="fr-FR" w:bidi="fr-FR"/>
        </w:rPr>
        <w:t>000 personnes</w:t>
      </w:r>
      <w:r w:rsidR="00DB1791">
        <w:rPr>
          <w:lang w:eastAsia="fr-FR" w:bidi="fr-FR"/>
        </w:rPr>
        <w:t xml:space="preserve"> qui compte</w:t>
      </w:r>
      <w:r w:rsidR="00E22425" w:rsidRPr="00075058">
        <w:rPr>
          <w:lang w:eastAsia="fr-FR" w:bidi="fr-FR"/>
        </w:rPr>
        <w:t xml:space="preserve"> </w:t>
      </w:r>
      <w:r w:rsidR="00E22425">
        <w:rPr>
          <w:lang w:eastAsia="fr-FR" w:bidi="fr-FR"/>
        </w:rPr>
        <w:t>5 </w:t>
      </w:r>
      <w:r w:rsidR="00E22425" w:rsidRPr="00075058">
        <w:rPr>
          <w:lang w:eastAsia="fr-FR" w:bidi="fr-FR"/>
        </w:rPr>
        <w:t>000 ménages :</w:t>
      </w:r>
    </w:p>
    <w:p w:rsidR="00E22425" w:rsidRDefault="00E22425" w:rsidP="00E22425">
      <w:pPr>
        <w:spacing w:after="0"/>
        <w:ind w:left="720" w:firstLine="556"/>
        <w:contextualSpacing/>
        <w:rPr>
          <w:lang w:eastAsia="fr-FR" w:bidi="fr-FR"/>
        </w:rPr>
      </w:pPr>
      <w:r w:rsidRPr="00075058">
        <w:rPr>
          <w:lang w:eastAsia="fr-FR" w:bidi="fr-FR"/>
        </w:rPr>
        <w:t xml:space="preserve">(i) en mettant en place </w:t>
      </w:r>
      <w:r w:rsidR="00894A87">
        <w:rPr>
          <w:lang w:eastAsia="fr-FR" w:bidi="fr-FR"/>
        </w:rPr>
        <w:t>plusieurs</w:t>
      </w:r>
      <w:r w:rsidRPr="00075058">
        <w:rPr>
          <w:lang w:eastAsia="fr-FR" w:bidi="fr-FR"/>
        </w:rPr>
        <w:t xml:space="preserve"> mesures </w:t>
      </w:r>
      <w:r w:rsidR="00894A87">
        <w:rPr>
          <w:lang w:eastAsia="fr-FR" w:bidi="fr-FR"/>
        </w:rPr>
        <w:t>visant à</w:t>
      </w:r>
      <w:r w:rsidRPr="00075058">
        <w:rPr>
          <w:lang w:eastAsia="fr-FR" w:bidi="fr-FR"/>
        </w:rPr>
        <w:t xml:space="preserve"> réduire la vulnérabilité face </w:t>
      </w:r>
      <w:r w:rsidR="00F22AF3">
        <w:rPr>
          <w:lang w:eastAsia="fr-FR" w:bidi="fr-FR"/>
        </w:rPr>
        <w:t>aux changements climatiques</w:t>
      </w:r>
      <w:r w:rsidRPr="00075058">
        <w:rPr>
          <w:lang w:eastAsia="fr-FR" w:bidi="fr-FR"/>
        </w:rPr>
        <w:t xml:space="preserve">, y compris des mesures améliorant la résistance </w:t>
      </w:r>
      <w:r w:rsidR="00F22AF3">
        <w:rPr>
          <w:lang w:eastAsia="fr-FR" w:bidi="fr-FR"/>
        </w:rPr>
        <w:t>aux changements climatiques</w:t>
      </w:r>
      <w:r w:rsidRPr="00075058">
        <w:rPr>
          <w:lang w:eastAsia="fr-FR" w:bidi="fr-FR"/>
        </w:rPr>
        <w:t xml:space="preserve"> grâce à la fois au</w:t>
      </w:r>
      <w:r w:rsidR="00ED6F33">
        <w:rPr>
          <w:lang w:eastAsia="fr-FR" w:bidi="fr-FR"/>
        </w:rPr>
        <w:t>x</w:t>
      </w:r>
      <w:r w:rsidRPr="00075058">
        <w:rPr>
          <w:lang w:eastAsia="fr-FR" w:bidi="fr-FR"/>
        </w:rPr>
        <w:t xml:space="preserve"> investissements </w:t>
      </w:r>
      <w:r w:rsidR="00ED6F33">
        <w:rPr>
          <w:lang w:eastAsia="fr-FR" w:bidi="fr-FR"/>
        </w:rPr>
        <w:t xml:space="preserve">et le développement du savoir-faire </w:t>
      </w:r>
      <w:r w:rsidRPr="00075058">
        <w:rPr>
          <w:lang w:eastAsia="fr-FR" w:bidi="fr-FR"/>
        </w:rPr>
        <w:t xml:space="preserve">pour les </w:t>
      </w:r>
      <w:r w:rsidR="008B00C3" w:rsidRPr="00075058">
        <w:rPr>
          <w:lang w:eastAsia="fr-FR" w:bidi="fr-FR"/>
        </w:rPr>
        <w:t>communautés ;</w:t>
      </w:r>
      <w:r w:rsidRPr="00075058">
        <w:rPr>
          <w:lang w:eastAsia="fr-FR" w:bidi="fr-FR"/>
        </w:rPr>
        <w:t xml:space="preserve"> </w:t>
      </w:r>
    </w:p>
    <w:p w:rsidR="00E22425" w:rsidRPr="00075058" w:rsidRDefault="00E22425" w:rsidP="00E22425">
      <w:pPr>
        <w:spacing w:after="0"/>
        <w:ind w:left="720" w:firstLine="556"/>
        <w:contextualSpacing/>
        <w:rPr>
          <w:szCs w:val="20"/>
          <w:lang w:eastAsia="fr-FR" w:bidi="fr-FR"/>
        </w:rPr>
      </w:pPr>
      <w:r w:rsidRPr="00075058">
        <w:rPr>
          <w:lang w:eastAsia="fr-FR" w:bidi="fr-FR"/>
        </w:rPr>
        <w:t xml:space="preserve">(ii) en développant des partenariats avec d'autres projets en cours dans les mêmes sites et mettre en place des activités </w:t>
      </w:r>
      <w:r w:rsidR="00ED6F33">
        <w:rPr>
          <w:lang w:eastAsia="fr-FR" w:bidi="fr-FR"/>
        </w:rPr>
        <w:t>d’éveil des consciences</w:t>
      </w:r>
      <w:r w:rsidRPr="00075058">
        <w:rPr>
          <w:lang w:eastAsia="fr-FR" w:bidi="fr-FR"/>
        </w:rPr>
        <w:t xml:space="preserve"> sur </w:t>
      </w:r>
      <w:r w:rsidR="00310916">
        <w:rPr>
          <w:lang w:eastAsia="fr-FR" w:bidi="fr-FR"/>
        </w:rPr>
        <w:t>l’information climatique</w:t>
      </w:r>
      <w:r w:rsidRPr="00075058">
        <w:rPr>
          <w:lang w:eastAsia="fr-FR" w:bidi="fr-FR"/>
        </w:rPr>
        <w:t xml:space="preserve"> et les bonnes pratiques en matière d'adaptation aux changements c</w:t>
      </w:r>
      <w:r>
        <w:rPr>
          <w:lang w:eastAsia="fr-FR" w:bidi="fr-FR"/>
        </w:rPr>
        <w:t>limatiques, visant au moins 100 </w:t>
      </w:r>
      <w:r w:rsidRPr="00075058">
        <w:rPr>
          <w:lang w:eastAsia="fr-FR" w:bidi="fr-FR"/>
        </w:rPr>
        <w:t>000 personnes. Ces activités comprendront également des voyages d'étude</w:t>
      </w:r>
      <w:r>
        <w:rPr>
          <w:lang w:eastAsia="fr-FR" w:bidi="fr-FR"/>
        </w:rPr>
        <w:t xml:space="preserve">s </w:t>
      </w:r>
      <w:r w:rsidRPr="00075058">
        <w:rPr>
          <w:lang w:eastAsia="fr-FR" w:bidi="fr-FR"/>
        </w:rPr>
        <w:t xml:space="preserve">pour les maires et les agriculteurs afin d'améliorer les connaissances des responsables </w:t>
      </w:r>
      <w:r w:rsidRPr="00816ED1">
        <w:rPr>
          <w:lang w:eastAsia="fr-FR" w:bidi="fr-FR"/>
        </w:rPr>
        <w:t>des</w:t>
      </w:r>
      <w:r w:rsidRPr="00075058">
        <w:rPr>
          <w:lang w:eastAsia="fr-FR" w:bidi="fr-FR"/>
        </w:rPr>
        <w:t xml:space="preserve"> </w:t>
      </w:r>
      <w:r w:rsidR="0006687A">
        <w:rPr>
          <w:lang w:eastAsia="fr-FR" w:bidi="fr-FR"/>
        </w:rPr>
        <w:t>communes</w:t>
      </w:r>
      <w:r w:rsidR="0006687A" w:rsidRPr="00075058">
        <w:rPr>
          <w:lang w:eastAsia="fr-FR" w:bidi="fr-FR"/>
        </w:rPr>
        <w:t xml:space="preserve"> </w:t>
      </w:r>
      <w:r w:rsidRPr="00075058">
        <w:rPr>
          <w:lang w:eastAsia="fr-FR" w:bidi="fr-FR"/>
        </w:rPr>
        <w:t>et des villages sur la mobilisation</w:t>
      </w:r>
      <w:r w:rsidR="0006687A">
        <w:rPr>
          <w:lang w:eastAsia="fr-FR" w:bidi="fr-FR"/>
        </w:rPr>
        <w:t xml:space="preserve"> et la gestion de la finance </w:t>
      </w:r>
      <w:r w:rsidR="008B00C3">
        <w:rPr>
          <w:lang w:eastAsia="fr-FR" w:bidi="fr-FR"/>
        </w:rPr>
        <w:t>climatique</w:t>
      </w:r>
      <w:r w:rsidR="008B00C3" w:rsidRPr="00075058">
        <w:rPr>
          <w:lang w:eastAsia="fr-FR" w:bidi="fr-FR"/>
        </w:rPr>
        <w:t xml:space="preserve"> </w:t>
      </w:r>
      <w:r w:rsidR="008B00C3">
        <w:rPr>
          <w:lang w:eastAsia="fr-FR" w:bidi="fr-FR"/>
        </w:rPr>
        <w:t>et</w:t>
      </w:r>
      <w:r w:rsidR="0006687A">
        <w:rPr>
          <w:lang w:eastAsia="fr-FR" w:bidi="fr-FR"/>
        </w:rPr>
        <w:t xml:space="preserve"> l’introduction de pratiques adaptées aux changements climatiques</w:t>
      </w:r>
      <w:r w:rsidRPr="00075058">
        <w:rPr>
          <w:lang w:eastAsia="fr-FR" w:bidi="fr-FR"/>
        </w:rPr>
        <w:t>.</w:t>
      </w:r>
    </w:p>
    <w:p w:rsidR="00E22425" w:rsidRPr="007236BE" w:rsidRDefault="00E22425" w:rsidP="00E22425">
      <w:pPr>
        <w:numPr>
          <w:ilvl w:val="0"/>
          <w:numId w:val="58"/>
        </w:numPr>
        <w:spacing w:after="0"/>
        <w:contextualSpacing/>
        <w:rPr>
          <w:szCs w:val="20"/>
          <w:lang w:eastAsia="fr-FR" w:bidi="fr-FR"/>
        </w:rPr>
      </w:pPr>
      <w:r w:rsidRPr="00075058">
        <w:rPr>
          <w:lang w:eastAsia="fr-FR" w:bidi="fr-FR"/>
        </w:rPr>
        <w:t xml:space="preserve">La vulnérabilité des bénéficiaires du projet face </w:t>
      </w:r>
      <w:r w:rsidR="00F22AF3">
        <w:rPr>
          <w:lang w:eastAsia="fr-FR" w:bidi="fr-FR"/>
        </w:rPr>
        <w:t>aux changements climatiques</w:t>
      </w:r>
      <w:r w:rsidRPr="00075058">
        <w:rPr>
          <w:lang w:eastAsia="fr-FR" w:bidi="fr-FR"/>
        </w:rPr>
        <w:t xml:space="preserve"> sera réduite </w:t>
      </w:r>
      <w:r w:rsidR="0006687A">
        <w:rPr>
          <w:lang w:eastAsia="fr-FR" w:bidi="fr-FR"/>
        </w:rPr>
        <w:t>à travers</w:t>
      </w:r>
      <w:r w:rsidRPr="00075058">
        <w:rPr>
          <w:lang w:eastAsia="fr-FR" w:bidi="fr-FR"/>
        </w:rPr>
        <w:t xml:space="preserve"> pl</w:t>
      </w:r>
      <w:r>
        <w:rPr>
          <w:lang w:eastAsia="fr-FR" w:bidi="fr-FR"/>
        </w:rPr>
        <w:t>usieurs mesures qui comprennent :</w:t>
      </w:r>
    </w:p>
    <w:p w:rsidR="00E22425" w:rsidRDefault="00E22425" w:rsidP="00E22425">
      <w:pPr>
        <w:spacing w:after="0"/>
        <w:ind w:left="720" w:firstLine="556"/>
        <w:contextualSpacing/>
        <w:rPr>
          <w:lang w:eastAsia="fr-FR" w:bidi="fr-FR"/>
        </w:rPr>
      </w:pPr>
      <w:r w:rsidRPr="00075058">
        <w:rPr>
          <w:lang w:eastAsia="fr-FR" w:bidi="fr-FR"/>
        </w:rPr>
        <w:t>(i</w:t>
      </w:r>
      <w:r>
        <w:rPr>
          <w:lang w:eastAsia="fr-FR" w:bidi="fr-FR"/>
        </w:rPr>
        <w:t>) l</w:t>
      </w:r>
      <w:r w:rsidRPr="00075058">
        <w:rPr>
          <w:lang w:eastAsia="fr-FR" w:bidi="fr-FR"/>
        </w:rPr>
        <w:t>a mise en place et la diffusion de pratiques agricoles (semences adaptées, gestio</w:t>
      </w:r>
      <w:r>
        <w:rPr>
          <w:lang w:eastAsia="fr-FR" w:bidi="fr-FR"/>
        </w:rPr>
        <w:t>n des terres et de l'eau, etc.) ;</w:t>
      </w:r>
    </w:p>
    <w:p w:rsidR="00E22425" w:rsidRDefault="00E22425" w:rsidP="00E22425">
      <w:pPr>
        <w:spacing w:after="0"/>
        <w:ind w:left="720" w:firstLine="556"/>
        <w:contextualSpacing/>
        <w:rPr>
          <w:lang w:eastAsia="fr-FR" w:bidi="fr-FR"/>
        </w:rPr>
      </w:pPr>
      <w:r>
        <w:rPr>
          <w:lang w:eastAsia="fr-FR" w:bidi="fr-FR"/>
        </w:rPr>
        <w:t>(ii) l</w:t>
      </w:r>
      <w:r w:rsidRPr="00075058">
        <w:rPr>
          <w:lang w:eastAsia="fr-FR" w:bidi="fr-FR"/>
        </w:rPr>
        <w:t xml:space="preserve">e renforcement des chaînes de valeur résistantes </w:t>
      </w:r>
      <w:r w:rsidR="00F22AF3">
        <w:rPr>
          <w:lang w:eastAsia="fr-FR" w:bidi="fr-FR"/>
        </w:rPr>
        <w:t>aux changements climatiques</w:t>
      </w:r>
      <w:r w:rsidRPr="00075058">
        <w:rPr>
          <w:lang w:eastAsia="fr-FR" w:bidi="fr-FR"/>
        </w:rPr>
        <w:t xml:space="preserve"> (gomme</w:t>
      </w:r>
      <w:r>
        <w:rPr>
          <w:lang w:eastAsia="fr-FR" w:bidi="fr-FR"/>
        </w:rPr>
        <w:t xml:space="preserve"> arabique, anacarde, sel, etc.) ;</w:t>
      </w:r>
    </w:p>
    <w:p w:rsidR="00E22425" w:rsidRDefault="00E22425" w:rsidP="00E22425">
      <w:pPr>
        <w:spacing w:after="0"/>
        <w:ind w:left="720" w:firstLine="556"/>
        <w:contextualSpacing/>
        <w:rPr>
          <w:lang w:eastAsia="fr-FR" w:bidi="fr-FR"/>
        </w:rPr>
      </w:pPr>
      <w:r>
        <w:rPr>
          <w:lang w:eastAsia="fr-FR" w:bidi="fr-FR"/>
        </w:rPr>
        <w:t>(iii) l</w:t>
      </w:r>
      <w:r w:rsidRPr="00075058">
        <w:rPr>
          <w:lang w:eastAsia="fr-FR" w:bidi="fr-FR"/>
        </w:rPr>
        <w:t xml:space="preserve">'amélioration de l'accès </w:t>
      </w:r>
      <w:r>
        <w:rPr>
          <w:lang w:eastAsia="fr-FR" w:bidi="fr-FR"/>
        </w:rPr>
        <w:t>au crédit pour les agriculteurs ;</w:t>
      </w:r>
    </w:p>
    <w:p w:rsidR="00E22425" w:rsidRPr="00075058" w:rsidRDefault="00E22425" w:rsidP="00E22425">
      <w:pPr>
        <w:spacing w:after="0"/>
        <w:ind w:left="720" w:firstLine="556"/>
        <w:contextualSpacing/>
        <w:rPr>
          <w:szCs w:val="20"/>
          <w:lang w:eastAsia="fr-FR" w:bidi="fr-FR"/>
        </w:rPr>
      </w:pPr>
      <w:r>
        <w:rPr>
          <w:lang w:eastAsia="fr-FR" w:bidi="fr-FR"/>
        </w:rPr>
        <w:t>(iv) </w:t>
      </w:r>
      <w:r w:rsidR="00CE6D96">
        <w:rPr>
          <w:lang w:eastAsia="fr-FR" w:bidi="fr-FR"/>
        </w:rPr>
        <w:t>l’aménagement</w:t>
      </w:r>
      <w:r>
        <w:rPr>
          <w:lang w:eastAsia="fr-FR" w:bidi="fr-FR"/>
        </w:rPr>
        <w:t xml:space="preserve"> de</w:t>
      </w:r>
      <w:r w:rsidRPr="00075058">
        <w:rPr>
          <w:lang w:eastAsia="fr-FR" w:bidi="fr-FR"/>
        </w:rPr>
        <w:t xml:space="preserve"> </w:t>
      </w:r>
      <w:r w:rsidR="00CE6D96">
        <w:rPr>
          <w:lang w:eastAsia="fr-FR" w:bidi="fr-FR"/>
        </w:rPr>
        <w:t>mares</w:t>
      </w:r>
      <w:r w:rsidR="00CE6D96" w:rsidRPr="00075058">
        <w:rPr>
          <w:lang w:eastAsia="fr-FR" w:bidi="fr-FR"/>
        </w:rPr>
        <w:t xml:space="preserve"> </w:t>
      </w:r>
      <w:r w:rsidRPr="00075058">
        <w:rPr>
          <w:lang w:eastAsia="fr-FR" w:bidi="fr-FR"/>
        </w:rPr>
        <w:t>et de points d'accès à l'eau pour les activités générant des revenus.</w:t>
      </w:r>
      <w:r>
        <w:rPr>
          <w:lang w:eastAsia="fr-FR" w:bidi="fr-FR"/>
        </w:rPr>
        <w:t xml:space="preserve"> </w:t>
      </w:r>
      <w:r w:rsidRPr="00075058">
        <w:rPr>
          <w:lang w:eastAsia="fr-FR" w:bidi="fr-FR"/>
        </w:rPr>
        <w:t>Ce projet</w:t>
      </w:r>
      <w:r>
        <w:rPr>
          <w:lang w:eastAsia="fr-FR" w:bidi="fr-FR"/>
        </w:rPr>
        <w:t xml:space="preserve"> </w:t>
      </w:r>
      <w:r w:rsidR="00E83A7C">
        <w:rPr>
          <w:lang w:eastAsia="fr-FR" w:bidi="fr-FR"/>
        </w:rPr>
        <w:t>stimulera</w:t>
      </w:r>
      <w:r w:rsidR="00E83A7C" w:rsidRPr="00075058">
        <w:rPr>
          <w:lang w:eastAsia="fr-FR" w:bidi="fr-FR"/>
        </w:rPr>
        <w:t xml:space="preserve"> </w:t>
      </w:r>
      <w:r w:rsidRPr="00075058">
        <w:rPr>
          <w:lang w:eastAsia="fr-FR" w:bidi="fr-FR"/>
        </w:rPr>
        <w:t>une réelle dynamique autour de la</w:t>
      </w:r>
      <w:r>
        <w:rPr>
          <w:lang w:eastAsia="fr-FR" w:bidi="fr-FR"/>
        </w:rPr>
        <w:t xml:space="preserve"> création de microentreprises, </w:t>
      </w:r>
      <w:r w:rsidRPr="00075058">
        <w:rPr>
          <w:lang w:eastAsia="fr-FR" w:bidi="fr-FR"/>
        </w:rPr>
        <w:t>particulièrement cell</w:t>
      </w:r>
      <w:r>
        <w:rPr>
          <w:lang w:eastAsia="fr-FR" w:bidi="fr-FR"/>
        </w:rPr>
        <w:t>es gérées par les femmes,</w:t>
      </w:r>
      <w:r w:rsidRPr="00075058">
        <w:rPr>
          <w:lang w:eastAsia="fr-FR" w:bidi="fr-FR"/>
        </w:rPr>
        <w:t xml:space="preserve"> en procurant à ces dernières une formation en matière </w:t>
      </w:r>
      <w:r w:rsidR="00E83A7C">
        <w:rPr>
          <w:lang w:eastAsia="fr-FR" w:bidi="fr-FR"/>
        </w:rPr>
        <w:t>d’entreprenariat</w:t>
      </w:r>
      <w:r w:rsidRPr="00075058">
        <w:rPr>
          <w:lang w:eastAsia="fr-FR" w:bidi="fr-FR"/>
        </w:rPr>
        <w:t xml:space="preserve"> et de financement rural. La diversification des activités relatives aux moyens de subsistance améliorera les filets de </w:t>
      </w:r>
      <w:r w:rsidR="008B00C3">
        <w:rPr>
          <w:lang w:eastAsia="fr-FR" w:bidi="fr-FR"/>
        </w:rPr>
        <w:t>sécur</w:t>
      </w:r>
      <w:r w:rsidR="0078703B">
        <w:rPr>
          <w:lang w:eastAsia="fr-FR" w:bidi="fr-FR"/>
        </w:rPr>
        <w:t>ité</w:t>
      </w:r>
      <w:r w:rsidR="0078703B" w:rsidRPr="00075058">
        <w:rPr>
          <w:lang w:eastAsia="fr-FR" w:bidi="fr-FR"/>
        </w:rPr>
        <w:t xml:space="preserve"> </w:t>
      </w:r>
      <w:r w:rsidRPr="00075058">
        <w:rPr>
          <w:lang w:eastAsia="fr-FR" w:bidi="fr-FR"/>
        </w:rPr>
        <w:t>pour les ménages vulnérables.</w:t>
      </w:r>
    </w:p>
    <w:p w:rsidR="00E22425" w:rsidRPr="00075058" w:rsidRDefault="00E22425" w:rsidP="00E22425">
      <w:pPr>
        <w:numPr>
          <w:ilvl w:val="0"/>
          <w:numId w:val="58"/>
        </w:numPr>
        <w:spacing w:after="0"/>
        <w:contextualSpacing/>
        <w:rPr>
          <w:szCs w:val="20"/>
          <w:lang w:eastAsia="fr-FR" w:bidi="fr-FR"/>
        </w:rPr>
      </w:pPr>
      <w:r w:rsidRPr="00075058">
        <w:rPr>
          <w:lang w:eastAsia="fr-FR" w:bidi="fr-FR"/>
        </w:rPr>
        <w:t xml:space="preserve">La capacité des communes à attirer des financements </w:t>
      </w:r>
      <w:r w:rsidR="008B00C3">
        <w:rPr>
          <w:lang w:eastAsia="fr-FR" w:bidi="fr-FR"/>
        </w:rPr>
        <w:t>additionnels</w:t>
      </w:r>
      <w:r w:rsidR="0078703B">
        <w:rPr>
          <w:lang w:eastAsia="fr-FR" w:bidi="fr-FR"/>
        </w:rPr>
        <w:t>,</w:t>
      </w:r>
      <w:r w:rsidR="0078703B" w:rsidRPr="00075058">
        <w:rPr>
          <w:lang w:eastAsia="fr-FR" w:bidi="fr-FR"/>
        </w:rPr>
        <w:t xml:space="preserve"> </w:t>
      </w:r>
      <w:r w:rsidR="0078703B">
        <w:rPr>
          <w:lang w:eastAsia="fr-FR" w:bidi="fr-FR"/>
        </w:rPr>
        <w:t>à</w:t>
      </w:r>
      <w:r w:rsidR="0078703B" w:rsidRPr="00075058">
        <w:rPr>
          <w:lang w:eastAsia="fr-FR" w:bidi="fr-FR"/>
        </w:rPr>
        <w:t xml:space="preserve"> </w:t>
      </w:r>
      <w:r w:rsidRPr="00075058">
        <w:rPr>
          <w:lang w:eastAsia="fr-FR" w:bidi="fr-FR"/>
        </w:rPr>
        <w:t>développer et mettre en place des</w:t>
      </w:r>
      <w:r w:rsidR="0078703B">
        <w:rPr>
          <w:lang w:eastAsia="fr-FR" w:bidi="fr-FR"/>
        </w:rPr>
        <w:t xml:space="preserve"> sites spécifiques d’interventions d’adaptation</w:t>
      </w:r>
      <w:r w:rsidRPr="00075058">
        <w:rPr>
          <w:lang w:eastAsia="fr-FR" w:bidi="fr-FR"/>
        </w:rPr>
        <w:t xml:space="preserve"> sera renforcée. </w:t>
      </w:r>
    </w:p>
    <w:p w:rsidR="00E22425" w:rsidRDefault="00E22425" w:rsidP="00E22425">
      <w:pPr>
        <w:spacing w:after="160" w:line="259" w:lineRule="auto"/>
        <w:rPr>
          <w:rFonts w:cs="Arial"/>
          <w:b/>
          <w:szCs w:val="22"/>
          <w:lang w:eastAsia="fr-FR" w:bidi="fr-FR"/>
        </w:rPr>
      </w:pPr>
      <w:r>
        <w:rPr>
          <w:rFonts w:cs="Arial"/>
          <w:b/>
          <w:szCs w:val="22"/>
          <w:lang w:eastAsia="fr-FR" w:bidi="fr-FR"/>
        </w:rPr>
        <w:br w:type="page"/>
      </w:r>
    </w:p>
    <w:p w:rsidR="00075058" w:rsidRPr="007F5D87" w:rsidRDefault="00075058" w:rsidP="00075058">
      <w:pPr>
        <w:pStyle w:val="Titre1"/>
        <w:spacing w:before="0" w:after="0"/>
        <w:jc w:val="left"/>
        <w:rPr>
          <w:rFonts w:ascii="Calibri" w:hAnsi="Calibri"/>
          <w:sz w:val="32"/>
          <w:szCs w:val="28"/>
        </w:rPr>
      </w:pPr>
      <w:bookmarkStart w:id="2" w:name="_Toc496886552"/>
      <w:bookmarkStart w:id="3" w:name="_Toc498638389"/>
      <w:r>
        <w:rPr>
          <w:rFonts w:ascii="Calibri" w:hAnsi="Calibri"/>
          <w:sz w:val="32"/>
        </w:rPr>
        <w:lastRenderedPageBreak/>
        <w:t>Table des matières</w:t>
      </w:r>
      <w:bookmarkEnd w:id="2"/>
      <w:bookmarkEnd w:id="3"/>
    </w:p>
    <w:p w:rsidR="00E42C74" w:rsidRDefault="00E42C74" w:rsidP="00E42C74">
      <w:pPr>
        <w:tabs>
          <w:tab w:val="left" w:pos="341"/>
          <w:tab w:val="left" w:pos="540"/>
          <w:tab w:val="right" w:leader="dot" w:pos="9304"/>
        </w:tabs>
        <w:rPr>
          <w:rFonts w:eastAsia="Times New Roman" w:cs="Arial"/>
          <w:noProof/>
          <w:sz w:val="24"/>
          <w:lang w:eastAsia="fr-FR" w:bidi="fr-FR"/>
        </w:rPr>
      </w:pPr>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2" w:history="1">
        <w:r w:rsidR="00E42C74" w:rsidRPr="00E42C74">
          <w:rPr>
            <w:rStyle w:val="Lienhypertexte"/>
            <w:noProof/>
            <w:color w:val="000000" w:themeColor="text1"/>
          </w:rPr>
          <w:t>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Table des matières</w:t>
        </w:r>
        <w:r w:rsidR="00E42C74" w:rsidRPr="00E42C74">
          <w:rPr>
            <w:noProof/>
            <w:webHidden/>
            <w:color w:val="000000" w:themeColor="text1"/>
          </w:rPr>
          <w:tab/>
        </w:r>
        <w:r w:rsidR="00487F68">
          <w:rPr>
            <w:noProof/>
            <w:webHidden/>
            <w:color w:val="000000" w:themeColor="text1"/>
          </w:rPr>
          <w:t>3</w:t>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3" w:history="1">
        <w:r w:rsidR="00E42C74" w:rsidRPr="00E42C74">
          <w:rPr>
            <w:rStyle w:val="Lienhypertexte"/>
            <w:noProof/>
            <w:color w:val="000000" w:themeColor="text1"/>
          </w:rPr>
          <w:t>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Le défi du développement</w:t>
        </w:r>
        <w:r w:rsidR="00E42C74" w:rsidRPr="00E42C74">
          <w:rPr>
            <w:noProof/>
            <w:webHidden/>
            <w:color w:val="000000" w:themeColor="text1"/>
          </w:rPr>
          <w:tab/>
        </w:r>
        <w:r w:rsidR="00487F68">
          <w:rPr>
            <w:noProof/>
            <w:webHidden/>
            <w:color w:val="000000" w:themeColor="text1"/>
          </w:rPr>
          <w:t>6</w:t>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4" w:history="1">
        <w:r w:rsidR="00E42C74" w:rsidRPr="00E42C74">
          <w:rPr>
            <w:rStyle w:val="Lienhypertexte"/>
            <w:noProof/>
            <w:color w:val="000000" w:themeColor="text1"/>
          </w:rPr>
          <w:t>III.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Stratégie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_Toc496886554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26</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5" w:history="1">
        <w:r w:rsidR="00E42C74" w:rsidRPr="00E42C74">
          <w:rPr>
            <w:rStyle w:val="Lienhypertexte"/>
            <w:noProof/>
            <w:color w:val="000000" w:themeColor="text1"/>
          </w:rPr>
          <w:t>IV.</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Résultats et partenariats</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_Toc496886555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33</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6" w:history="1">
        <w:r w:rsidR="00E42C74" w:rsidRPr="00E42C74">
          <w:rPr>
            <w:rStyle w:val="Lienhypertexte"/>
            <w:noProof/>
            <w:color w:val="000000" w:themeColor="text1"/>
          </w:rPr>
          <w:t>V.</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Faisabilité</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_Toc496886556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66</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7" w:history="1">
        <w:r w:rsidR="00E42C74" w:rsidRPr="00E42C74">
          <w:rPr>
            <w:rStyle w:val="Lienhypertexte"/>
            <w:noProof/>
            <w:color w:val="000000" w:themeColor="text1"/>
          </w:rPr>
          <w:t>VI.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Cadre des résultats du projet</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_Toc496886557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77</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8" w:history="1">
        <w:r w:rsidR="00E42C74" w:rsidRPr="00E42C74">
          <w:rPr>
            <w:rStyle w:val="Lienhypertexte"/>
            <w:noProof/>
            <w:color w:val="000000" w:themeColor="text1"/>
          </w:rPr>
          <w:t>VII.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Plan de suivi et évaluation (S&amp;E)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_Toc496886558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83</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59" w:history="1">
        <w:r w:rsidR="00E42C74" w:rsidRPr="00E42C74">
          <w:rPr>
            <w:rStyle w:val="Lienhypertexte"/>
            <w:noProof/>
            <w:color w:val="000000" w:themeColor="text1"/>
          </w:rPr>
          <w:t>VIII.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Mécanismes de gouvernance et de gestion</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_Toc496886559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89</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0" w:history="1">
        <w:r w:rsidR="00E42C74" w:rsidRPr="00E42C74">
          <w:rPr>
            <w:rStyle w:val="Lienhypertexte"/>
            <w:noProof/>
            <w:color w:val="000000" w:themeColor="text1"/>
          </w:rPr>
          <w:t>IX.</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Plan de financement et gestion</w:t>
        </w:r>
        <w:r w:rsidR="00E42C74" w:rsidRPr="00E42C74">
          <w:rPr>
            <w:noProof/>
            <w:webHidden/>
            <w:color w:val="000000" w:themeColor="text1"/>
          </w:rPr>
          <w:tab/>
        </w:r>
        <w:r w:rsidR="00B4520D">
          <w:rPr>
            <w:noProof/>
            <w:webHidden/>
            <w:color w:val="000000" w:themeColor="text1"/>
          </w:rPr>
          <w:t>98</w:t>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1" w:history="1">
        <w:r w:rsidR="00E42C74" w:rsidRPr="00E42C74">
          <w:rPr>
            <w:rStyle w:val="Lienhypertexte"/>
            <w:noProof/>
            <w:color w:val="000000" w:themeColor="text1"/>
          </w:rPr>
          <w:t>X.</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Budget total et plan de travail</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_Toc496886561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100</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2" w:history="1">
        <w:r w:rsidR="00E42C74" w:rsidRPr="00E42C74">
          <w:rPr>
            <w:rStyle w:val="Lienhypertexte"/>
            <w:noProof/>
            <w:color w:val="000000" w:themeColor="text1"/>
          </w:rPr>
          <w:t>XI.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Contexte juridique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_Toc496886562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105</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3" w:history="1">
        <w:r w:rsidR="00E42C74" w:rsidRPr="00E42C74">
          <w:rPr>
            <w:rStyle w:val="Lienhypertexte"/>
            <w:noProof/>
            <w:color w:val="000000" w:themeColor="text1"/>
          </w:rPr>
          <w:t>XII.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Annexes obligatoires</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_Toc496886563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106</w:t>
        </w:r>
        <w:r w:rsidR="00E42C74" w:rsidRPr="00E42C74">
          <w:rPr>
            <w:noProof/>
            <w:webHidden/>
            <w:color w:val="000000" w:themeColor="text1"/>
          </w:rPr>
          <w:fldChar w:fldCharType="end"/>
        </w:r>
      </w:hyperlink>
    </w:p>
    <w:p w:rsidR="00E42C74" w:rsidRPr="00075058" w:rsidRDefault="00E42C74" w:rsidP="00E42C74">
      <w:pPr>
        <w:tabs>
          <w:tab w:val="left" w:pos="341"/>
          <w:tab w:val="left" w:pos="540"/>
          <w:tab w:val="right" w:leader="dot" w:pos="9304"/>
        </w:tabs>
        <w:rPr>
          <w:rFonts w:eastAsia="Times New Roman" w:cs="Arial"/>
          <w:noProof/>
          <w:sz w:val="24"/>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r w:rsidRPr="00075058">
        <w:rPr>
          <w:lang w:eastAsia="fr-FR" w:bidi="fr-FR"/>
        </w:rPr>
        <w:br w:type="page"/>
      </w:r>
    </w:p>
    <w:p w:rsidR="00075058" w:rsidRPr="00075058" w:rsidRDefault="00075058" w:rsidP="00075058">
      <w:pPr>
        <w:spacing w:after="0"/>
        <w:jc w:val="left"/>
        <w:rPr>
          <w:rFonts w:cs="Arial"/>
          <w:szCs w:val="20"/>
          <w:lang w:eastAsia="fr-FR" w:bidi="fr-FR"/>
        </w:rPr>
      </w:pPr>
      <w:r w:rsidRPr="00075058">
        <w:rPr>
          <w:b/>
          <w:sz w:val="28"/>
          <w:lang w:eastAsia="fr-FR" w:bidi="fr-FR"/>
        </w:rPr>
        <w:lastRenderedPageBreak/>
        <w:t>Liste d'acronymes et d'abréviations</w:t>
      </w:r>
    </w:p>
    <w:p w:rsidR="00075058" w:rsidRPr="00075058" w:rsidRDefault="00075058" w:rsidP="00075058">
      <w:pPr>
        <w:spacing w:after="0"/>
        <w:jc w:val="left"/>
        <w:rPr>
          <w:rFonts w:cs="Arial"/>
          <w:b/>
          <w:szCs w:val="20"/>
          <w:lang w:eastAsia="fr-FR" w:bidi="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083"/>
      </w:tblGrid>
      <w:tr w:rsidR="006A75D0" w:rsidRPr="00075058" w:rsidTr="00075058">
        <w:trPr>
          <w:trHeight w:val="288"/>
        </w:trPr>
        <w:tc>
          <w:tcPr>
            <w:tcW w:w="1199" w:type="dxa"/>
            <w:shd w:val="clear" w:color="auto" w:fill="auto"/>
          </w:tcPr>
          <w:p w:rsidR="006A75D0" w:rsidRPr="00075058" w:rsidRDefault="006A75D0" w:rsidP="00075058">
            <w:pPr>
              <w:spacing w:after="0"/>
              <w:rPr>
                <w:lang w:eastAsia="fr-FR" w:bidi="fr-FR"/>
              </w:rPr>
            </w:pPr>
            <w:r>
              <w:rPr>
                <w:lang w:eastAsia="fr-FR" w:bidi="fr-FR"/>
              </w:rPr>
              <w:t>ACC</w:t>
            </w:r>
          </w:p>
        </w:tc>
        <w:tc>
          <w:tcPr>
            <w:tcW w:w="8083" w:type="dxa"/>
            <w:shd w:val="clear" w:color="auto" w:fill="auto"/>
          </w:tcPr>
          <w:p w:rsidR="006A75D0" w:rsidRDefault="006A75D0" w:rsidP="00075058">
            <w:pPr>
              <w:spacing w:after="0"/>
              <w:ind w:left="116"/>
              <w:rPr>
                <w:i/>
                <w:lang w:eastAsia="fr-FR" w:bidi="fr-FR"/>
              </w:rPr>
            </w:pPr>
            <w:r>
              <w:t>Adaptation aux changements climatiques</w:t>
            </w:r>
          </w:p>
        </w:tc>
      </w:tr>
      <w:tr w:rsidR="003A2C4B" w:rsidRPr="00075058" w:rsidTr="00075058">
        <w:trPr>
          <w:trHeight w:val="288"/>
        </w:trPr>
        <w:tc>
          <w:tcPr>
            <w:tcW w:w="1199" w:type="dxa"/>
            <w:shd w:val="clear" w:color="auto" w:fill="auto"/>
          </w:tcPr>
          <w:p w:rsidR="003A2C4B" w:rsidRDefault="003A2C4B" w:rsidP="00075058">
            <w:pPr>
              <w:spacing w:after="0"/>
              <w:rPr>
                <w:lang w:eastAsia="fr-FR" w:bidi="fr-FR"/>
              </w:rPr>
            </w:pPr>
            <w:r>
              <w:rPr>
                <w:lang w:eastAsia="fr-FR" w:bidi="fr-FR"/>
              </w:rPr>
              <w:t>AFOD</w:t>
            </w:r>
          </w:p>
        </w:tc>
        <w:tc>
          <w:tcPr>
            <w:tcW w:w="8083" w:type="dxa"/>
            <w:shd w:val="clear" w:color="auto" w:fill="auto"/>
          </w:tcPr>
          <w:p w:rsidR="003A2C4B" w:rsidRDefault="003A2C4B" w:rsidP="00075058">
            <w:pPr>
              <w:spacing w:after="0"/>
              <w:ind w:left="116"/>
            </w:pPr>
            <w:r w:rsidRPr="003A2C4B">
              <w:t>Autorisation de financement et d’ordonnancement des dépenses</w:t>
            </w:r>
          </w:p>
        </w:tc>
      </w:tr>
      <w:tr w:rsidR="00437CEE" w:rsidRPr="00075058" w:rsidTr="00075058">
        <w:trPr>
          <w:trHeight w:val="288"/>
        </w:trPr>
        <w:tc>
          <w:tcPr>
            <w:tcW w:w="1199" w:type="dxa"/>
            <w:shd w:val="clear" w:color="auto" w:fill="auto"/>
          </w:tcPr>
          <w:p w:rsidR="00437CEE" w:rsidRDefault="00437CEE" w:rsidP="00075058">
            <w:pPr>
              <w:spacing w:after="0"/>
              <w:rPr>
                <w:lang w:eastAsia="fr-FR" w:bidi="fr-FR"/>
              </w:rPr>
            </w:pPr>
            <w:r>
              <w:rPr>
                <w:lang w:eastAsia="fr-FR" w:bidi="fr-FR"/>
              </w:rPr>
              <w:t>AGR</w:t>
            </w:r>
          </w:p>
        </w:tc>
        <w:tc>
          <w:tcPr>
            <w:tcW w:w="8083" w:type="dxa"/>
            <w:shd w:val="clear" w:color="auto" w:fill="auto"/>
          </w:tcPr>
          <w:p w:rsidR="00437CEE" w:rsidRDefault="00437CEE" w:rsidP="00075058">
            <w:pPr>
              <w:spacing w:after="0"/>
              <w:ind w:left="116"/>
            </w:pPr>
            <w:r w:rsidRPr="00075058">
              <w:rPr>
                <w:lang w:eastAsia="fr-FR" w:bidi="fr-FR"/>
              </w:rPr>
              <w:t>Activité génératrice de revenus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ANEV</w:t>
            </w:r>
          </w:p>
        </w:tc>
        <w:tc>
          <w:tcPr>
            <w:tcW w:w="8083" w:type="dxa"/>
            <w:shd w:val="clear" w:color="auto" w:fill="auto"/>
          </w:tcPr>
          <w:p w:rsidR="00075058" w:rsidRPr="00075058" w:rsidRDefault="008524E1" w:rsidP="00537B55">
            <w:pPr>
              <w:spacing w:after="0"/>
              <w:ind w:left="116"/>
              <w:rPr>
                <w:szCs w:val="20"/>
                <w:lang w:eastAsia="fr-FR" w:bidi="fr-FR"/>
              </w:rPr>
            </w:pPr>
            <w:r w:rsidRPr="00537B55">
              <w:rPr>
                <w:lang w:eastAsia="fr-FR" w:bidi="fr-FR"/>
              </w:rPr>
              <w:t>Agence nationale des é</w:t>
            </w:r>
            <w:r w:rsidR="00075058" w:rsidRPr="00537B55">
              <w:rPr>
                <w:lang w:eastAsia="fr-FR" w:bidi="fr-FR"/>
              </w:rPr>
              <w:t>covillages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ARD</w:t>
            </w:r>
          </w:p>
        </w:tc>
        <w:tc>
          <w:tcPr>
            <w:tcW w:w="8083" w:type="dxa"/>
            <w:shd w:val="clear" w:color="auto" w:fill="auto"/>
          </w:tcPr>
          <w:p w:rsidR="00075058" w:rsidRPr="00075058" w:rsidRDefault="00537B55" w:rsidP="00537B55">
            <w:pPr>
              <w:spacing w:after="0"/>
              <w:ind w:left="116"/>
              <w:rPr>
                <w:szCs w:val="20"/>
                <w:lang w:eastAsia="fr-FR" w:bidi="fr-FR"/>
              </w:rPr>
            </w:pPr>
            <w:r w:rsidRPr="00537B55">
              <w:rPr>
                <w:lang w:eastAsia="fr-FR" w:bidi="fr-FR"/>
              </w:rPr>
              <w:t>Agence régionale de d</w:t>
            </w:r>
            <w:r w:rsidR="00075058" w:rsidRPr="00537B55">
              <w:rPr>
                <w:lang w:eastAsia="fr-FR" w:bidi="fr-FR"/>
              </w:rPr>
              <w:t>éveloppement</w:t>
            </w:r>
          </w:p>
        </w:tc>
      </w:tr>
      <w:tr w:rsidR="001A7A3F" w:rsidRPr="00075058" w:rsidTr="00075058">
        <w:trPr>
          <w:trHeight w:val="288"/>
        </w:trPr>
        <w:tc>
          <w:tcPr>
            <w:tcW w:w="1199" w:type="dxa"/>
            <w:shd w:val="clear" w:color="auto" w:fill="auto"/>
          </w:tcPr>
          <w:p w:rsidR="001A7A3F" w:rsidRPr="00075058" w:rsidRDefault="001A7A3F" w:rsidP="00075058">
            <w:pPr>
              <w:spacing w:after="0"/>
              <w:rPr>
                <w:lang w:eastAsia="fr-FR" w:bidi="fr-FR"/>
              </w:rPr>
            </w:pPr>
            <w:r>
              <w:rPr>
                <w:lang w:eastAsia="fr-FR" w:bidi="fr-FR"/>
              </w:rPr>
              <w:t>BAD</w:t>
            </w:r>
          </w:p>
        </w:tc>
        <w:tc>
          <w:tcPr>
            <w:tcW w:w="8083" w:type="dxa"/>
            <w:shd w:val="clear" w:color="auto" w:fill="auto"/>
          </w:tcPr>
          <w:p w:rsidR="001A7A3F" w:rsidRPr="00537B55" w:rsidRDefault="001A7A3F" w:rsidP="00537B55">
            <w:pPr>
              <w:spacing w:after="0"/>
              <w:ind w:left="116"/>
              <w:rPr>
                <w:lang w:eastAsia="fr-FR" w:bidi="fr-FR"/>
              </w:rPr>
            </w:pPr>
            <w:r>
              <w:rPr>
                <w:lang w:eastAsia="fr-FR" w:bidi="fr-FR"/>
              </w:rPr>
              <w:t>Banque africaine de développement</w:t>
            </w:r>
          </w:p>
        </w:tc>
      </w:tr>
      <w:tr w:rsidR="00075058" w:rsidRPr="006F2A4B"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BBOP</w:t>
            </w:r>
          </w:p>
        </w:tc>
        <w:tc>
          <w:tcPr>
            <w:tcW w:w="8083" w:type="dxa"/>
            <w:shd w:val="clear" w:color="auto" w:fill="auto"/>
          </w:tcPr>
          <w:p w:rsidR="00075058" w:rsidRPr="006F2A4B" w:rsidRDefault="006F2A4B" w:rsidP="006F2A4B">
            <w:pPr>
              <w:spacing w:after="0"/>
              <w:ind w:left="116"/>
              <w:rPr>
                <w:szCs w:val="20"/>
                <w:lang w:eastAsia="fr-FR" w:bidi="fr-FR"/>
              </w:rPr>
            </w:pPr>
            <w:r>
              <w:rPr>
                <w:lang w:eastAsia="fr-FR" w:bidi="fr-FR"/>
              </w:rPr>
              <w:t>Programme de compensation pour l</w:t>
            </w:r>
            <w:r w:rsidRPr="006F2A4B">
              <w:rPr>
                <w:lang w:eastAsia="fr-FR" w:bidi="fr-FR"/>
              </w:rPr>
              <w:t>es e</w:t>
            </w:r>
            <w:r>
              <w:rPr>
                <w:lang w:eastAsia="fr-FR" w:bidi="fr-FR"/>
              </w:rPr>
              <w:t>ntreprises et</w:t>
            </w:r>
            <w:r w:rsidRPr="006F2A4B">
              <w:rPr>
                <w:lang w:eastAsia="fr-FR" w:bidi="fr-FR"/>
              </w:rPr>
              <w:t xml:space="preserve"> la biodiversité </w:t>
            </w:r>
            <w:r>
              <w:rPr>
                <w:lang w:eastAsia="fr-FR" w:bidi="fr-FR"/>
              </w:rPr>
              <w:t xml:space="preserve">/ </w:t>
            </w:r>
            <w:r w:rsidR="00075058" w:rsidRPr="00537B55">
              <w:rPr>
                <w:i/>
                <w:lang w:eastAsia="fr-FR" w:bidi="fr-FR"/>
              </w:rPr>
              <w:t>Business and Biodiversity Offsets Programme</w:t>
            </w:r>
          </w:p>
        </w:tc>
      </w:tr>
      <w:tr w:rsidR="003A53F3" w:rsidRPr="006F2A4B" w:rsidTr="00075058">
        <w:trPr>
          <w:trHeight w:val="288"/>
        </w:trPr>
        <w:tc>
          <w:tcPr>
            <w:tcW w:w="1199" w:type="dxa"/>
            <w:shd w:val="clear" w:color="auto" w:fill="auto"/>
          </w:tcPr>
          <w:p w:rsidR="003A53F3" w:rsidRPr="00075058" w:rsidRDefault="003A53F3" w:rsidP="00075058">
            <w:pPr>
              <w:spacing w:after="0"/>
              <w:rPr>
                <w:lang w:eastAsia="fr-FR" w:bidi="fr-FR"/>
              </w:rPr>
            </w:pPr>
            <w:r>
              <w:rPr>
                <w:lang w:eastAsia="fr-FR" w:bidi="fr-FR"/>
              </w:rPr>
              <w:t>BIE</w:t>
            </w:r>
          </w:p>
        </w:tc>
        <w:tc>
          <w:tcPr>
            <w:tcW w:w="8083" w:type="dxa"/>
            <w:shd w:val="clear" w:color="auto" w:fill="auto"/>
          </w:tcPr>
          <w:p w:rsidR="003A53F3" w:rsidRDefault="003A53F3" w:rsidP="006F2A4B">
            <w:pPr>
              <w:spacing w:after="0"/>
              <w:ind w:left="116"/>
              <w:rPr>
                <w:lang w:eastAsia="fr-FR" w:bidi="fr-FR"/>
              </w:rPr>
            </w:pPr>
            <w:r>
              <w:rPr>
                <w:lang w:eastAsia="fr-FR" w:bidi="fr-FR"/>
              </w:rPr>
              <w:t>Bureau indépendant d’évaluation</w:t>
            </w:r>
          </w:p>
        </w:tc>
      </w:tr>
      <w:tr w:rsidR="004B3EDE" w:rsidRPr="006F2A4B" w:rsidTr="00075058">
        <w:trPr>
          <w:trHeight w:val="288"/>
        </w:trPr>
        <w:tc>
          <w:tcPr>
            <w:tcW w:w="1199" w:type="dxa"/>
            <w:shd w:val="clear" w:color="auto" w:fill="auto"/>
          </w:tcPr>
          <w:p w:rsidR="004B3EDE" w:rsidRPr="00075058" w:rsidRDefault="004B3EDE" w:rsidP="00075058">
            <w:pPr>
              <w:spacing w:after="0"/>
              <w:rPr>
                <w:lang w:eastAsia="fr-FR" w:bidi="fr-FR"/>
              </w:rPr>
            </w:pPr>
            <w:r>
              <w:rPr>
                <w:lang w:eastAsia="fr-FR" w:bidi="fr-FR"/>
              </w:rPr>
              <w:t>BM</w:t>
            </w:r>
          </w:p>
        </w:tc>
        <w:tc>
          <w:tcPr>
            <w:tcW w:w="8083" w:type="dxa"/>
            <w:shd w:val="clear" w:color="auto" w:fill="auto"/>
          </w:tcPr>
          <w:p w:rsidR="004B3EDE" w:rsidRDefault="004B3EDE" w:rsidP="006F2A4B">
            <w:pPr>
              <w:spacing w:after="0"/>
              <w:ind w:left="116"/>
              <w:rPr>
                <w:lang w:eastAsia="fr-FR" w:bidi="fr-FR"/>
              </w:rPr>
            </w:pPr>
            <w:r w:rsidRPr="00075058">
              <w:rPr>
                <w:rFonts w:eastAsia="Times"/>
                <w:lang w:eastAsia="fr-FR" w:bidi="fr-FR"/>
              </w:rPr>
              <w:t>Banque mondiale</w:t>
            </w:r>
          </w:p>
        </w:tc>
      </w:tr>
      <w:tr w:rsidR="00B53BD8" w:rsidRPr="006F2A4B" w:rsidTr="00075058">
        <w:trPr>
          <w:trHeight w:val="288"/>
        </w:trPr>
        <w:tc>
          <w:tcPr>
            <w:tcW w:w="1199" w:type="dxa"/>
            <w:shd w:val="clear" w:color="auto" w:fill="auto"/>
          </w:tcPr>
          <w:p w:rsidR="00B53BD8" w:rsidRPr="00075058" w:rsidRDefault="00B53BD8" w:rsidP="00075058">
            <w:pPr>
              <w:spacing w:after="0"/>
              <w:rPr>
                <w:lang w:eastAsia="fr-FR" w:bidi="fr-FR"/>
              </w:rPr>
            </w:pPr>
            <w:r>
              <w:rPr>
                <w:lang w:eastAsia="fr-FR" w:bidi="fr-FR"/>
              </w:rPr>
              <w:t>BP</w:t>
            </w:r>
          </w:p>
        </w:tc>
        <w:tc>
          <w:tcPr>
            <w:tcW w:w="8083" w:type="dxa"/>
            <w:shd w:val="clear" w:color="auto" w:fill="auto"/>
          </w:tcPr>
          <w:p w:rsidR="00B53BD8" w:rsidRDefault="00B53BD8" w:rsidP="006F2A4B">
            <w:pPr>
              <w:spacing w:after="0"/>
              <w:ind w:left="116"/>
              <w:rPr>
                <w:lang w:eastAsia="fr-FR" w:bidi="fr-FR"/>
              </w:rPr>
            </w:pPr>
            <w:r>
              <w:rPr>
                <w:lang w:eastAsia="fr-FR" w:bidi="fr-FR"/>
              </w:rPr>
              <w:t>Bureau de pays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CC</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Changement climatique</w:t>
            </w:r>
          </w:p>
        </w:tc>
      </w:tr>
      <w:tr w:rsidR="00E8322C" w:rsidRPr="00075058" w:rsidTr="00075058">
        <w:trPr>
          <w:trHeight w:val="288"/>
        </w:trPr>
        <w:tc>
          <w:tcPr>
            <w:tcW w:w="1199" w:type="dxa"/>
            <w:shd w:val="clear" w:color="auto" w:fill="auto"/>
          </w:tcPr>
          <w:p w:rsidR="00E8322C" w:rsidRPr="00075058" w:rsidRDefault="00E8322C" w:rsidP="00075058">
            <w:pPr>
              <w:spacing w:after="0"/>
              <w:rPr>
                <w:lang w:eastAsia="fr-FR" w:bidi="fr-FR"/>
              </w:rPr>
            </w:pPr>
            <w:r>
              <w:rPr>
                <w:lang w:eastAsia="fr-FR" w:bidi="fr-FR"/>
              </w:rPr>
              <w:t>CDP</w:t>
            </w:r>
          </w:p>
        </w:tc>
        <w:tc>
          <w:tcPr>
            <w:tcW w:w="8083" w:type="dxa"/>
            <w:shd w:val="clear" w:color="auto" w:fill="auto"/>
          </w:tcPr>
          <w:p w:rsidR="00E8322C" w:rsidRPr="00075058" w:rsidRDefault="00E8322C" w:rsidP="00075058">
            <w:pPr>
              <w:spacing w:after="0"/>
              <w:ind w:left="116"/>
              <w:rPr>
                <w:lang w:eastAsia="fr-FR" w:bidi="fr-FR"/>
              </w:rPr>
            </w:pPr>
            <w:r w:rsidRPr="00075058">
              <w:rPr>
                <w:lang w:eastAsia="fr-FR" w:bidi="fr-FR"/>
              </w:rPr>
              <w:t xml:space="preserve">Comité </w:t>
            </w:r>
            <w:r w:rsidR="00FB1AF6">
              <w:rPr>
                <w:lang w:eastAsia="fr-FR" w:bidi="fr-FR"/>
              </w:rPr>
              <w:t>de Pilotage</w:t>
            </w:r>
            <w:r w:rsidR="00FB1AF6" w:rsidRPr="00075058">
              <w:rPr>
                <w:lang w:eastAsia="fr-FR" w:bidi="fr-FR"/>
              </w:rPr>
              <w:t xml:space="preserve"> </w:t>
            </w:r>
            <w:r w:rsidRPr="00075058">
              <w:rPr>
                <w:lang w:eastAsia="fr-FR" w:bidi="fr-FR"/>
              </w:rPr>
              <w:t>du projet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CIVD</w:t>
            </w:r>
          </w:p>
        </w:tc>
        <w:tc>
          <w:tcPr>
            <w:tcW w:w="8083" w:type="dxa"/>
            <w:shd w:val="clear" w:color="auto" w:fill="auto"/>
          </w:tcPr>
          <w:p w:rsidR="00075058" w:rsidRPr="00537B55" w:rsidRDefault="00075058" w:rsidP="00075058">
            <w:pPr>
              <w:spacing w:after="0"/>
              <w:ind w:left="116"/>
              <w:rPr>
                <w:szCs w:val="20"/>
                <w:lang w:eastAsia="fr-FR" w:bidi="fr-FR"/>
              </w:rPr>
            </w:pPr>
            <w:r w:rsidRPr="00537B55">
              <w:rPr>
                <w:lang w:eastAsia="fr-FR" w:bidi="fr-FR"/>
              </w:rPr>
              <w:t>Comité intervillageois de développement</w:t>
            </w:r>
          </w:p>
        </w:tc>
      </w:tr>
      <w:tr w:rsidR="005F4017" w:rsidRPr="00075058" w:rsidTr="00075058">
        <w:trPr>
          <w:trHeight w:val="288"/>
        </w:trPr>
        <w:tc>
          <w:tcPr>
            <w:tcW w:w="1199" w:type="dxa"/>
            <w:shd w:val="clear" w:color="auto" w:fill="auto"/>
          </w:tcPr>
          <w:p w:rsidR="005F4017" w:rsidRPr="00075058" w:rsidRDefault="005F4017" w:rsidP="00075058">
            <w:pPr>
              <w:spacing w:after="0"/>
              <w:rPr>
                <w:lang w:eastAsia="fr-FR" w:bidi="fr-FR"/>
              </w:rPr>
            </w:pPr>
            <w:r>
              <w:rPr>
                <w:lang w:eastAsia="fr-FR" w:bidi="fr-FR"/>
              </w:rPr>
              <w:t>CL</w:t>
            </w:r>
          </w:p>
        </w:tc>
        <w:tc>
          <w:tcPr>
            <w:tcW w:w="8083" w:type="dxa"/>
            <w:shd w:val="clear" w:color="auto" w:fill="auto"/>
          </w:tcPr>
          <w:p w:rsidR="005F4017" w:rsidRPr="00537B55" w:rsidRDefault="005F4017" w:rsidP="00075058">
            <w:pPr>
              <w:spacing w:after="0"/>
              <w:ind w:left="116"/>
              <w:rPr>
                <w:lang w:eastAsia="fr-FR" w:bidi="fr-FR"/>
              </w:rPr>
            </w:pPr>
            <w:r>
              <w:rPr>
                <w:lang w:eastAsia="fr-FR" w:bidi="fr-FR"/>
              </w:rPr>
              <w:t>Collectivité locale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CNAPPP</w:t>
            </w:r>
          </w:p>
        </w:tc>
        <w:tc>
          <w:tcPr>
            <w:tcW w:w="8083" w:type="dxa"/>
            <w:shd w:val="clear" w:color="auto" w:fill="auto"/>
          </w:tcPr>
          <w:p w:rsidR="00075058" w:rsidRPr="00537B55" w:rsidRDefault="00537B55" w:rsidP="00075058">
            <w:pPr>
              <w:spacing w:after="0"/>
              <w:ind w:left="116"/>
              <w:rPr>
                <w:szCs w:val="20"/>
                <w:lang w:eastAsia="fr-FR" w:bidi="fr-FR"/>
              </w:rPr>
            </w:pPr>
            <w:r>
              <w:rPr>
                <w:lang w:eastAsia="fr-FR" w:bidi="fr-FR"/>
              </w:rPr>
              <w:t>Comité national d’appui aux partenariats public-p</w:t>
            </w:r>
            <w:r w:rsidR="00075058" w:rsidRPr="00537B55">
              <w:rPr>
                <w:lang w:eastAsia="fr-FR" w:bidi="fr-FR"/>
              </w:rPr>
              <w:t>rivé</w:t>
            </w:r>
          </w:p>
        </w:tc>
      </w:tr>
      <w:tr w:rsidR="00812D8E" w:rsidRPr="00075058" w:rsidTr="00075058">
        <w:trPr>
          <w:trHeight w:val="288"/>
        </w:trPr>
        <w:tc>
          <w:tcPr>
            <w:tcW w:w="1199" w:type="dxa"/>
            <w:shd w:val="clear" w:color="auto" w:fill="auto"/>
          </w:tcPr>
          <w:p w:rsidR="00812D8E" w:rsidRPr="00075058" w:rsidRDefault="00812D8E" w:rsidP="00075058">
            <w:pPr>
              <w:spacing w:after="0"/>
              <w:rPr>
                <w:lang w:eastAsia="fr-FR" w:bidi="fr-FR"/>
              </w:rPr>
            </w:pPr>
            <w:r>
              <w:rPr>
                <w:lang w:eastAsia="fr-FR" w:bidi="fr-FR"/>
              </w:rPr>
              <w:t>CNP</w:t>
            </w:r>
          </w:p>
        </w:tc>
        <w:tc>
          <w:tcPr>
            <w:tcW w:w="8083" w:type="dxa"/>
            <w:shd w:val="clear" w:color="auto" w:fill="auto"/>
          </w:tcPr>
          <w:p w:rsidR="00812D8E" w:rsidRDefault="00812D8E" w:rsidP="00075058">
            <w:pPr>
              <w:spacing w:after="0"/>
              <w:ind w:left="116"/>
              <w:rPr>
                <w:lang w:eastAsia="fr-FR" w:bidi="fr-FR"/>
              </w:rPr>
            </w:pPr>
            <w:r w:rsidRPr="00812D8E">
              <w:rPr>
                <w:bCs/>
                <w:lang w:eastAsia="fr-FR" w:bidi="fr-FR"/>
              </w:rPr>
              <w:t>Coordinateur national de projet</w:t>
            </w:r>
          </w:p>
        </w:tc>
      </w:tr>
      <w:tr w:rsidR="00167E42" w:rsidRPr="00075058" w:rsidTr="00075058">
        <w:trPr>
          <w:trHeight w:val="288"/>
        </w:trPr>
        <w:tc>
          <w:tcPr>
            <w:tcW w:w="1199" w:type="dxa"/>
            <w:shd w:val="clear" w:color="auto" w:fill="auto"/>
          </w:tcPr>
          <w:p w:rsidR="00167E42" w:rsidRDefault="00167E42" w:rsidP="00075058">
            <w:pPr>
              <w:spacing w:after="0"/>
              <w:rPr>
                <w:lang w:eastAsia="fr-FR" w:bidi="fr-FR"/>
              </w:rPr>
            </w:pPr>
            <w:r>
              <w:rPr>
                <w:lang w:eastAsia="fr-FR" w:bidi="fr-FR"/>
              </w:rPr>
              <w:t>CRE</w:t>
            </w:r>
          </w:p>
        </w:tc>
        <w:tc>
          <w:tcPr>
            <w:tcW w:w="8083" w:type="dxa"/>
            <w:shd w:val="clear" w:color="auto" w:fill="auto"/>
          </w:tcPr>
          <w:p w:rsidR="00167E42" w:rsidRPr="00812D8E" w:rsidRDefault="00167E42" w:rsidP="00075058">
            <w:pPr>
              <w:spacing w:after="0"/>
              <w:ind w:left="116"/>
              <w:rPr>
                <w:bCs/>
                <w:lang w:eastAsia="fr-FR" w:bidi="fr-FR"/>
              </w:rPr>
            </w:pPr>
            <w:r w:rsidRPr="00167E42">
              <w:rPr>
                <w:bCs/>
                <w:lang w:eastAsia="fr-FR" w:bidi="fr-FR"/>
              </w:rPr>
              <w:t>Centre de ressources pour les évaluations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CSE</w:t>
            </w:r>
          </w:p>
        </w:tc>
        <w:tc>
          <w:tcPr>
            <w:tcW w:w="8083" w:type="dxa"/>
            <w:shd w:val="clear" w:color="auto" w:fill="auto"/>
          </w:tcPr>
          <w:p w:rsidR="00075058" w:rsidRPr="00075058" w:rsidRDefault="00B53BD8" w:rsidP="00075058">
            <w:pPr>
              <w:spacing w:after="0"/>
              <w:ind w:left="116"/>
              <w:rPr>
                <w:szCs w:val="20"/>
                <w:lang w:eastAsia="fr-FR" w:bidi="fr-FR"/>
              </w:rPr>
            </w:pPr>
            <w:r>
              <w:rPr>
                <w:lang w:eastAsia="fr-FR" w:bidi="fr-FR"/>
              </w:rPr>
              <w:t>Centre de suivi é</w:t>
            </w:r>
            <w:r w:rsidR="00075058" w:rsidRPr="00075058">
              <w:rPr>
                <w:lang w:eastAsia="fr-FR" w:bidi="fr-FR"/>
              </w:rPr>
              <w:t>cologique</w:t>
            </w:r>
          </w:p>
        </w:tc>
      </w:tr>
      <w:tr w:rsidR="003A2C4B" w:rsidRPr="00075058" w:rsidTr="00075058">
        <w:trPr>
          <w:trHeight w:val="288"/>
        </w:trPr>
        <w:tc>
          <w:tcPr>
            <w:tcW w:w="1199" w:type="dxa"/>
            <w:shd w:val="clear" w:color="auto" w:fill="auto"/>
          </w:tcPr>
          <w:p w:rsidR="003A2C4B" w:rsidRPr="00075058" w:rsidRDefault="003A2C4B" w:rsidP="00075058">
            <w:pPr>
              <w:spacing w:after="0"/>
              <w:rPr>
                <w:lang w:eastAsia="fr-FR" w:bidi="fr-FR"/>
              </w:rPr>
            </w:pPr>
            <w:r>
              <w:rPr>
                <w:lang w:eastAsia="fr-FR" w:bidi="fr-FR"/>
              </w:rPr>
              <w:t>CSN</w:t>
            </w:r>
          </w:p>
        </w:tc>
        <w:tc>
          <w:tcPr>
            <w:tcW w:w="8083" w:type="dxa"/>
            <w:shd w:val="clear" w:color="auto" w:fill="auto"/>
          </w:tcPr>
          <w:p w:rsidR="003A2C4B" w:rsidRDefault="003A2C4B" w:rsidP="00075058">
            <w:pPr>
              <w:spacing w:after="0"/>
              <w:ind w:left="116"/>
              <w:rPr>
                <w:lang w:eastAsia="fr-FR" w:bidi="fr-FR"/>
              </w:rPr>
            </w:pPr>
            <w:r w:rsidRPr="003A2C4B">
              <w:rPr>
                <w:lang w:eastAsia="fr-FR" w:bidi="fr-FR"/>
              </w:rPr>
              <w:t>Coordinateur de la stratégie national</w:t>
            </w:r>
          </w:p>
        </w:tc>
      </w:tr>
      <w:tr w:rsidR="00E8322C" w:rsidRPr="00075058" w:rsidTr="00075058">
        <w:trPr>
          <w:trHeight w:val="288"/>
        </w:trPr>
        <w:tc>
          <w:tcPr>
            <w:tcW w:w="1199" w:type="dxa"/>
            <w:shd w:val="clear" w:color="auto" w:fill="auto"/>
          </w:tcPr>
          <w:p w:rsidR="00E8322C" w:rsidRDefault="00E8322C" w:rsidP="00075058">
            <w:pPr>
              <w:spacing w:after="0"/>
              <w:rPr>
                <w:lang w:eastAsia="fr-FR" w:bidi="fr-FR"/>
              </w:rPr>
            </w:pPr>
            <w:r>
              <w:rPr>
                <w:lang w:eastAsia="fr-FR" w:bidi="fr-FR"/>
              </w:rPr>
              <w:t>CTR</w:t>
            </w:r>
          </w:p>
        </w:tc>
        <w:tc>
          <w:tcPr>
            <w:tcW w:w="8083" w:type="dxa"/>
            <w:shd w:val="clear" w:color="auto" w:fill="auto"/>
          </w:tcPr>
          <w:p w:rsidR="00E8322C" w:rsidRPr="003A2C4B" w:rsidRDefault="00E8322C" w:rsidP="00075058">
            <w:pPr>
              <w:spacing w:after="0"/>
              <w:ind w:left="116"/>
              <w:rPr>
                <w:lang w:eastAsia="fr-FR" w:bidi="fr-FR"/>
              </w:rPr>
            </w:pPr>
            <w:r>
              <w:rPr>
                <w:lang w:eastAsia="fr-FR" w:bidi="fr-FR"/>
              </w:rPr>
              <w:t>Conseiller technique régional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CVD</w:t>
            </w:r>
          </w:p>
        </w:tc>
        <w:tc>
          <w:tcPr>
            <w:tcW w:w="8083" w:type="dxa"/>
            <w:shd w:val="clear" w:color="auto" w:fill="auto"/>
          </w:tcPr>
          <w:p w:rsidR="00075058" w:rsidRPr="00F95C3E" w:rsidRDefault="00D8296A" w:rsidP="00075058">
            <w:pPr>
              <w:spacing w:after="0"/>
              <w:ind w:left="116"/>
              <w:rPr>
                <w:szCs w:val="20"/>
                <w:lang w:eastAsia="fr-FR" w:bidi="fr-FR"/>
              </w:rPr>
            </w:pPr>
            <w:r>
              <w:rPr>
                <w:lang w:eastAsia="fr-FR" w:bidi="fr-FR"/>
              </w:rPr>
              <w:t>Comité villageois de d</w:t>
            </w:r>
            <w:r w:rsidR="00075058" w:rsidRPr="00F95C3E">
              <w:rPr>
                <w:lang w:eastAsia="fr-FR" w:bidi="fr-FR"/>
              </w:rPr>
              <w:t>éveloppement</w:t>
            </w:r>
          </w:p>
        </w:tc>
      </w:tr>
      <w:tr w:rsidR="009222EC" w:rsidRPr="00075058" w:rsidTr="00075058">
        <w:trPr>
          <w:trHeight w:val="288"/>
        </w:trPr>
        <w:tc>
          <w:tcPr>
            <w:tcW w:w="1199" w:type="dxa"/>
            <w:shd w:val="clear" w:color="auto" w:fill="auto"/>
          </w:tcPr>
          <w:p w:rsidR="009222EC" w:rsidRPr="00075058" w:rsidRDefault="009222EC" w:rsidP="00075058">
            <w:pPr>
              <w:spacing w:after="0"/>
              <w:rPr>
                <w:lang w:eastAsia="fr-FR" w:bidi="fr-FR"/>
              </w:rPr>
            </w:pPr>
            <w:r>
              <w:rPr>
                <w:lang w:eastAsia="fr-FR" w:bidi="fr-FR"/>
              </w:rPr>
              <w:t>DCFE</w:t>
            </w:r>
          </w:p>
        </w:tc>
        <w:tc>
          <w:tcPr>
            <w:tcW w:w="8083" w:type="dxa"/>
            <w:shd w:val="clear" w:color="auto" w:fill="auto"/>
          </w:tcPr>
          <w:p w:rsidR="009222EC" w:rsidRDefault="009222EC" w:rsidP="00075058">
            <w:pPr>
              <w:spacing w:after="0"/>
              <w:ind w:left="116"/>
              <w:rPr>
                <w:lang w:eastAsia="fr-FR" w:bidi="fr-FR"/>
              </w:rPr>
            </w:pPr>
            <w:r>
              <w:rPr>
                <w:lang w:eastAsia="fr-FR" w:bidi="fr-FR"/>
              </w:rPr>
              <w:t>Direction de la coopération et du financement extérieur</w:t>
            </w:r>
          </w:p>
        </w:tc>
      </w:tr>
      <w:tr w:rsidR="00075058" w:rsidRPr="00833FA1"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DEFCC</w:t>
            </w:r>
            <w:r w:rsidR="00833FA1">
              <w:rPr>
                <w:lang w:eastAsia="fr-FR" w:bidi="fr-FR"/>
              </w:rPr>
              <w:t>S</w:t>
            </w:r>
          </w:p>
        </w:tc>
        <w:tc>
          <w:tcPr>
            <w:tcW w:w="8083" w:type="dxa"/>
            <w:shd w:val="clear" w:color="auto" w:fill="auto"/>
          </w:tcPr>
          <w:p w:rsidR="00075058" w:rsidRPr="00833FA1" w:rsidRDefault="00803B55" w:rsidP="00075058">
            <w:pPr>
              <w:spacing w:after="0"/>
              <w:ind w:left="116"/>
              <w:rPr>
                <w:szCs w:val="20"/>
                <w:lang w:eastAsia="fr-FR" w:bidi="fr-FR"/>
              </w:rPr>
            </w:pPr>
            <w:r>
              <w:rPr>
                <w:bCs/>
                <w:lang w:eastAsia="fr-FR" w:bidi="fr-FR"/>
              </w:rPr>
              <w:t>Direction des eaux et f</w:t>
            </w:r>
            <w:r w:rsidR="00833FA1" w:rsidRPr="00833FA1">
              <w:rPr>
                <w:bCs/>
                <w:lang w:eastAsia="fr-FR" w:bidi="fr-FR"/>
              </w:rPr>
              <w:t>orêts</w:t>
            </w:r>
            <w:r>
              <w:rPr>
                <w:lang w:eastAsia="fr-FR" w:bidi="fr-FR"/>
              </w:rPr>
              <w:t xml:space="preserve">, </w:t>
            </w:r>
            <w:r>
              <w:rPr>
                <w:bCs/>
                <w:lang w:eastAsia="fr-FR" w:bidi="fr-FR"/>
              </w:rPr>
              <w:t>chasses et de la c</w:t>
            </w:r>
            <w:r w:rsidR="00833FA1" w:rsidRPr="00833FA1">
              <w:rPr>
                <w:bCs/>
                <w:lang w:eastAsia="fr-FR" w:bidi="fr-FR"/>
              </w:rPr>
              <w:t>onservation des sols</w:t>
            </w:r>
          </w:p>
        </w:tc>
      </w:tr>
      <w:tr w:rsidR="00075058" w:rsidRPr="00833FA1"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DFID</w:t>
            </w:r>
          </w:p>
        </w:tc>
        <w:tc>
          <w:tcPr>
            <w:tcW w:w="8083" w:type="dxa"/>
            <w:shd w:val="clear" w:color="auto" w:fill="auto"/>
          </w:tcPr>
          <w:p w:rsidR="00075058" w:rsidRPr="00833FA1" w:rsidRDefault="00833FA1" w:rsidP="00075058">
            <w:pPr>
              <w:spacing w:after="0"/>
              <w:ind w:left="116"/>
              <w:rPr>
                <w:szCs w:val="20"/>
                <w:lang w:eastAsia="fr-FR" w:bidi="fr-FR"/>
              </w:rPr>
            </w:pPr>
            <w:r w:rsidRPr="00833FA1">
              <w:rPr>
                <w:lang w:eastAsia="fr-FR" w:bidi="fr-FR"/>
              </w:rPr>
              <w:t>Ministère du développement international du Royaume-Uni</w:t>
            </w:r>
          </w:p>
        </w:tc>
      </w:tr>
      <w:tr w:rsidR="00075058" w:rsidRPr="00075058" w:rsidTr="00075058">
        <w:trPr>
          <w:trHeight w:val="288"/>
        </w:trPr>
        <w:tc>
          <w:tcPr>
            <w:tcW w:w="1199" w:type="dxa"/>
            <w:shd w:val="clear" w:color="auto" w:fill="auto"/>
          </w:tcPr>
          <w:p w:rsidR="00075058" w:rsidRPr="00075058" w:rsidRDefault="00286E4F" w:rsidP="00075058">
            <w:pPr>
              <w:spacing w:after="0"/>
              <w:rPr>
                <w:szCs w:val="20"/>
                <w:lang w:eastAsia="fr-FR" w:bidi="fr-FR"/>
              </w:rPr>
            </w:pPr>
            <w:r>
              <w:rPr>
                <w:lang w:eastAsia="fr-FR" w:bidi="fr-FR"/>
              </w:rPr>
              <w:t>D</w:t>
            </w:r>
            <w:r w:rsidR="00075058" w:rsidRPr="00075058">
              <w:rPr>
                <w:lang w:eastAsia="fr-FR" w:bidi="fr-FR"/>
              </w:rPr>
              <w:t>F</w:t>
            </w:r>
            <w:r>
              <w:rPr>
                <w:lang w:eastAsia="fr-FR" w:bidi="fr-FR"/>
              </w:rPr>
              <w:t>V</w:t>
            </w:r>
            <w:r w:rsidR="00D0666D">
              <w:rPr>
                <w:lang w:eastAsia="fr-FR" w:bidi="fr-FR"/>
              </w:rPr>
              <w:t>P</w:t>
            </w:r>
          </w:p>
        </w:tc>
        <w:tc>
          <w:tcPr>
            <w:tcW w:w="8083" w:type="dxa"/>
            <w:shd w:val="clear" w:color="auto" w:fill="auto"/>
          </w:tcPr>
          <w:p w:rsidR="00075058" w:rsidRPr="00075058" w:rsidRDefault="00286E4F" w:rsidP="00075058">
            <w:pPr>
              <w:spacing w:after="0"/>
              <w:ind w:left="116"/>
              <w:rPr>
                <w:szCs w:val="20"/>
                <w:lang w:eastAsia="fr-FR" w:bidi="fr-FR"/>
              </w:rPr>
            </w:pPr>
            <w:r w:rsidRPr="00286E4F">
              <w:rPr>
                <w:lang w:eastAsia="fr-FR" w:bidi="fr-FR"/>
              </w:rPr>
              <w:t>Direction du financement vert</w:t>
            </w:r>
            <w:r w:rsidR="00D0666D">
              <w:rPr>
                <w:lang w:eastAsia="fr-FR" w:bidi="fr-FR"/>
              </w:rPr>
              <w:t xml:space="preserve"> et du partenariat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DPN</w:t>
            </w:r>
          </w:p>
        </w:tc>
        <w:tc>
          <w:tcPr>
            <w:tcW w:w="8083" w:type="dxa"/>
            <w:shd w:val="clear" w:color="auto" w:fill="auto"/>
          </w:tcPr>
          <w:p w:rsidR="00075058" w:rsidRPr="00075058" w:rsidRDefault="00833FA1" w:rsidP="00075058">
            <w:pPr>
              <w:spacing w:after="0"/>
              <w:ind w:left="116"/>
              <w:rPr>
                <w:szCs w:val="20"/>
                <w:lang w:eastAsia="fr-FR" w:bidi="fr-FR"/>
              </w:rPr>
            </w:pPr>
            <w:r>
              <w:rPr>
                <w:lang w:eastAsia="fr-FR" w:bidi="fr-FR"/>
              </w:rPr>
              <w:t>Direction des parcs nationaux</w:t>
            </w:r>
          </w:p>
        </w:tc>
      </w:tr>
      <w:tr w:rsidR="00075058" w:rsidRPr="00286E4F"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DRS</w:t>
            </w:r>
          </w:p>
        </w:tc>
        <w:tc>
          <w:tcPr>
            <w:tcW w:w="8083" w:type="dxa"/>
            <w:shd w:val="clear" w:color="auto" w:fill="auto"/>
          </w:tcPr>
          <w:p w:rsidR="00075058" w:rsidRPr="00286E4F" w:rsidRDefault="00286E4F" w:rsidP="00075058">
            <w:pPr>
              <w:spacing w:after="0"/>
              <w:ind w:left="116"/>
              <w:rPr>
                <w:szCs w:val="20"/>
                <w:lang w:eastAsia="fr-FR" w:bidi="fr-FR"/>
              </w:rPr>
            </w:pPr>
            <w:r w:rsidRPr="00286E4F">
              <w:rPr>
                <w:lang w:eastAsia="fr-FR" w:bidi="fr-FR"/>
              </w:rPr>
              <w:t>Direction de la règlementation et de la supervision</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816ED1">
              <w:rPr>
                <w:lang w:eastAsia="fr-FR" w:bidi="fr-FR"/>
              </w:rPr>
              <w:t>EI</w:t>
            </w:r>
            <w:r w:rsidR="00286E4F" w:rsidRPr="00816ED1">
              <w:rPr>
                <w:lang w:eastAsia="fr-FR" w:bidi="fr-FR"/>
              </w:rPr>
              <w:t>E</w:t>
            </w:r>
          </w:p>
        </w:tc>
        <w:tc>
          <w:tcPr>
            <w:tcW w:w="8083" w:type="dxa"/>
            <w:shd w:val="clear" w:color="auto" w:fill="auto"/>
          </w:tcPr>
          <w:p w:rsidR="00075058" w:rsidRPr="00075058" w:rsidRDefault="00286E4F" w:rsidP="00075058">
            <w:pPr>
              <w:spacing w:after="0"/>
              <w:ind w:left="116"/>
              <w:rPr>
                <w:szCs w:val="20"/>
                <w:lang w:eastAsia="fr-FR" w:bidi="fr-FR"/>
              </w:rPr>
            </w:pPr>
            <w:r w:rsidRPr="00816ED1">
              <w:rPr>
                <w:lang w:eastAsia="fr-FR" w:bidi="fr-FR"/>
              </w:rPr>
              <w:t>Évaluation d</w:t>
            </w:r>
            <w:r w:rsidR="000A24B5" w:rsidRPr="00816ED1">
              <w:rPr>
                <w:lang w:eastAsia="fr-FR" w:bidi="fr-FR"/>
              </w:rPr>
              <w:t>’</w:t>
            </w:r>
            <w:r w:rsidRPr="00816ED1">
              <w:rPr>
                <w:lang w:eastAsia="fr-FR" w:bidi="fr-FR"/>
              </w:rPr>
              <w:t xml:space="preserve">impact </w:t>
            </w:r>
            <w:r w:rsidR="000A24B5" w:rsidRPr="00816ED1">
              <w:rPr>
                <w:lang w:eastAsia="fr-FR" w:bidi="fr-FR"/>
              </w:rPr>
              <w:t>environnemental</w:t>
            </w:r>
          </w:p>
        </w:tc>
      </w:tr>
      <w:tr w:rsidR="00CA4022" w:rsidRPr="00075058" w:rsidTr="00075058">
        <w:trPr>
          <w:trHeight w:val="288"/>
        </w:trPr>
        <w:tc>
          <w:tcPr>
            <w:tcW w:w="1199" w:type="dxa"/>
            <w:shd w:val="clear" w:color="auto" w:fill="auto"/>
          </w:tcPr>
          <w:p w:rsidR="00CA4022" w:rsidRPr="00816ED1" w:rsidRDefault="00CA4022" w:rsidP="00075058">
            <w:pPr>
              <w:spacing w:after="0"/>
              <w:rPr>
                <w:lang w:eastAsia="fr-FR" w:bidi="fr-FR"/>
              </w:rPr>
            </w:pPr>
            <w:r w:rsidRPr="00816ED1">
              <w:rPr>
                <w:lang w:eastAsia="fr-FR" w:bidi="fr-FR"/>
              </w:rPr>
              <w:t>EIES</w:t>
            </w:r>
          </w:p>
        </w:tc>
        <w:tc>
          <w:tcPr>
            <w:tcW w:w="8083" w:type="dxa"/>
            <w:shd w:val="clear" w:color="auto" w:fill="auto"/>
          </w:tcPr>
          <w:p w:rsidR="00CA4022" w:rsidRPr="00816ED1" w:rsidRDefault="00CA4022" w:rsidP="00075058">
            <w:pPr>
              <w:spacing w:after="0"/>
              <w:ind w:left="116"/>
              <w:rPr>
                <w:lang w:eastAsia="fr-FR" w:bidi="fr-FR"/>
              </w:rPr>
            </w:pPr>
            <w:r w:rsidRPr="00816ED1">
              <w:rPr>
                <w:lang w:eastAsia="fr-FR" w:bidi="fr-FR"/>
              </w:rPr>
              <w:t>Évaluation d</w:t>
            </w:r>
            <w:r w:rsidR="000A24B5" w:rsidRPr="00816ED1">
              <w:rPr>
                <w:lang w:eastAsia="fr-FR" w:bidi="fr-FR"/>
              </w:rPr>
              <w:t>’</w:t>
            </w:r>
            <w:r w:rsidRPr="00816ED1">
              <w:rPr>
                <w:lang w:eastAsia="fr-FR" w:bidi="fr-FR"/>
              </w:rPr>
              <w:t>impact environnement</w:t>
            </w:r>
            <w:r w:rsidR="000A24B5" w:rsidRPr="00816ED1">
              <w:rPr>
                <w:lang w:eastAsia="fr-FR" w:bidi="fr-FR"/>
              </w:rPr>
              <w:t>al</w:t>
            </w:r>
            <w:r w:rsidRPr="00816ED1">
              <w:rPr>
                <w:lang w:eastAsia="fr-FR" w:bidi="fr-FR"/>
              </w:rPr>
              <w:t xml:space="preserve"> et  </w:t>
            </w:r>
            <w:r w:rsidR="000A24B5" w:rsidRPr="00816ED1">
              <w:rPr>
                <w:lang w:eastAsia="fr-FR" w:bidi="fr-FR"/>
              </w:rPr>
              <w:t xml:space="preserve"> social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FAO</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Organisation des Nations Unies pour l’alimentation et l’agriculture</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FIDA</w:t>
            </w:r>
          </w:p>
        </w:tc>
        <w:tc>
          <w:tcPr>
            <w:tcW w:w="8083" w:type="dxa"/>
            <w:shd w:val="clear" w:color="auto" w:fill="auto"/>
          </w:tcPr>
          <w:p w:rsidR="00A15F12" w:rsidRPr="00075058" w:rsidRDefault="00A15F12" w:rsidP="00075058">
            <w:pPr>
              <w:spacing w:after="0"/>
              <w:ind w:left="116"/>
              <w:rPr>
                <w:lang w:eastAsia="fr-FR" w:bidi="fr-FR"/>
              </w:rPr>
            </w:pPr>
            <w:r>
              <w:rPr>
                <w:lang w:eastAsia="fr-FR" w:bidi="fr-FR"/>
              </w:rPr>
              <w:t>Fonds international de développement agricole</w:t>
            </w:r>
          </w:p>
        </w:tc>
      </w:tr>
      <w:tr w:rsidR="00833FA1" w:rsidRPr="00075058" w:rsidTr="00075058">
        <w:trPr>
          <w:trHeight w:val="288"/>
        </w:trPr>
        <w:tc>
          <w:tcPr>
            <w:tcW w:w="1199" w:type="dxa"/>
            <w:shd w:val="clear" w:color="auto" w:fill="auto"/>
          </w:tcPr>
          <w:p w:rsidR="00833FA1" w:rsidRPr="00075058" w:rsidRDefault="00A5434B" w:rsidP="00075058">
            <w:pPr>
              <w:spacing w:after="0"/>
              <w:rPr>
                <w:lang w:eastAsia="fr-FR" w:bidi="fr-FR"/>
              </w:rPr>
            </w:pPr>
            <w:r>
              <w:rPr>
                <w:lang w:eastAsia="fr-FR" w:bidi="fr-FR"/>
              </w:rPr>
              <w:t>FCD</w:t>
            </w:r>
          </w:p>
        </w:tc>
        <w:tc>
          <w:tcPr>
            <w:tcW w:w="8083" w:type="dxa"/>
            <w:shd w:val="clear" w:color="auto" w:fill="auto"/>
          </w:tcPr>
          <w:p w:rsidR="00833FA1" w:rsidRPr="00075058" w:rsidRDefault="00833FA1" w:rsidP="00075058">
            <w:pPr>
              <w:spacing w:after="0"/>
              <w:ind w:left="116"/>
              <w:rPr>
                <w:lang w:eastAsia="fr-FR" w:bidi="fr-FR"/>
              </w:rPr>
            </w:pPr>
            <w:r>
              <w:t>Fonds décentralisé d’adaptation au climat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FEM</w:t>
            </w:r>
          </w:p>
        </w:tc>
        <w:tc>
          <w:tcPr>
            <w:tcW w:w="8083" w:type="dxa"/>
            <w:shd w:val="clear" w:color="auto" w:fill="auto"/>
          </w:tcPr>
          <w:p w:rsidR="00075058" w:rsidRPr="00075058" w:rsidRDefault="00CA4022" w:rsidP="00CA4022">
            <w:pPr>
              <w:spacing w:after="0"/>
              <w:ind w:left="116"/>
              <w:rPr>
                <w:szCs w:val="20"/>
                <w:lang w:eastAsia="fr-FR" w:bidi="fr-FR"/>
              </w:rPr>
            </w:pPr>
            <w:r>
              <w:rPr>
                <w:lang w:eastAsia="fr-FR" w:bidi="fr-FR"/>
              </w:rPr>
              <w:t>Fonds pour l’environnement m</w:t>
            </w:r>
            <w:r w:rsidR="00075058" w:rsidRPr="00075058">
              <w:rPr>
                <w:lang w:eastAsia="fr-FR" w:bidi="fr-FR"/>
              </w:rPr>
              <w:t xml:space="preserve">ondial </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FENU</w:t>
            </w:r>
          </w:p>
        </w:tc>
        <w:tc>
          <w:tcPr>
            <w:tcW w:w="8083" w:type="dxa"/>
            <w:shd w:val="clear" w:color="auto" w:fill="auto"/>
          </w:tcPr>
          <w:p w:rsidR="00A15F12" w:rsidRDefault="00A15F12" w:rsidP="00CA4022">
            <w:pPr>
              <w:spacing w:after="0"/>
              <w:ind w:left="116"/>
              <w:rPr>
                <w:lang w:eastAsia="fr-FR" w:bidi="fr-FR"/>
              </w:rPr>
            </w:pPr>
            <w:r>
              <w:rPr>
                <w:lang w:eastAsia="fr-FR" w:bidi="fr-FR"/>
              </w:rPr>
              <w:t>Fonds d’équipement des Nations Unies</w:t>
            </w:r>
          </w:p>
        </w:tc>
      </w:tr>
      <w:tr w:rsidR="001A7A3F" w:rsidRPr="00075058" w:rsidTr="00075058">
        <w:trPr>
          <w:trHeight w:val="288"/>
        </w:trPr>
        <w:tc>
          <w:tcPr>
            <w:tcW w:w="1199" w:type="dxa"/>
            <w:shd w:val="clear" w:color="auto" w:fill="auto"/>
          </w:tcPr>
          <w:p w:rsidR="001A7A3F" w:rsidRPr="00075058" w:rsidRDefault="001A7A3F" w:rsidP="00075058">
            <w:pPr>
              <w:spacing w:after="0"/>
              <w:rPr>
                <w:lang w:eastAsia="fr-FR" w:bidi="fr-FR"/>
              </w:rPr>
            </w:pPr>
            <w:r>
              <w:rPr>
                <w:lang w:eastAsia="fr-FR" w:bidi="fr-FR"/>
              </w:rPr>
              <w:t>GAFSP</w:t>
            </w:r>
          </w:p>
        </w:tc>
        <w:tc>
          <w:tcPr>
            <w:tcW w:w="8083" w:type="dxa"/>
            <w:shd w:val="clear" w:color="auto" w:fill="auto"/>
          </w:tcPr>
          <w:p w:rsidR="001A7A3F" w:rsidRPr="00075058" w:rsidRDefault="001A7A3F" w:rsidP="001A7A3F">
            <w:pPr>
              <w:spacing w:after="0"/>
              <w:ind w:left="116"/>
              <w:rPr>
                <w:lang w:eastAsia="fr-FR" w:bidi="fr-FR"/>
              </w:rPr>
            </w:pPr>
            <w:r>
              <w:t>Programme mondial sur l’agriculture et la sécurité alimentaire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GIC</w:t>
            </w:r>
          </w:p>
        </w:tc>
        <w:tc>
          <w:tcPr>
            <w:tcW w:w="8083" w:type="dxa"/>
            <w:shd w:val="clear" w:color="auto" w:fill="auto"/>
          </w:tcPr>
          <w:p w:rsidR="00075058" w:rsidRPr="00075058" w:rsidRDefault="00A15F12" w:rsidP="00075058">
            <w:pPr>
              <w:tabs>
                <w:tab w:val="left" w:pos="4400"/>
              </w:tabs>
              <w:spacing w:after="0"/>
              <w:ind w:left="116"/>
              <w:rPr>
                <w:szCs w:val="20"/>
                <w:lang w:eastAsia="fr-FR" w:bidi="fr-FR"/>
              </w:rPr>
            </w:pPr>
            <w:r>
              <w:rPr>
                <w:lang w:eastAsia="fr-FR" w:bidi="fr-FR"/>
              </w:rPr>
              <w:t xml:space="preserve">Groupement d’intérêt </w:t>
            </w:r>
            <w:r w:rsidRPr="00816ED1">
              <w:rPr>
                <w:lang w:eastAsia="fr-FR" w:bidi="fr-FR"/>
              </w:rPr>
              <w:t>c</w:t>
            </w:r>
            <w:r w:rsidR="00075058" w:rsidRPr="00816ED1">
              <w:rPr>
                <w:lang w:eastAsia="fr-FR" w:bidi="fr-FR"/>
              </w:rPr>
              <w:t>ommunautaire</w:t>
            </w:r>
            <w:r w:rsidR="00075058" w:rsidRPr="00816ED1">
              <w:rPr>
                <w:i/>
                <w:lang w:eastAsia="fr-FR" w:bidi="fr-FR"/>
              </w:rPr>
              <w:t xml:space="preserve"> /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GIZ</w:t>
            </w:r>
          </w:p>
        </w:tc>
        <w:tc>
          <w:tcPr>
            <w:tcW w:w="8083" w:type="dxa"/>
            <w:shd w:val="clear" w:color="auto" w:fill="auto"/>
          </w:tcPr>
          <w:p w:rsidR="00075058" w:rsidRPr="00816ED1" w:rsidRDefault="00A271B3" w:rsidP="00A271B3">
            <w:pPr>
              <w:tabs>
                <w:tab w:val="left" w:pos="4400"/>
              </w:tabs>
              <w:spacing w:after="0"/>
              <w:ind w:left="116"/>
              <w:rPr>
                <w:szCs w:val="20"/>
                <w:lang w:eastAsia="fr-FR" w:bidi="fr-FR"/>
              </w:rPr>
            </w:pPr>
            <w:r w:rsidRPr="00816ED1">
              <w:rPr>
                <w:lang w:eastAsia="fr-FR" w:bidi="fr-FR"/>
              </w:rPr>
              <w:t xml:space="preserve">Agence allemande pour la coopération internationale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IED</w:t>
            </w:r>
          </w:p>
        </w:tc>
        <w:tc>
          <w:tcPr>
            <w:tcW w:w="8083" w:type="dxa"/>
            <w:shd w:val="clear" w:color="auto" w:fill="auto"/>
          </w:tcPr>
          <w:p w:rsidR="00075058" w:rsidRPr="00075058" w:rsidRDefault="00A271B3" w:rsidP="00A271B3">
            <w:pPr>
              <w:tabs>
                <w:tab w:val="left" w:pos="4400"/>
              </w:tabs>
              <w:spacing w:after="0"/>
              <w:ind w:left="116"/>
              <w:rPr>
                <w:szCs w:val="20"/>
                <w:lang w:eastAsia="fr-FR" w:bidi="fr-FR"/>
              </w:rPr>
            </w:pPr>
            <w:r w:rsidRPr="00A271B3">
              <w:rPr>
                <w:lang w:eastAsia="fr-FR" w:bidi="fr-FR"/>
              </w:rPr>
              <w:t>Innovation environnement d</w:t>
            </w:r>
            <w:r w:rsidR="00075058" w:rsidRPr="00A271B3">
              <w:rPr>
                <w:lang w:eastAsia="fr-FR" w:bidi="fr-FR"/>
              </w:rPr>
              <w:t>éveloppement</w:t>
            </w:r>
          </w:p>
        </w:tc>
      </w:tr>
      <w:tr w:rsidR="003A2C4B" w:rsidRPr="00075058" w:rsidTr="00075058">
        <w:trPr>
          <w:trHeight w:val="288"/>
        </w:trPr>
        <w:tc>
          <w:tcPr>
            <w:tcW w:w="1199" w:type="dxa"/>
            <w:shd w:val="clear" w:color="auto" w:fill="auto"/>
          </w:tcPr>
          <w:p w:rsidR="003A2C4B" w:rsidRPr="00075058" w:rsidRDefault="003A2C4B" w:rsidP="00075058">
            <w:pPr>
              <w:spacing w:after="0"/>
              <w:rPr>
                <w:lang w:eastAsia="fr-FR" w:bidi="fr-FR"/>
              </w:rPr>
            </w:pPr>
            <w:r>
              <w:rPr>
                <w:lang w:eastAsia="fr-FR" w:bidi="fr-FR"/>
              </w:rPr>
              <w:t>IMF</w:t>
            </w:r>
          </w:p>
        </w:tc>
        <w:tc>
          <w:tcPr>
            <w:tcW w:w="8083" w:type="dxa"/>
            <w:shd w:val="clear" w:color="auto" w:fill="auto"/>
          </w:tcPr>
          <w:p w:rsidR="003A2C4B" w:rsidRPr="00A271B3" w:rsidRDefault="003A2C4B" w:rsidP="00A271B3">
            <w:pPr>
              <w:tabs>
                <w:tab w:val="left" w:pos="4400"/>
              </w:tabs>
              <w:spacing w:after="0"/>
              <w:ind w:left="116"/>
              <w:rPr>
                <w:lang w:eastAsia="fr-FR" w:bidi="fr-FR"/>
              </w:rPr>
            </w:pPr>
            <w:r>
              <w:rPr>
                <w:lang w:eastAsia="fr-FR" w:bidi="fr-FR"/>
              </w:rPr>
              <w:t>Institutions de microfinance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IREF</w:t>
            </w:r>
          </w:p>
        </w:tc>
        <w:tc>
          <w:tcPr>
            <w:tcW w:w="8083" w:type="dxa"/>
            <w:shd w:val="clear" w:color="auto" w:fill="auto"/>
          </w:tcPr>
          <w:p w:rsidR="00075058" w:rsidRPr="00A271B3" w:rsidRDefault="00A271B3" w:rsidP="00075058">
            <w:pPr>
              <w:spacing w:after="0"/>
              <w:ind w:left="116"/>
              <w:rPr>
                <w:szCs w:val="20"/>
                <w:lang w:eastAsia="fr-FR" w:bidi="fr-FR"/>
              </w:rPr>
            </w:pPr>
            <w:r>
              <w:rPr>
                <w:lang w:eastAsia="fr-FR" w:bidi="fr-FR"/>
              </w:rPr>
              <w:t>Inspection régionale des eaux et f</w:t>
            </w:r>
            <w:r w:rsidR="00075058" w:rsidRPr="00A271B3">
              <w:rPr>
                <w:lang w:eastAsia="fr-FR" w:bidi="fr-FR"/>
              </w:rPr>
              <w:t>orêts</w:t>
            </w:r>
          </w:p>
        </w:tc>
      </w:tr>
      <w:tr w:rsidR="009E23E7" w:rsidRPr="00075058" w:rsidTr="00075058">
        <w:trPr>
          <w:trHeight w:val="288"/>
        </w:trPr>
        <w:tc>
          <w:tcPr>
            <w:tcW w:w="1199" w:type="dxa"/>
            <w:shd w:val="clear" w:color="auto" w:fill="auto"/>
          </w:tcPr>
          <w:p w:rsidR="009E23E7" w:rsidRPr="00075058" w:rsidRDefault="009E23E7" w:rsidP="00075058">
            <w:pPr>
              <w:spacing w:after="0"/>
              <w:rPr>
                <w:lang w:eastAsia="fr-FR" w:bidi="fr-FR"/>
              </w:rPr>
            </w:pPr>
            <w:r>
              <w:rPr>
                <w:lang w:eastAsia="fr-FR" w:bidi="fr-FR"/>
              </w:rPr>
              <w:t>MCARB</w:t>
            </w:r>
          </w:p>
        </w:tc>
        <w:tc>
          <w:tcPr>
            <w:tcW w:w="8083" w:type="dxa"/>
            <w:shd w:val="clear" w:color="auto" w:fill="auto"/>
          </w:tcPr>
          <w:p w:rsidR="009E23E7" w:rsidRDefault="009E23E7" w:rsidP="00075058">
            <w:pPr>
              <w:spacing w:after="0"/>
              <w:ind w:left="116"/>
              <w:rPr>
                <w:lang w:eastAsia="fr-FR" w:bidi="fr-FR"/>
              </w:rPr>
            </w:pPr>
            <w:r>
              <w:rPr>
                <w:lang w:eastAsia="fr-FR" w:bidi="fr-FR"/>
              </w:rPr>
              <w:t>Montants ciblés pour l’allocation des ressources de base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MEC</w:t>
            </w:r>
          </w:p>
        </w:tc>
        <w:tc>
          <w:tcPr>
            <w:tcW w:w="8083" w:type="dxa"/>
            <w:shd w:val="clear" w:color="auto" w:fill="auto"/>
          </w:tcPr>
          <w:p w:rsidR="00075058" w:rsidRPr="003A2C4B" w:rsidRDefault="00075058" w:rsidP="00075058">
            <w:pPr>
              <w:spacing w:after="0"/>
              <w:ind w:left="116"/>
              <w:rPr>
                <w:szCs w:val="20"/>
                <w:lang w:eastAsia="fr-FR" w:bidi="fr-FR"/>
              </w:rPr>
            </w:pPr>
            <w:r w:rsidRPr="003A2C4B">
              <w:rPr>
                <w:lang w:eastAsia="fr-FR" w:bidi="fr-FR"/>
              </w:rPr>
              <w:t xml:space="preserve">Mutuelle d'épargne et de Crédit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MEDD</w:t>
            </w:r>
          </w:p>
        </w:tc>
        <w:tc>
          <w:tcPr>
            <w:tcW w:w="8083" w:type="dxa"/>
            <w:shd w:val="clear" w:color="auto" w:fill="auto"/>
          </w:tcPr>
          <w:p w:rsidR="00075058" w:rsidRPr="00812D8E" w:rsidRDefault="005A7A0A" w:rsidP="00075058">
            <w:pPr>
              <w:spacing w:after="0"/>
              <w:ind w:left="116"/>
              <w:rPr>
                <w:szCs w:val="20"/>
                <w:lang w:eastAsia="fr-FR" w:bidi="fr-FR"/>
              </w:rPr>
            </w:pPr>
            <w:r>
              <w:rPr>
                <w:lang w:eastAsia="fr-FR" w:bidi="fr-FR"/>
              </w:rPr>
              <w:t>Ministère de l’environnement et du développement d</w:t>
            </w:r>
            <w:r w:rsidR="00075058" w:rsidRPr="00812D8E">
              <w:rPr>
                <w:lang w:eastAsia="fr-FR" w:bidi="fr-FR"/>
              </w:rPr>
              <w:t>urable</w:t>
            </w:r>
          </w:p>
        </w:tc>
      </w:tr>
      <w:tr w:rsidR="009222EC" w:rsidRPr="00075058" w:rsidTr="00075058">
        <w:trPr>
          <w:trHeight w:val="288"/>
        </w:trPr>
        <w:tc>
          <w:tcPr>
            <w:tcW w:w="1199" w:type="dxa"/>
            <w:shd w:val="clear" w:color="auto" w:fill="auto"/>
          </w:tcPr>
          <w:p w:rsidR="009222EC" w:rsidRPr="00075058" w:rsidRDefault="009222EC" w:rsidP="00075058">
            <w:pPr>
              <w:spacing w:after="0"/>
              <w:rPr>
                <w:lang w:eastAsia="fr-FR" w:bidi="fr-FR"/>
              </w:rPr>
            </w:pPr>
            <w:r>
              <w:rPr>
                <w:lang w:eastAsia="fr-FR" w:bidi="fr-FR"/>
              </w:rPr>
              <w:t>MEFP</w:t>
            </w:r>
          </w:p>
        </w:tc>
        <w:tc>
          <w:tcPr>
            <w:tcW w:w="8083" w:type="dxa"/>
            <w:shd w:val="clear" w:color="auto" w:fill="auto"/>
          </w:tcPr>
          <w:p w:rsidR="009222EC" w:rsidRDefault="009222EC" w:rsidP="00075058">
            <w:pPr>
              <w:spacing w:after="0"/>
              <w:ind w:left="116"/>
              <w:rPr>
                <w:lang w:eastAsia="fr-FR" w:bidi="fr-FR"/>
              </w:rPr>
            </w:pPr>
            <w:r>
              <w:rPr>
                <w:lang w:eastAsia="fr-FR" w:bidi="fr-FR"/>
              </w:rPr>
              <w:t>Ministère de l’économie, des finances et du plan</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MRPA</w:t>
            </w:r>
          </w:p>
        </w:tc>
        <w:tc>
          <w:tcPr>
            <w:tcW w:w="8083" w:type="dxa"/>
            <w:shd w:val="clear" w:color="auto" w:fill="auto"/>
          </w:tcPr>
          <w:p w:rsidR="00A15F12" w:rsidRPr="00816ED1" w:rsidRDefault="00D8296A" w:rsidP="00075058">
            <w:pPr>
              <w:spacing w:after="0"/>
              <w:ind w:left="116"/>
              <w:rPr>
                <w:lang w:eastAsia="fr-FR" w:bidi="fr-FR"/>
              </w:rPr>
            </w:pPr>
            <w:r w:rsidRPr="00816ED1">
              <w:rPr>
                <w:lang w:eastAsia="fr-FR" w:bidi="fr-FR"/>
              </w:rPr>
              <w:t>Aires protégées de ressources naturelles g</w:t>
            </w:r>
            <w:r w:rsidR="00A15F12" w:rsidRPr="00816ED1">
              <w:rPr>
                <w:lang w:eastAsia="fr-FR" w:bidi="fr-FR"/>
              </w:rPr>
              <w:t xml:space="preserve">érées </w:t>
            </w:r>
          </w:p>
        </w:tc>
      </w:tr>
      <w:tr w:rsidR="006A75D0" w:rsidRPr="00075058" w:rsidTr="00075058">
        <w:trPr>
          <w:trHeight w:val="288"/>
        </w:trPr>
        <w:tc>
          <w:tcPr>
            <w:tcW w:w="1199" w:type="dxa"/>
            <w:shd w:val="clear" w:color="auto" w:fill="auto"/>
          </w:tcPr>
          <w:p w:rsidR="006A75D0" w:rsidRPr="00075058" w:rsidRDefault="006A75D0" w:rsidP="00075058">
            <w:pPr>
              <w:spacing w:after="0"/>
              <w:rPr>
                <w:lang w:eastAsia="fr-FR" w:bidi="fr-FR"/>
              </w:rPr>
            </w:pPr>
            <w:r>
              <w:rPr>
                <w:lang w:eastAsia="fr-FR" w:bidi="fr-FR"/>
              </w:rPr>
              <w:t>OC</w:t>
            </w:r>
          </w:p>
        </w:tc>
        <w:tc>
          <w:tcPr>
            <w:tcW w:w="8083" w:type="dxa"/>
            <w:shd w:val="clear" w:color="auto" w:fill="auto"/>
          </w:tcPr>
          <w:p w:rsidR="006A75D0" w:rsidRPr="00075058" w:rsidRDefault="006A75D0" w:rsidP="00075058">
            <w:pPr>
              <w:spacing w:after="0"/>
              <w:ind w:left="116"/>
              <w:rPr>
                <w:lang w:eastAsia="fr-FR" w:bidi="fr-FR"/>
              </w:rPr>
            </w:pPr>
            <w:r>
              <w:rPr>
                <w:lang w:eastAsia="fr-FR" w:bidi="fr-FR"/>
              </w:rPr>
              <w:t>Organisation communautaire</w:t>
            </w:r>
          </w:p>
        </w:tc>
      </w:tr>
      <w:tr w:rsidR="00B53BD8" w:rsidRPr="00075058" w:rsidTr="00075058">
        <w:trPr>
          <w:trHeight w:val="288"/>
        </w:trPr>
        <w:tc>
          <w:tcPr>
            <w:tcW w:w="1199" w:type="dxa"/>
            <w:shd w:val="clear" w:color="auto" w:fill="auto"/>
          </w:tcPr>
          <w:p w:rsidR="00B53BD8" w:rsidRDefault="00B53BD8" w:rsidP="00075058">
            <w:pPr>
              <w:spacing w:after="0"/>
              <w:rPr>
                <w:lang w:eastAsia="fr-FR" w:bidi="fr-FR"/>
              </w:rPr>
            </w:pPr>
            <w:r>
              <w:rPr>
                <w:lang w:eastAsia="fr-FR" w:bidi="fr-FR"/>
              </w:rPr>
              <w:t>OSC</w:t>
            </w:r>
          </w:p>
        </w:tc>
        <w:tc>
          <w:tcPr>
            <w:tcW w:w="8083" w:type="dxa"/>
            <w:shd w:val="clear" w:color="auto" w:fill="auto"/>
          </w:tcPr>
          <w:p w:rsidR="00B53BD8" w:rsidRDefault="00B53BD8" w:rsidP="00075058">
            <w:pPr>
              <w:spacing w:after="0"/>
              <w:ind w:left="116"/>
              <w:rPr>
                <w:lang w:eastAsia="fr-FR" w:bidi="fr-FR"/>
              </w:rPr>
            </w:pPr>
            <w:r>
              <w:rPr>
                <w:lang w:eastAsia="fr-FR" w:bidi="fr-FR"/>
              </w:rPr>
              <w:t>Organisation de la société civile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lastRenderedPageBreak/>
              <w:t>ONG</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Organisation non gouvernementale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PAG</w:t>
            </w:r>
          </w:p>
        </w:tc>
        <w:tc>
          <w:tcPr>
            <w:tcW w:w="8083" w:type="dxa"/>
            <w:shd w:val="clear" w:color="auto" w:fill="auto"/>
          </w:tcPr>
          <w:p w:rsidR="00075058" w:rsidRPr="00812D8E" w:rsidRDefault="00812D8E" w:rsidP="00812D8E">
            <w:pPr>
              <w:spacing w:after="0"/>
              <w:ind w:left="116"/>
              <w:rPr>
                <w:szCs w:val="20"/>
                <w:lang w:eastAsia="fr-FR" w:bidi="fr-FR"/>
              </w:rPr>
            </w:pPr>
            <w:r w:rsidRPr="00812D8E">
              <w:rPr>
                <w:lang w:eastAsia="fr-FR" w:bidi="fr-FR"/>
              </w:rPr>
              <w:t>Plan d’aménagement et de g</w:t>
            </w:r>
            <w:r w:rsidR="00075058" w:rsidRPr="00812D8E">
              <w:rPr>
                <w:lang w:eastAsia="fr-FR" w:bidi="fr-FR"/>
              </w:rPr>
              <w:t>estion (d'une RNC)</w:t>
            </w:r>
          </w:p>
        </w:tc>
      </w:tr>
      <w:tr w:rsidR="004628C7" w:rsidRPr="00075058" w:rsidTr="00075058">
        <w:trPr>
          <w:trHeight w:val="288"/>
        </w:trPr>
        <w:tc>
          <w:tcPr>
            <w:tcW w:w="1199" w:type="dxa"/>
            <w:shd w:val="clear" w:color="auto" w:fill="auto"/>
          </w:tcPr>
          <w:p w:rsidR="004628C7" w:rsidRPr="00075058" w:rsidRDefault="00343681" w:rsidP="00075058">
            <w:pPr>
              <w:spacing w:after="0"/>
              <w:rPr>
                <w:lang w:eastAsia="fr-FR" w:bidi="fr-FR"/>
              </w:rPr>
            </w:pPr>
            <w:r w:rsidRPr="00343681">
              <w:rPr>
                <w:lang w:eastAsia="fr-FR" w:bidi="fr-FR"/>
              </w:rPr>
              <w:t>PEPSE</w:t>
            </w:r>
          </w:p>
        </w:tc>
        <w:tc>
          <w:tcPr>
            <w:tcW w:w="8083" w:type="dxa"/>
            <w:shd w:val="clear" w:color="auto" w:fill="auto"/>
          </w:tcPr>
          <w:p w:rsidR="004628C7" w:rsidRPr="00812D8E" w:rsidRDefault="00343681" w:rsidP="00812D8E">
            <w:pPr>
              <w:spacing w:after="0"/>
              <w:ind w:left="116"/>
              <w:rPr>
                <w:lang w:eastAsia="fr-FR" w:bidi="fr-FR"/>
              </w:rPr>
            </w:pPr>
            <w:r>
              <w:rPr>
                <w:lang w:eastAsia="fr-FR" w:bidi="fr-FR"/>
              </w:rPr>
              <w:t>Procédure d’examen préalable social et environnemental</w:t>
            </w:r>
          </w:p>
        </w:tc>
      </w:tr>
      <w:tr w:rsidR="00EA25D4" w:rsidRPr="00075058" w:rsidTr="00075058">
        <w:trPr>
          <w:trHeight w:val="288"/>
        </w:trPr>
        <w:tc>
          <w:tcPr>
            <w:tcW w:w="1199" w:type="dxa"/>
            <w:shd w:val="clear" w:color="auto" w:fill="auto"/>
          </w:tcPr>
          <w:p w:rsidR="00EA25D4" w:rsidRPr="00075058" w:rsidRDefault="00EA25D4" w:rsidP="00075058">
            <w:pPr>
              <w:spacing w:after="0"/>
              <w:rPr>
                <w:lang w:eastAsia="fr-FR" w:bidi="fr-FR"/>
              </w:rPr>
            </w:pPr>
            <w:r>
              <w:rPr>
                <w:lang w:eastAsia="fr-FR" w:bidi="fr-FR"/>
              </w:rPr>
              <w:t>PGE</w:t>
            </w:r>
          </w:p>
        </w:tc>
        <w:tc>
          <w:tcPr>
            <w:tcW w:w="8083" w:type="dxa"/>
            <w:shd w:val="clear" w:color="auto" w:fill="auto"/>
          </w:tcPr>
          <w:p w:rsidR="00EA25D4" w:rsidRPr="00075058" w:rsidRDefault="00EA25D4" w:rsidP="00075058">
            <w:pPr>
              <w:spacing w:after="0"/>
              <w:ind w:left="116"/>
              <w:rPr>
                <w:lang w:eastAsia="fr-FR" w:bidi="fr-FR"/>
              </w:rPr>
            </w:pPr>
            <w:r>
              <w:rPr>
                <w:lang w:eastAsia="fr-FR" w:bidi="fr-FR"/>
              </w:rPr>
              <w:t>Projet de grande envergure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PGIES</w:t>
            </w:r>
          </w:p>
        </w:tc>
        <w:tc>
          <w:tcPr>
            <w:tcW w:w="8083" w:type="dxa"/>
            <w:shd w:val="clear" w:color="auto" w:fill="auto"/>
          </w:tcPr>
          <w:p w:rsidR="00075058" w:rsidRPr="004628C7" w:rsidRDefault="00075058" w:rsidP="004628C7">
            <w:pPr>
              <w:spacing w:after="0"/>
              <w:ind w:left="116"/>
              <w:rPr>
                <w:szCs w:val="20"/>
                <w:lang w:eastAsia="fr-FR" w:bidi="fr-FR"/>
              </w:rPr>
            </w:pPr>
            <w:r w:rsidRPr="004628C7">
              <w:rPr>
                <w:noProof/>
                <w:lang w:eastAsia="fr-FR" w:bidi="fr-FR"/>
              </w:rPr>
              <w:t xml:space="preserve">Projet de </w:t>
            </w:r>
            <w:r w:rsidR="004628C7">
              <w:rPr>
                <w:noProof/>
                <w:lang w:eastAsia="fr-FR" w:bidi="fr-FR"/>
              </w:rPr>
              <w:t>gestion intégrée des é</w:t>
            </w:r>
            <w:r w:rsidRPr="004628C7">
              <w:rPr>
                <w:noProof/>
                <w:lang w:eastAsia="fr-FR" w:bidi="fr-FR"/>
              </w:rPr>
              <w:t>cosystèmes du Sénégal</w:t>
            </w:r>
          </w:p>
        </w:tc>
      </w:tr>
      <w:tr w:rsidR="00BF5225" w:rsidRPr="00075058" w:rsidTr="00075058">
        <w:trPr>
          <w:trHeight w:val="288"/>
        </w:trPr>
        <w:tc>
          <w:tcPr>
            <w:tcW w:w="1199" w:type="dxa"/>
            <w:shd w:val="clear" w:color="auto" w:fill="auto"/>
          </w:tcPr>
          <w:p w:rsidR="00BF5225" w:rsidRPr="00075058" w:rsidRDefault="00E80173" w:rsidP="00075058">
            <w:pPr>
              <w:spacing w:after="0"/>
              <w:rPr>
                <w:lang w:eastAsia="fr-FR" w:bidi="fr-FR"/>
              </w:rPr>
            </w:pPr>
            <w:r>
              <w:rPr>
                <w:lang w:eastAsia="fr-FR" w:bidi="fr-FR"/>
              </w:rPr>
              <w:t>PFNAC</w:t>
            </w:r>
          </w:p>
        </w:tc>
        <w:tc>
          <w:tcPr>
            <w:tcW w:w="8083" w:type="dxa"/>
            <w:shd w:val="clear" w:color="auto" w:fill="auto"/>
          </w:tcPr>
          <w:p w:rsidR="00BF5225" w:rsidRPr="004628C7" w:rsidRDefault="00BF5225" w:rsidP="00D0666D">
            <w:pPr>
              <w:spacing w:after="0"/>
              <w:ind w:left="116"/>
              <w:rPr>
                <w:noProof/>
                <w:lang w:eastAsia="fr-FR" w:bidi="fr-FR"/>
              </w:rPr>
            </w:pPr>
            <w:r>
              <w:rPr>
                <w:noProof/>
                <w:lang w:eastAsia="fr-FR" w:bidi="fr-FR"/>
              </w:rPr>
              <w:t xml:space="preserve">Promotion </w:t>
            </w:r>
            <w:r w:rsidR="00D0666D">
              <w:rPr>
                <w:noProof/>
                <w:lang w:eastAsia="fr-FR" w:bidi="fr-FR"/>
              </w:rPr>
              <w:t>d’une</w:t>
            </w:r>
            <w:r w:rsidRPr="00BF5225">
              <w:rPr>
                <w:noProof/>
                <w:lang w:eastAsia="fr-FR" w:bidi="fr-FR"/>
              </w:rPr>
              <w:t xml:space="preserve"> finance novatrice et</w:t>
            </w:r>
            <w:r>
              <w:rPr>
                <w:noProof/>
                <w:lang w:eastAsia="fr-FR" w:bidi="fr-FR"/>
              </w:rPr>
              <w:t xml:space="preserve"> d</w:t>
            </w:r>
            <w:r w:rsidRPr="00BF5225">
              <w:rPr>
                <w:noProof/>
                <w:lang w:eastAsia="fr-FR" w:bidi="fr-FR"/>
              </w:rPr>
              <w:t>’adaptation communautaire dans les communes autour des réserves naturelles communautaires</w:t>
            </w:r>
          </w:p>
        </w:tc>
      </w:tr>
      <w:tr w:rsidR="00661212" w:rsidRPr="00075058" w:rsidTr="00075058">
        <w:trPr>
          <w:trHeight w:val="288"/>
        </w:trPr>
        <w:tc>
          <w:tcPr>
            <w:tcW w:w="1199" w:type="dxa"/>
            <w:shd w:val="clear" w:color="auto" w:fill="auto"/>
          </w:tcPr>
          <w:p w:rsidR="00661212" w:rsidRPr="00075058" w:rsidRDefault="00661212" w:rsidP="00075058">
            <w:pPr>
              <w:spacing w:after="0"/>
              <w:rPr>
                <w:lang w:eastAsia="fr-FR" w:bidi="fr-FR"/>
              </w:rPr>
            </w:pPr>
            <w:r>
              <w:rPr>
                <w:lang w:eastAsia="fr-FR" w:bidi="fr-FR"/>
              </w:rPr>
              <w:t>PSE</w:t>
            </w:r>
          </w:p>
        </w:tc>
        <w:tc>
          <w:tcPr>
            <w:tcW w:w="8083" w:type="dxa"/>
            <w:shd w:val="clear" w:color="auto" w:fill="auto"/>
          </w:tcPr>
          <w:p w:rsidR="00661212" w:rsidRPr="00661212" w:rsidRDefault="00661212" w:rsidP="00075058">
            <w:pPr>
              <w:spacing w:after="0"/>
              <w:ind w:left="116"/>
              <w:rPr>
                <w:noProof/>
                <w:lang w:eastAsia="fr-FR" w:bidi="fr-FR"/>
              </w:rPr>
            </w:pPr>
            <w:r>
              <w:rPr>
                <w:noProof/>
                <w:lang w:eastAsia="fr-FR" w:bidi="fr-FR"/>
              </w:rPr>
              <w:t>P</w:t>
            </w:r>
            <w:r w:rsidRPr="00661212">
              <w:rPr>
                <w:noProof/>
                <w:lang w:eastAsia="fr-FR" w:bidi="fr-FR"/>
              </w:rPr>
              <w:t>aiement pour services environnementaux</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PNDL</w:t>
            </w:r>
          </w:p>
        </w:tc>
        <w:tc>
          <w:tcPr>
            <w:tcW w:w="8083" w:type="dxa"/>
            <w:shd w:val="clear" w:color="auto" w:fill="auto"/>
          </w:tcPr>
          <w:p w:rsidR="00075058" w:rsidRPr="00FE1153" w:rsidRDefault="00FE1153" w:rsidP="00075058">
            <w:pPr>
              <w:spacing w:after="0"/>
              <w:ind w:left="116"/>
              <w:rPr>
                <w:rFonts w:cs="Calibri"/>
                <w:szCs w:val="20"/>
                <w:lang w:eastAsia="fr-FR" w:bidi="fr-FR"/>
              </w:rPr>
            </w:pPr>
            <w:r w:rsidRPr="00FE1153">
              <w:rPr>
                <w:lang w:eastAsia="fr-FR" w:bidi="fr-FR"/>
              </w:rPr>
              <w:t>Programme national de développement l</w:t>
            </w:r>
            <w:r w:rsidR="00075058" w:rsidRPr="00FE1153">
              <w:rPr>
                <w:lang w:eastAsia="fr-FR" w:bidi="fr-FR"/>
              </w:rPr>
              <w:t>ocal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PNDS</w:t>
            </w:r>
          </w:p>
        </w:tc>
        <w:tc>
          <w:tcPr>
            <w:tcW w:w="8083" w:type="dxa"/>
            <w:shd w:val="clear" w:color="auto" w:fill="auto"/>
          </w:tcPr>
          <w:p w:rsidR="00075058" w:rsidRPr="00075058" w:rsidRDefault="00075058" w:rsidP="00E82CB3">
            <w:pPr>
              <w:spacing w:after="0"/>
              <w:ind w:left="116"/>
              <w:rPr>
                <w:rFonts w:cs="Calibri"/>
                <w:szCs w:val="20"/>
                <w:lang w:eastAsia="fr-FR" w:bidi="fr-FR"/>
              </w:rPr>
            </w:pPr>
            <w:r w:rsidRPr="00075058">
              <w:rPr>
                <w:lang w:eastAsia="fr-FR" w:bidi="fr-FR"/>
              </w:rPr>
              <w:t xml:space="preserve">Parc </w:t>
            </w:r>
            <w:r w:rsidR="00E82CB3">
              <w:rPr>
                <w:lang w:eastAsia="fr-FR" w:bidi="fr-FR"/>
              </w:rPr>
              <w:t>n</w:t>
            </w:r>
            <w:r w:rsidRPr="00075058">
              <w:rPr>
                <w:lang w:eastAsia="fr-FR" w:bidi="fr-FR"/>
              </w:rPr>
              <w:t xml:space="preserve">ational du </w:t>
            </w:r>
            <w:r w:rsidR="00E82CB3">
              <w:rPr>
                <w:lang w:eastAsia="fr-FR" w:bidi="fr-FR"/>
              </w:rPr>
              <w:t>delta du Saloum</w:t>
            </w:r>
          </w:p>
        </w:tc>
      </w:tr>
      <w:tr w:rsidR="00D0666D" w:rsidRPr="00075058" w:rsidTr="00075058">
        <w:trPr>
          <w:trHeight w:val="288"/>
        </w:trPr>
        <w:tc>
          <w:tcPr>
            <w:tcW w:w="1199" w:type="dxa"/>
            <w:shd w:val="clear" w:color="auto" w:fill="auto"/>
          </w:tcPr>
          <w:p w:rsidR="00D0666D" w:rsidRPr="00075058" w:rsidRDefault="00D0666D" w:rsidP="00075058">
            <w:pPr>
              <w:spacing w:after="0"/>
              <w:rPr>
                <w:lang w:eastAsia="fr-FR" w:bidi="fr-FR"/>
              </w:rPr>
            </w:pPr>
            <w:r>
              <w:rPr>
                <w:lang w:eastAsia="fr-FR" w:bidi="fr-FR"/>
              </w:rPr>
              <w:t>PNUD</w:t>
            </w:r>
          </w:p>
        </w:tc>
        <w:tc>
          <w:tcPr>
            <w:tcW w:w="8083" w:type="dxa"/>
            <w:shd w:val="clear" w:color="auto" w:fill="auto"/>
          </w:tcPr>
          <w:p w:rsidR="00D0666D" w:rsidRPr="00075058" w:rsidRDefault="008B00C3" w:rsidP="00E82CB3">
            <w:pPr>
              <w:spacing w:after="0"/>
              <w:ind w:left="116"/>
              <w:rPr>
                <w:lang w:eastAsia="fr-FR" w:bidi="fr-FR"/>
              </w:rPr>
            </w:pPr>
            <w:r>
              <w:rPr>
                <w:lang w:eastAsia="fr-FR" w:bidi="fr-FR"/>
              </w:rPr>
              <w:t>Programme des Nations Unies sur le Développement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PNNK</w:t>
            </w:r>
          </w:p>
        </w:tc>
        <w:tc>
          <w:tcPr>
            <w:tcW w:w="8083" w:type="dxa"/>
            <w:shd w:val="clear" w:color="auto" w:fill="auto"/>
          </w:tcPr>
          <w:p w:rsidR="00075058" w:rsidRPr="00075058" w:rsidRDefault="00075058" w:rsidP="00FE1153">
            <w:pPr>
              <w:spacing w:after="0"/>
              <w:ind w:left="116"/>
              <w:rPr>
                <w:rFonts w:cs="Calibri"/>
                <w:szCs w:val="20"/>
                <w:lang w:eastAsia="fr-FR" w:bidi="fr-FR"/>
              </w:rPr>
            </w:pPr>
            <w:r w:rsidRPr="00075058">
              <w:rPr>
                <w:lang w:eastAsia="fr-FR" w:bidi="fr-FR"/>
              </w:rPr>
              <w:t xml:space="preserve">Parc </w:t>
            </w:r>
            <w:r w:rsidR="00FE1153">
              <w:rPr>
                <w:lang w:eastAsia="fr-FR" w:bidi="fr-FR"/>
              </w:rPr>
              <w:t>n</w:t>
            </w:r>
            <w:r w:rsidR="003011BE">
              <w:rPr>
                <w:lang w:eastAsia="fr-FR" w:bidi="fr-FR"/>
              </w:rPr>
              <w:t>ational du Niokolo-</w:t>
            </w:r>
            <w:r w:rsidRPr="00075058">
              <w:rPr>
                <w:lang w:eastAsia="fr-FR" w:bidi="fr-FR"/>
              </w:rPr>
              <w:t xml:space="preserve">Koba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PPOP</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 xml:space="preserve">Politiques et procédures relatives aux opérations et aux programmes </w:t>
            </w:r>
          </w:p>
        </w:tc>
      </w:tr>
      <w:tr w:rsidR="003A2C4B" w:rsidRPr="00075058" w:rsidTr="00075058">
        <w:trPr>
          <w:trHeight w:val="288"/>
        </w:trPr>
        <w:tc>
          <w:tcPr>
            <w:tcW w:w="1199" w:type="dxa"/>
            <w:shd w:val="clear" w:color="auto" w:fill="auto"/>
          </w:tcPr>
          <w:p w:rsidR="003A2C4B" w:rsidRDefault="003A2C4B" w:rsidP="00075058">
            <w:pPr>
              <w:spacing w:after="0"/>
              <w:rPr>
                <w:lang w:eastAsia="fr-FR" w:bidi="fr-FR"/>
              </w:rPr>
            </w:pPr>
            <w:r>
              <w:rPr>
                <w:lang w:eastAsia="fr-FR" w:bidi="fr-FR"/>
              </w:rPr>
              <w:t>REC</w:t>
            </w:r>
          </w:p>
        </w:tc>
        <w:tc>
          <w:tcPr>
            <w:tcW w:w="8083" w:type="dxa"/>
            <w:shd w:val="clear" w:color="auto" w:fill="auto"/>
          </w:tcPr>
          <w:p w:rsidR="003A2C4B" w:rsidRDefault="003A2C4B" w:rsidP="00075058">
            <w:pPr>
              <w:spacing w:after="0"/>
              <w:ind w:left="116"/>
              <w:rPr>
                <w:lang w:eastAsia="fr-FR" w:bidi="fr-FR"/>
              </w:rPr>
            </w:pPr>
            <w:r>
              <w:rPr>
                <w:lang w:eastAsia="fr-FR" w:bidi="fr-FR"/>
              </w:rPr>
              <w:t>R</w:t>
            </w:r>
            <w:r w:rsidRPr="003A2C4B">
              <w:rPr>
                <w:lang w:eastAsia="fr-FR" w:bidi="fr-FR"/>
              </w:rPr>
              <w:t>apport d'exécution conjoint</w:t>
            </w:r>
          </w:p>
        </w:tc>
      </w:tr>
      <w:tr w:rsidR="00FE1153" w:rsidRPr="00075058" w:rsidTr="00075058">
        <w:trPr>
          <w:trHeight w:val="288"/>
        </w:trPr>
        <w:tc>
          <w:tcPr>
            <w:tcW w:w="1199" w:type="dxa"/>
            <w:shd w:val="clear" w:color="auto" w:fill="auto"/>
          </w:tcPr>
          <w:p w:rsidR="00FE1153" w:rsidRDefault="00FE1153" w:rsidP="00075058">
            <w:pPr>
              <w:spacing w:after="0"/>
              <w:rPr>
                <w:lang w:eastAsia="fr-FR" w:bidi="fr-FR"/>
              </w:rPr>
            </w:pPr>
            <w:r>
              <w:rPr>
                <w:lang w:eastAsia="fr-FR" w:bidi="fr-FR"/>
              </w:rPr>
              <w:t>REP</w:t>
            </w:r>
          </w:p>
        </w:tc>
        <w:tc>
          <w:tcPr>
            <w:tcW w:w="8083" w:type="dxa"/>
            <w:shd w:val="clear" w:color="auto" w:fill="auto"/>
          </w:tcPr>
          <w:p w:rsidR="00FE1153" w:rsidRDefault="00FE1153" w:rsidP="00075058">
            <w:pPr>
              <w:spacing w:after="0"/>
              <w:ind w:left="116"/>
              <w:rPr>
                <w:lang w:eastAsia="fr-FR" w:bidi="fr-FR"/>
              </w:rPr>
            </w:pPr>
            <w:r>
              <w:rPr>
                <w:lang w:eastAsia="fr-FR" w:bidi="fr-FR"/>
              </w:rPr>
              <w:t>Rapport sur l’exécution des projets (du FEM)</w:t>
            </w:r>
          </w:p>
        </w:tc>
      </w:tr>
      <w:tr w:rsidR="00B45422" w:rsidRPr="00075058" w:rsidTr="00075058">
        <w:trPr>
          <w:trHeight w:val="288"/>
        </w:trPr>
        <w:tc>
          <w:tcPr>
            <w:tcW w:w="1199" w:type="dxa"/>
            <w:shd w:val="clear" w:color="auto" w:fill="auto"/>
          </w:tcPr>
          <w:p w:rsidR="00B45422" w:rsidRDefault="00B45422" w:rsidP="00075058">
            <w:pPr>
              <w:spacing w:after="0"/>
              <w:rPr>
                <w:lang w:eastAsia="fr-FR" w:bidi="fr-FR"/>
              </w:rPr>
            </w:pPr>
            <w:r>
              <w:rPr>
                <w:lang w:eastAsia="fr-FR" w:bidi="fr-FR"/>
              </w:rPr>
              <w:t>RNC</w:t>
            </w:r>
          </w:p>
        </w:tc>
        <w:tc>
          <w:tcPr>
            <w:tcW w:w="8083" w:type="dxa"/>
            <w:shd w:val="clear" w:color="auto" w:fill="auto"/>
          </w:tcPr>
          <w:p w:rsidR="00B45422" w:rsidRDefault="00B45422" w:rsidP="00075058">
            <w:pPr>
              <w:spacing w:after="0"/>
              <w:ind w:left="116"/>
              <w:rPr>
                <w:lang w:eastAsia="fr-FR" w:bidi="fr-FR"/>
              </w:rPr>
            </w:pPr>
            <w:r w:rsidRPr="00075058">
              <w:rPr>
                <w:lang w:eastAsia="fr-FR" w:bidi="fr-FR"/>
              </w:rPr>
              <w:t>Réserve naturelle communautaire</w:t>
            </w:r>
          </w:p>
        </w:tc>
      </w:tr>
      <w:tr w:rsidR="00F95C3E" w:rsidRPr="00075058" w:rsidTr="00075058">
        <w:trPr>
          <w:trHeight w:val="288"/>
        </w:trPr>
        <w:tc>
          <w:tcPr>
            <w:tcW w:w="1199" w:type="dxa"/>
            <w:shd w:val="clear" w:color="auto" w:fill="auto"/>
          </w:tcPr>
          <w:p w:rsidR="00F95C3E" w:rsidRDefault="00F95C3E" w:rsidP="00075058">
            <w:pPr>
              <w:spacing w:after="0"/>
              <w:rPr>
                <w:lang w:eastAsia="fr-FR" w:bidi="fr-FR"/>
              </w:rPr>
            </w:pPr>
            <w:r>
              <w:rPr>
                <w:lang w:eastAsia="fr-FR" w:bidi="fr-FR"/>
              </w:rPr>
              <w:t>RSE</w:t>
            </w:r>
          </w:p>
        </w:tc>
        <w:tc>
          <w:tcPr>
            <w:tcW w:w="8083" w:type="dxa"/>
            <w:shd w:val="clear" w:color="auto" w:fill="auto"/>
          </w:tcPr>
          <w:p w:rsidR="00F95C3E" w:rsidRPr="00075058" w:rsidRDefault="00F95C3E" w:rsidP="009222EC">
            <w:pPr>
              <w:spacing w:after="0"/>
              <w:ind w:left="116"/>
              <w:rPr>
                <w:lang w:eastAsia="fr-FR" w:bidi="fr-FR"/>
              </w:rPr>
            </w:pPr>
            <w:r w:rsidRPr="00075058">
              <w:rPr>
                <w:lang w:eastAsia="fr-FR" w:bidi="fr-FR"/>
              </w:rPr>
              <w:t xml:space="preserve">Responsabilité </w:t>
            </w:r>
            <w:r w:rsidR="009222EC">
              <w:rPr>
                <w:lang w:eastAsia="fr-FR" w:bidi="fr-FR"/>
              </w:rPr>
              <w:t>sociétale</w:t>
            </w:r>
            <w:r w:rsidR="009222EC" w:rsidRPr="00075058">
              <w:rPr>
                <w:lang w:eastAsia="fr-FR" w:bidi="fr-FR"/>
              </w:rPr>
              <w:t xml:space="preserve"> </w:t>
            </w:r>
            <w:r w:rsidRPr="00075058">
              <w:rPr>
                <w:lang w:eastAsia="fr-FR" w:bidi="fr-FR"/>
              </w:rPr>
              <w:t>des entreprises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SPP</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Subvention pour la préparation de projet</w:t>
            </w:r>
          </w:p>
        </w:tc>
      </w:tr>
      <w:tr w:rsidR="00812D8E" w:rsidRPr="00EE0D24" w:rsidTr="00075058">
        <w:trPr>
          <w:trHeight w:val="288"/>
        </w:trPr>
        <w:tc>
          <w:tcPr>
            <w:tcW w:w="1199" w:type="dxa"/>
            <w:shd w:val="clear" w:color="auto" w:fill="auto"/>
          </w:tcPr>
          <w:p w:rsidR="00812D8E" w:rsidRPr="00075058" w:rsidRDefault="00812D8E" w:rsidP="00075058">
            <w:pPr>
              <w:spacing w:after="0"/>
              <w:rPr>
                <w:lang w:eastAsia="fr-FR" w:bidi="fr-FR"/>
              </w:rPr>
            </w:pPr>
            <w:r>
              <w:rPr>
                <w:lang w:eastAsia="fr-FR" w:bidi="fr-FR"/>
              </w:rPr>
              <w:t>S&amp;E</w:t>
            </w:r>
          </w:p>
        </w:tc>
        <w:tc>
          <w:tcPr>
            <w:tcW w:w="8083" w:type="dxa"/>
            <w:shd w:val="clear" w:color="auto" w:fill="auto"/>
          </w:tcPr>
          <w:p w:rsidR="00812D8E" w:rsidRPr="00075058" w:rsidRDefault="00812D8E" w:rsidP="00075058">
            <w:pPr>
              <w:spacing w:after="0"/>
              <w:ind w:left="116"/>
              <w:rPr>
                <w:lang w:val="en-GB" w:eastAsia="fr-FR" w:bidi="fr-FR"/>
              </w:rPr>
            </w:pPr>
            <w:r>
              <w:rPr>
                <w:lang w:eastAsia="fr-FR" w:bidi="fr-FR"/>
              </w:rPr>
              <w:t>Suivi &amp; évaluation</w:t>
            </w:r>
          </w:p>
        </w:tc>
      </w:tr>
      <w:tr w:rsidR="00A15F12" w:rsidRPr="00A15F12" w:rsidTr="00075058">
        <w:trPr>
          <w:trHeight w:val="288"/>
        </w:trPr>
        <w:tc>
          <w:tcPr>
            <w:tcW w:w="1199" w:type="dxa"/>
            <w:shd w:val="clear" w:color="auto" w:fill="auto"/>
          </w:tcPr>
          <w:p w:rsidR="00A15F12" w:rsidRDefault="00A15F12" w:rsidP="00075058">
            <w:pPr>
              <w:spacing w:after="0"/>
              <w:rPr>
                <w:lang w:eastAsia="fr-FR" w:bidi="fr-FR"/>
              </w:rPr>
            </w:pPr>
            <w:r>
              <w:rPr>
                <w:lang w:eastAsia="fr-FR" w:bidi="fr-FR"/>
              </w:rPr>
              <w:t>UCP</w:t>
            </w:r>
          </w:p>
        </w:tc>
        <w:tc>
          <w:tcPr>
            <w:tcW w:w="8083" w:type="dxa"/>
            <w:shd w:val="clear" w:color="auto" w:fill="auto"/>
          </w:tcPr>
          <w:p w:rsidR="00A15F12" w:rsidRDefault="00A15F12" w:rsidP="00075058">
            <w:pPr>
              <w:spacing w:after="0"/>
              <w:ind w:left="116"/>
              <w:rPr>
                <w:lang w:eastAsia="fr-FR" w:bidi="fr-FR"/>
              </w:rPr>
            </w:pPr>
            <w:r>
              <w:rPr>
                <w:lang w:eastAsia="fr-FR" w:bidi="fr-FR"/>
              </w:rPr>
              <w:t>U</w:t>
            </w:r>
            <w:r w:rsidRPr="00A15F12">
              <w:rPr>
                <w:lang w:eastAsia="fr-FR" w:bidi="fr-FR"/>
              </w:rPr>
              <w:t>nité de coordination du projet</w:t>
            </w:r>
          </w:p>
        </w:tc>
      </w:tr>
      <w:tr w:rsidR="00FE1153" w:rsidRPr="00FE1153" w:rsidTr="00075058">
        <w:trPr>
          <w:trHeight w:val="288"/>
        </w:trPr>
        <w:tc>
          <w:tcPr>
            <w:tcW w:w="1199" w:type="dxa"/>
            <w:shd w:val="clear" w:color="auto" w:fill="auto"/>
          </w:tcPr>
          <w:p w:rsidR="00FE1153" w:rsidRDefault="00FE1153" w:rsidP="00075058">
            <w:pPr>
              <w:spacing w:after="0"/>
              <w:rPr>
                <w:lang w:eastAsia="fr-FR" w:bidi="fr-FR"/>
              </w:rPr>
            </w:pPr>
            <w:r>
              <w:rPr>
                <w:lang w:eastAsia="fr-FR" w:bidi="fr-FR"/>
              </w:rPr>
              <w:t>UGP</w:t>
            </w:r>
          </w:p>
        </w:tc>
        <w:tc>
          <w:tcPr>
            <w:tcW w:w="8083" w:type="dxa"/>
            <w:shd w:val="clear" w:color="auto" w:fill="auto"/>
          </w:tcPr>
          <w:p w:rsidR="00FE1153" w:rsidRDefault="00A15F12" w:rsidP="00075058">
            <w:pPr>
              <w:spacing w:after="0"/>
              <w:ind w:left="116"/>
              <w:rPr>
                <w:lang w:eastAsia="fr-FR" w:bidi="fr-FR"/>
              </w:rPr>
            </w:pPr>
            <w:r>
              <w:rPr>
                <w:lang w:eastAsia="fr-FR" w:bidi="fr-FR"/>
              </w:rPr>
              <w:t>Unité de gestion du</w:t>
            </w:r>
            <w:r w:rsidR="00FE1153">
              <w:rPr>
                <w:lang w:eastAsia="fr-FR" w:bidi="fr-FR"/>
              </w:rPr>
              <w:t xml:space="preserve"> projet</w:t>
            </w:r>
          </w:p>
        </w:tc>
      </w:tr>
      <w:tr w:rsidR="00E8322C" w:rsidRPr="00075058" w:rsidTr="00075058">
        <w:trPr>
          <w:trHeight w:val="288"/>
        </w:trPr>
        <w:tc>
          <w:tcPr>
            <w:tcW w:w="1199" w:type="dxa"/>
            <w:shd w:val="clear" w:color="auto" w:fill="auto"/>
          </w:tcPr>
          <w:p w:rsidR="00E8322C" w:rsidRPr="00075058" w:rsidRDefault="00E8322C" w:rsidP="00075058">
            <w:pPr>
              <w:spacing w:after="0"/>
              <w:jc w:val="left"/>
              <w:rPr>
                <w:rFonts w:eastAsia="Times"/>
                <w:lang w:eastAsia="fr-FR" w:bidi="fr-FR"/>
              </w:rPr>
            </w:pPr>
            <w:r>
              <w:rPr>
                <w:rFonts w:eastAsia="Times"/>
                <w:lang w:eastAsia="fr-FR" w:bidi="fr-FR"/>
              </w:rPr>
              <w:t>UP</w:t>
            </w:r>
          </w:p>
        </w:tc>
        <w:tc>
          <w:tcPr>
            <w:tcW w:w="8083" w:type="dxa"/>
            <w:shd w:val="clear" w:color="auto" w:fill="auto"/>
          </w:tcPr>
          <w:p w:rsidR="00E8322C" w:rsidRPr="00075058" w:rsidRDefault="00E8322C" w:rsidP="00075058">
            <w:pPr>
              <w:spacing w:after="0"/>
              <w:ind w:left="116"/>
              <w:jc w:val="left"/>
              <w:rPr>
                <w:rFonts w:eastAsia="Times"/>
                <w:lang w:eastAsia="fr-FR" w:bidi="fr-FR"/>
              </w:rPr>
            </w:pPr>
            <w:r w:rsidRPr="00075058">
              <w:rPr>
                <w:lang w:eastAsia="fr-FR" w:bidi="fr-FR"/>
              </w:rPr>
              <w:t>Unité pastorale</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URAC</w:t>
            </w:r>
          </w:p>
        </w:tc>
        <w:tc>
          <w:tcPr>
            <w:tcW w:w="8083" w:type="dxa"/>
            <w:shd w:val="clear" w:color="auto" w:fill="auto"/>
          </w:tcPr>
          <w:p w:rsidR="00075058" w:rsidRPr="00075058" w:rsidRDefault="00075058" w:rsidP="00075058">
            <w:pPr>
              <w:spacing w:after="0"/>
              <w:ind w:left="116"/>
              <w:jc w:val="left"/>
              <w:rPr>
                <w:rFonts w:eastAsia="Times" w:cs="Calibri"/>
                <w:lang w:eastAsia="fr-FR" w:bidi="fr-FR"/>
              </w:rPr>
            </w:pPr>
            <w:r w:rsidRPr="00075058">
              <w:rPr>
                <w:rFonts w:eastAsia="Times"/>
                <w:lang w:eastAsia="fr-FR" w:bidi="fr-FR"/>
              </w:rPr>
              <w:t xml:space="preserve">Union des </w:t>
            </w:r>
            <w:r w:rsidR="00C50A2D">
              <w:rPr>
                <w:rFonts w:eastAsia="Times"/>
                <w:lang w:eastAsia="fr-FR" w:bidi="fr-FR"/>
              </w:rPr>
              <w:t>r</w:t>
            </w:r>
            <w:r w:rsidRPr="00075058">
              <w:rPr>
                <w:rFonts w:eastAsia="Times"/>
                <w:lang w:eastAsia="fr-FR" w:bidi="fr-FR"/>
              </w:rPr>
              <w:t xml:space="preserve">adios </w:t>
            </w:r>
            <w:r w:rsidR="00C50A2D">
              <w:rPr>
                <w:rFonts w:eastAsia="Times"/>
                <w:lang w:eastAsia="fr-FR" w:bidi="fr-FR"/>
              </w:rPr>
              <w:t>a</w:t>
            </w:r>
            <w:r w:rsidRPr="00075058">
              <w:rPr>
                <w:rFonts w:eastAsia="Times"/>
                <w:lang w:eastAsia="fr-FR" w:bidi="fr-FR"/>
              </w:rPr>
              <w:t xml:space="preserve">ssociatives et </w:t>
            </w:r>
            <w:r w:rsidR="00C50A2D">
              <w:rPr>
                <w:rFonts w:eastAsia="Times"/>
                <w:lang w:eastAsia="fr-FR" w:bidi="fr-FR"/>
              </w:rPr>
              <w:t>c</w:t>
            </w:r>
            <w:r w:rsidRPr="00075058">
              <w:rPr>
                <w:rFonts w:eastAsia="Times"/>
                <w:lang w:eastAsia="fr-FR" w:bidi="fr-FR"/>
              </w:rPr>
              <w:t>ommunautaires du Sénégal</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USAID</w:t>
            </w:r>
          </w:p>
        </w:tc>
        <w:tc>
          <w:tcPr>
            <w:tcW w:w="8083" w:type="dxa"/>
            <w:shd w:val="clear" w:color="auto" w:fill="auto"/>
          </w:tcPr>
          <w:p w:rsidR="00075058" w:rsidRPr="00075058" w:rsidRDefault="009E23E7" w:rsidP="00075058">
            <w:pPr>
              <w:spacing w:after="0"/>
              <w:ind w:left="116"/>
              <w:jc w:val="left"/>
              <w:rPr>
                <w:rFonts w:eastAsia="Times" w:cs="Calibri"/>
                <w:lang w:eastAsia="fr-FR" w:bidi="fr-FR"/>
              </w:rPr>
            </w:pPr>
            <w:r>
              <w:rPr>
                <w:rFonts w:eastAsia="Times"/>
                <w:noProof/>
                <w:lang w:eastAsia="fr-FR" w:bidi="fr-FR"/>
              </w:rPr>
              <w:t xml:space="preserve">Agence des États-Unis pour le développement international / </w:t>
            </w:r>
            <w:r w:rsidR="00075058" w:rsidRPr="009E23E7">
              <w:rPr>
                <w:rFonts w:eastAsia="Times"/>
                <w:i/>
                <w:noProof/>
                <w:lang w:eastAsia="fr-FR" w:bidi="fr-FR"/>
              </w:rPr>
              <w:t>United States development agency</w:t>
            </w:r>
            <w:r w:rsidR="00075058" w:rsidRPr="00075058">
              <w:rPr>
                <w:rFonts w:eastAsia="Times"/>
                <w:noProof/>
                <w:lang w:eastAsia="fr-FR" w:bidi="fr-FR"/>
              </w:rPr>
              <w:t xml:space="preserve"> </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USD</w:t>
            </w:r>
          </w:p>
        </w:tc>
        <w:tc>
          <w:tcPr>
            <w:tcW w:w="8083" w:type="dxa"/>
            <w:shd w:val="clear" w:color="auto" w:fill="auto"/>
          </w:tcPr>
          <w:p w:rsidR="00075058" w:rsidRPr="00075058" w:rsidRDefault="00075058" w:rsidP="00075058">
            <w:pPr>
              <w:spacing w:after="0"/>
              <w:ind w:left="116"/>
              <w:jc w:val="left"/>
              <w:rPr>
                <w:rFonts w:eastAsia="Times" w:cs="Calibri"/>
                <w:lang w:eastAsia="fr-FR" w:bidi="fr-FR"/>
              </w:rPr>
            </w:pPr>
            <w:r w:rsidRPr="00075058">
              <w:rPr>
                <w:rFonts w:eastAsia="Times"/>
                <w:noProof/>
                <w:lang w:eastAsia="fr-FR" w:bidi="fr-FR"/>
              </w:rPr>
              <w:t>United States dollar</w:t>
            </w:r>
          </w:p>
        </w:tc>
      </w:tr>
    </w:tbl>
    <w:p w:rsidR="00075058" w:rsidRPr="00075058" w:rsidRDefault="00075058" w:rsidP="00075058">
      <w:pPr>
        <w:spacing w:after="0"/>
        <w:jc w:val="left"/>
        <w:rPr>
          <w:rFonts w:cs="Arial"/>
          <w:b/>
          <w:szCs w:val="22"/>
          <w:lang w:eastAsia="fr-FR" w:bidi="fr-FR"/>
        </w:rPr>
      </w:pPr>
    </w:p>
    <w:p w:rsidR="00075058" w:rsidRPr="00075058" w:rsidRDefault="00075058" w:rsidP="00075058">
      <w:pPr>
        <w:rPr>
          <w:lang w:eastAsia="fr-FR" w:bidi="fr-FR"/>
        </w:rPr>
      </w:pPr>
      <w:r w:rsidRPr="00075058">
        <w:rPr>
          <w:lang w:eastAsia="fr-FR" w:bidi="fr-FR"/>
        </w:rPr>
        <w:br w:type="page"/>
      </w:r>
    </w:p>
    <w:p w:rsidR="00075058" w:rsidRPr="007F5D87" w:rsidRDefault="00075058" w:rsidP="00075058">
      <w:pPr>
        <w:pStyle w:val="Titre1"/>
        <w:spacing w:before="0" w:after="0"/>
        <w:jc w:val="left"/>
        <w:rPr>
          <w:rFonts w:ascii="Calibri" w:hAnsi="Calibri"/>
          <w:sz w:val="32"/>
          <w:szCs w:val="28"/>
        </w:rPr>
      </w:pPr>
      <w:bookmarkStart w:id="4" w:name="_Toc496886553"/>
      <w:bookmarkStart w:id="5" w:name="_Toc498638390"/>
      <w:r>
        <w:rPr>
          <w:rFonts w:ascii="Calibri" w:hAnsi="Calibri"/>
          <w:sz w:val="32"/>
        </w:rPr>
        <w:lastRenderedPageBreak/>
        <w:t>Le défi du développement</w:t>
      </w:r>
      <w:bookmarkEnd w:id="4"/>
      <w:bookmarkEnd w:id="5"/>
    </w:p>
    <w:p w:rsidR="00075058" w:rsidRPr="00075058" w:rsidRDefault="00075058" w:rsidP="00075058">
      <w:pPr>
        <w:tabs>
          <w:tab w:val="left" w:pos="5008"/>
        </w:tabs>
        <w:rPr>
          <w:rFonts w:ascii="Times New Roman" w:hAnsi="Times New Roman"/>
          <w:b/>
          <w:sz w:val="28"/>
          <w:szCs w:val="28"/>
          <w:lang w:eastAsia="fr-FR" w:bidi="fr-FR"/>
        </w:rPr>
      </w:pPr>
    </w:p>
    <w:p w:rsidR="00075058" w:rsidRPr="00075058" w:rsidRDefault="00075058" w:rsidP="00075058">
      <w:pPr>
        <w:tabs>
          <w:tab w:val="left" w:pos="5008"/>
        </w:tabs>
        <w:rPr>
          <w:rFonts w:ascii="Times New Roman" w:hAnsi="Times New Roman"/>
          <w:b/>
          <w:sz w:val="24"/>
          <w:lang w:eastAsia="fr-FR" w:bidi="fr-FR"/>
        </w:rPr>
      </w:pPr>
      <w:r w:rsidRPr="00075058">
        <w:rPr>
          <w:rFonts w:ascii="Times New Roman" w:hAnsi="Times New Roman"/>
          <w:b/>
          <w:sz w:val="24"/>
          <w:lang w:eastAsia="fr-FR" w:bidi="fr-FR"/>
        </w:rPr>
        <w:t>Contexte</w:t>
      </w:r>
    </w:p>
    <w:p w:rsidR="00075058" w:rsidRPr="00075058" w:rsidRDefault="00075058" w:rsidP="00075058">
      <w:pPr>
        <w:rPr>
          <w:noProof/>
          <w:lang w:eastAsia="fr-FR" w:bidi="fr-FR"/>
        </w:rPr>
      </w:pPr>
    </w:p>
    <w:p w:rsidR="00075058" w:rsidRP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Sénégal se situe dans la région de l'Afrique de l'Ouest, avec la Mauritanie au </w:t>
      </w:r>
      <w:r w:rsidR="00C50A2D">
        <w:rPr>
          <w:rFonts w:ascii="Times New Roman" w:eastAsia="Times New Roman" w:hAnsi="Times New Roman"/>
          <w:sz w:val="24"/>
          <w:szCs w:val="22"/>
          <w:lang w:eastAsia="fr-FR" w:bidi="fr-FR"/>
        </w:rPr>
        <w:t>nord</w:t>
      </w:r>
      <w:r w:rsidRPr="00075058">
        <w:rPr>
          <w:rFonts w:ascii="Times New Roman" w:eastAsia="Times New Roman" w:hAnsi="Times New Roman"/>
          <w:sz w:val="24"/>
          <w:szCs w:val="22"/>
          <w:lang w:eastAsia="fr-FR" w:bidi="fr-FR"/>
        </w:rPr>
        <w:t xml:space="preserve">, le Mali à l'Est, la Guinée-Bissau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et la Gambie qu'il </w:t>
      </w:r>
      <w:r w:rsidR="00580BFF">
        <w:rPr>
          <w:rFonts w:ascii="Times New Roman" w:eastAsia="Times New Roman" w:hAnsi="Times New Roman"/>
          <w:sz w:val="24"/>
          <w:szCs w:val="22"/>
          <w:lang w:eastAsia="fr-FR" w:bidi="fr-FR"/>
        </w:rPr>
        <w:t>entoure</w:t>
      </w:r>
      <w:r w:rsidR="00580BFF"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complètement, à l'exception de </w:t>
      </w:r>
      <w:r w:rsidR="00580BFF">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a côte atlantique. Le Sénégal est compris entre</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12</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20 et 16</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40 de latitude Nord et 11</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20 et 17</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30 de longitude Ouest. L</w:t>
      </w:r>
      <w:r w:rsidR="009A05E7">
        <w:rPr>
          <w:rFonts w:ascii="Times New Roman" w:eastAsia="Times New Roman" w:hAnsi="Times New Roman"/>
          <w:sz w:val="24"/>
          <w:szCs w:val="22"/>
          <w:lang w:eastAsia="fr-FR" w:bidi="fr-FR"/>
        </w:rPr>
        <w:t>a</w:t>
      </w:r>
      <w:r w:rsidRPr="00075058">
        <w:rPr>
          <w:rFonts w:ascii="Times New Roman" w:eastAsia="Times New Roman" w:hAnsi="Times New Roman"/>
          <w:sz w:val="24"/>
          <w:szCs w:val="22"/>
          <w:lang w:eastAsia="fr-FR" w:bidi="fr-FR"/>
        </w:rPr>
        <w:t xml:space="preserve"> frontière </w:t>
      </w:r>
      <w:r w:rsidR="009A05E7">
        <w:rPr>
          <w:rFonts w:ascii="Times New Roman" w:eastAsia="Times New Roman" w:hAnsi="Times New Roman"/>
          <w:sz w:val="24"/>
          <w:szCs w:val="22"/>
          <w:lang w:eastAsia="fr-FR" w:bidi="fr-FR"/>
        </w:rPr>
        <w:t>Ouest</w:t>
      </w:r>
      <w:r w:rsidRPr="00075058">
        <w:rPr>
          <w:rFonts w:ascii="Times New Roman" w:eastAsia="Times New Roman" w:hAnsi="Times New Roman"/>
          <w:sz w:val="24"/>
          <w:szCs w:val="22"/>
          <w:lang w:eastAsia="fr-FR" w:bidi="fr-FR"/>
        </w:rPr>
        <w:t xml:space="preserve"> du Sénégal </w:t>
      </w:r>
      <w:r w:rsidR="009A05E7">
        <w:rPr>
          <w:rFonts w:ascii="Times New Roman" w:eastAsia="Times New Roman" w:hAnsi="Times New Roman"/>
          <w:sz w:val="24"/>
          <w:szCs w:val="22"/>
          <w:lang w:eastAsia="fr-FR" w:bidi="fr-FR"/>
        </w:rPr>
        <w:t>est</w:t>
      </w:r>
      <w:r w:rsidR="009A05E7"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délimitée par la ligne côtière de l'Atlantique qui s'étend sur environ 530 km du </w:t>
      </w:r>
      <w:r w:rsidR="00C50A2D">
        <w:rPr>
          <w:rFonts w:ascii="Times New Roman" w:eastAsia="Times New Roman" w:hAnsi="Times New Roman"/>
          <w:sz w:val="24"/>
          <w:szCs w:val="22"/>
          <w:lang w:eastAsia="fr-FR" w:bidi="fr-FR"/>
        </w:rPr>
        <w:t>n</w:t>
      </w:r>
      <w:r w:rsidRPr="00075058">
        <w:rPr>
          <w:rFonts w:ascii="Times New Roman" w:eastAsia="Times New Roman" w:hAnsi="Times New Roman"/>
          <w:sz w:val="24"/>
          <w:szCs w:val="22"/>
          <w:lang w:eastAsia="fr-FR" w:bidi="fr-FR"/>
        </w:rPr>
        <w:t xml:space="preserve">ord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La superficie totale du pays est de 196.722 km² (75.955 miles carrés), avec une frontière terrestre de 2,640 km.</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Sénégal possède un climat de type soudano-sahélien caractérisé par une saison des pluies entre les mois de juin et d'octobre, et comprend une grande variété de zones </w:t>
      </w:r>
      <w:r w:rsidR="008B00C3">
        <w:rPr>
          <w:rFonts w:ascii="Times New Roman" w:eastAsia="Times New Roman" w:hAnsi="Times New Roman"/>
          <w:sz w:val="24"/>
          <w:szCs w:val="22"/>
          <w:lang w:eastAsia="fr-FR" w:bidi="fr-FR"/>
        </w:rPr>
        <w:t>éco-</w:t>
      </w:r>
      <w:r w:rsidR="008B00C3" w:rsidRPr="00075058">
        <w:rPr>
          <w:rFonts w:ascii="Times New Roman" w:eastAsia="Times New Roman" w:hAnsi="Times New Roman"/>
          <w:sz w:val="24"/>
          <w:szCs w:val="22"/>
          <w:lang w:eastAsia="fr-FR" w:bidi="fr-FR"/>
        </w:rPr>
        <w:t>climatiques</w:t>
      </w:r>
      <w:r w:rsidRPr="00075058">
        <w:rPr>
          <w:rFonts w:ascii="Times New Roman" w:eastAsia="Times New Roman" w:hAnsi="Times New Roman"/>
          <w:sz w:val="24"/>
          <w:szCs w:val="22"/>
          <w:lang w:eastAsia="fr-FR" w:bidi="fr-FR"/>
        </w:rPr>
        <w:t xml:space="preserve"> et d'écosystèmes. </w:t>
      </w:r>
      <w:r w:rsidR="009A05E7">
        <w:rPr>
          <w:rFonts w:ascii="Times New Roman" w:eastAsia="Times New Roman" w:hAnsi="Times New Roman"/>
          <w:sz w:val="24"/>
          <w:szCs w:val="22"/>
          <w:lang w:eastAsia="fr-FR" w:bidi="fr-FR"/>
        </w:rPr>
        <w:t>La majeure partie du</w:t>
      </w:r>
      <w:r w:rsidRPr="00075058">
        <w:rPr>
          <w:rFonts w:ascii="Times New Roman" w:eastAsia="Times New Roman" w:hAnsi="Times New Roman"/>
          <w:sz w:val="24"/>
          <w:szCs w:val="22"/>
          <w:lang w:eastAsia="fr-FR" w:bidi="fr-FR"/>
        </w:rPr>
        <w:t xml:space="preserve"> pays est plutôt plat</w:t>
      </w:r>
      <w:r w:rsidR="009A05E7">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 et bas</w:t>
      </w:r>
      <w:r w:rsidR="009A05E7">
        <w:rPr>
          <w:rFonts w:ascii="Times New Roman" w:eastAsia="Times New Roman" w:hAnsi="Times New Roman"/>
          <w:sz w:val="24"/>
          <w:szCs w:val="22"/>
          <w:lang w:eastAsia="fr-FR" w:bidi="fr-FR"/>
        </w:rPr>
        <w:t>se</w:t>
      </w:r>
      <w:r w:rsidRPr="00075058">
        <w:rPr>
          <w:rFonts w:ascii="Times New Roman" w:eastAsia="Times New Roman" w:hAnsi="Times New Roman"/>
          <w:sz w:val="24"/>
          <w:szCs w:val="22"/>
          <w:lang w:eastAsia="fr-FR" w:bidi="fr-FR"/>
        </w:rPr>
        <w:t xml:space="preserve">, </w:t>
      </w:r>
      <w:r w:rsidR="009A05E7">
        <w:rPr>
          <w:rFonts w:ascii="Times New Roman" w:eastAsia="Times New Roman" w:hAnsi="Times New Roman"/>
          <w:sz w:val="24"/>
          <w:szCs w:val="22"/>
          <w:lang w:eastAsia="fr-FR" w:bidi="fr-FR"/>
        </w:rPr>
        <w:t>avec</w:t>
      </w:r>
      <w:r w:rsidRPr="00075058">
        <w:rPr>
          <w:rFonts w:ascii="Times New Roman" w:eastAsia="Times New Roman" w:hAnsi="Times New Roman"/>
          <w:sz w:val="24"/>
          <w:szCs w:val="22"/>
          <w:lang w:eastAsia="fr-FR" w:bidi="fr-FR"/>
        </w:rPr>
        <w:t xml:space="preserve"> des collines basses le long de la côte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de Dakar et </w:t>
      </w:r>
      <w:r w:rsidR="009A05E7">
        <w:rPr>
          <w:rFonts w:ascii="Times New Roman" w:eastAsia="Times New Roman" w:hAnsi="Times New Roman"/>
          <w:sz w:val="24"/>
          <w:szCs w:val="22"/>
          <w:lang w:eastAsia="fr-FR" w:bidi="fr-FR"/>
        </w:rPr>
        <w:t>dans le</w:t>
      </w:r>
      <w:r w:rsidR="009A05E7" w:rsidRPr="00075058">
        <w:rPr>
          <w:rFonts w:ascii="Times New Roman" w:eastAsia="Times New Roman" w:hAnsi="Times New Roman"/>
          <w:sz w:val="24"/>
          <w:szCs w:val="22"/>
          <w:lang w:eastAsia="fr-FR" w:bidi="fr-FR"/>
        </w:rPr>
        <w:t xml:space="preserve"> </w:t>
      </w:r>
      <w:r w:rsidR="008B00C3">
        <w:rPr>
          <w:rFonts w:ascii="Times New Roman" w:eastAsia="Times New Roman" w:hAnsi="Times New Roman"/>
          <w:sz w:val="24"/>
          <w:szCs w:val="22"/>
          <w:lang w:eastAsia="fr-FR" w:bidi="fr-FR"/>
        </w:rPr>
        <w:t>Sud-Est</w:t>
      </w:r>
      <w:r w:rsidR="009A05E7">
        <w:rPr>
          <w:rFonts w:ascii="Times New Roman" w:eastAsia="Times New Roman" w:hAnsi="Times New Roman"/>
          <w:sz w:val="24"/>
          <w:szCs w:val="22"/>
          <w:lang w:eastAsia="fr-FR" w:bidi="fr-FR"/>
        </w:rPr>
        <w:t>, atteignant un maximum de</w:t>
      </w:r>
      <w:r w:rsidRPr="00075058">
        <w:rPr>
          <w:rFonts w:ascii="Times New Roman" w:eastAsia="Times New Roman" w:hAnsi="Times New Roman"/>
          <w:sz w:val="24"/>
          <w:szCs w:val="22"/>
          <w:lang w:eastAsia="fr-FR" w:bidi="fr-FR"/>
        </w:rPr>
        <w:t xml:space="preserve"> 581 m au </w:t>
      </w:r>
      <w:r w:rsidR="00C50A2D">
        <w:rPr>
          <w:rFonts w:ascii="Times New Roman" w:eastAsia="Times New Roman" w:hAnsi="Times New Roman"/>
          <w:sz w:val="24"/>
          <w:szCs w:val="22"/>
          <w:lang w:eastAsia="fr-FR" w:bidi="fr-FR"/>
        </w:rPr>
        <w:t>s</w:t>
      </w:r>
      <w:r w:rsidR="005E48EE" w:rsidRPr="00075058">
        <w:rPr>
          <w:rFonts w:ascii="Times New Roman" w:eastAsia="Times New Roman" w:hAnsi="Times New Roman"/>
          <w:sz w:val="24"/>
          <w:szCs w:val="22"/>
          <w:lang w:eastAsia="fr-FR" w:bidi="fr-FR"/>
        </w:rPr>
        <w:t>ud-ouest</w:t>
      </w:r>
      <w:r w:rsidRPr="00075058">
        <w:rPr>
          <w:rFonts w:ascii="Times New Roman" w:eastAsia="Times New Roman" w:hAnsi="Times New Roman"/>
          <w:sz w:val="24"/>
          <w:szCs w:val="22"/>
          <w:lang w:eastAsia="fr-FR" w:bidi="fr-FR"/>
        </w:rPr>
        <w:t xml:space="preserve"> de Kédougou. </w:t>
      </w:r>
      <w:r w:rsidR="002D3B62">
        <w:rPr>
          <w:rFonts w:ascii="Times New Roman" w:eastAsia="Times New Roman" w:hAnsi="Times New Roman"/>
          <w:sz w:val="24"/>
          <w:szCs w:val="22"/>
          <w:lang w:eastAsia="fr-FR" w:bidi="fr-FR"/>
        </w:rPr>
        <w:t>D</w:t>
      </w:r>
      <w:r w:rsidRPr="00075058">
        <w:rPr>
          <w:rFonts w:ascii="Times New Roman" w:eastAsia="Times New Roman" w:hAnsi="Times New Roman"/>
          <w:sz w:val="24"/>
          <w:szCs w:val="22"/>
          <w:lang w:eastAsia="fr-FR" w:bidi="fr-FR"/>
        </w:rPr>
        <w:t xml:space="preserve">es écosystèmes secs (moins de 600 mm de </w:t>
      </w:r>
      <w:r w:rsidR="002D3B62">
        <w:rPr>
          <w:rFonts w:ascii="Times New Roman" w:eastAsia="Times New Roman" w:hAnsi="Times New Roman"/>
          <w:sz w:val="24"/>
          <w:szCs w:val="22"/>
          <w:lang w:eastAsia="fr-FR" w:bidi="fr-FR"/>
        </w:rPr>
        <w:t>précipitation annuelle dans le Nord et entre 600 et 1000 mm</w:t>
      </w:r>
      <w:r w:rsidRPr="00075058">
        <w:rPr>
          <w:rFonts w:ascii="Times New Roman" w:eastAsia="Times New Roman" w:hAnsi="Times New Roman"/>
          <w:sz w:val="24"/>
          <w:szCs w:val="22"/>
          <w:lang w:eastAsia="fr-FR" w:bidi="fr-FR"/>
        </w:rPr>
        <w:t xml:space="preserve"> </w:t>
      </w:r>
      <w:r w:rsidR="002D3B62">
        <w:rPr>
          <w:rFonts w:ascii="Times New Roman" w:eastAsia="Times New Roman" w:hAnsi="Times New Roman"/>
          <w:sz w:val="24"/>
          <w:szCs w:val="22"/>
          <w:lang w:eastAsia="fr-FR" w:bidi="fr-FR"/>
        </w:rPr>
        <w:t>dans</w:t>
      </w:r>
      <w:r w:rsidRPr="00075058">
        <w:rPr>
          <w:rFonts w:ascii="Times New Roman" w:eastAsia="Times New Roman" w:hAnsi="Times New Roman"/>
          <w:sz w:val="24"/>
          <w:szCs w:val="22"/>
          <w:lang w:eastAsia="fr-FR" w:bidi="fr-FR"/>
        </w:rPr>
        <w:t xml:space="preserve"> la partie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w:t>
      </w:r>
      <w:r w:rsidR="002D3B62">
        <w:rPr>
          <w:rFonts w:ascii="Times New Roman" w:eastAsia="Times New Roman" w:hAnsi="Times New Roman"/>
          <w:sz w:val="24"/>
          <w:szCs w:val="22"/>
          <w:lang w:eastAsia="fr-FR" w:bidi="fr-FR"/>
        </w:rPr>
        <w:t xml:space="preserve"> peuvent être trouvés dans l</w:t>
      </w:r>
      <w:r w:rsidR="002D3B62" w:rsidRPr="00075058">
        <w:rPr>
          <w:rFonts w:ascii="Times New Roman" w:eastAsia="Times New Roman" w:hAnsi="Times New Roman"/>
          <w:sz w:val="24"/>
          <w:szCs w:val="22"/>
          <w:lang w:eastAsia="fr-FR" w:bidi="fr-FR"/>
        </w:rPr>
        <w:t xml:space="preserve">a partie </w:t>
      </w:r>
      <w:r w:rsidR="002D3B62">
        <w:rPr>
          <w:rFonts w:ascii="Times New Roman" w:eastAsia="Times New Roman" w:hAnsi="Times New Roman"/>
          <w:sz w:val="24"/>
          <w:szCs w:val="22"/>
          <w:lang w:eastAsia="fr-FR" w:bidi="fr-FR"/>
        </w:rPr>
        <w:t>n</w:t>
      </w:r>
      <w:r w:rsidR="002D3B62" w:rsidRPr="00075058">
        <w:rPr>
          <w:rFonts w:ascii="Times New Roman" w:eastAsia="Times New Roman" w:hAnsi="Times New Roman"/>
          <w:sz w:val="24"/>
          <w:szCs w:val="22"/>
          <w:lang w:eastAsia="fr-FR" w:bidi="fr-FR"/>
        </w:rPr>
        <w:t>ord du pays</w:t>
      </w:r>
      <w:r w:rsidRPr="00075058">
        <w:rPr>
          <w:rFonts w:ascii="Times New Roman" w:eastAsia="Times New Roman" w:hAnsi="Times New Roman"/>
          <w:sz w:val="24"/>
          <w:szCs w:val="22"/>
          <w:lang w:eastAsia="fr-FR" w:bidi="fr-FR"/>
        </w:rPr>
        <w:t xml:space="preserve">. Ils sont composés de steppes, de buissons épineux et de savanes boisées. Ces derniers se </w:t>
      </w:r>
      <w:r w:rsidR="005E48EE">
        <w:rPr>
          <w:rFonts w:ascii="Times New Roman" w:eastAsia="Times New Roman" w:hAnsi="Times New Roman"/>
          <w:sz w:val="24"/>
          <w:szCs w:val="22"/>
          <w:lang w:eastAsia="fr-FR" w:bidi="fr-FR"/>
        </w:rPr>
        <w:t>t</w:t>
      </w:r>
      <w:r w:rsidRPr="00075058">
        <w:rPr>
          <w:rFonts w:ascii="Times New Roman" w:eastAsia="Times New Roman" w:hAnsi="Times New Roman"/>
          <w:sz w:val="24"/>
          <w:szCs w:val="22"/>
          <w:lang w:eastAsia="fr-FR" w:bidi="fr-FR"/>
        </w:rPr>
        <w:t xml:space="preserve">ransforment progressivement en forêts, puis en forêts subtropicales plus denses et humides </w:t>
      </w:r>
      <w:r w:rsidR="008B00C3" w:rsidRPr="00075058">
        <w:rPr>
          <w:rFonts w:ascii="Times New Roman" w:eastAsia="Times New Roman" w:hAnsi="Times New Roman"/>
          <w:sz w:val="24"/>
          <w:szCs w:val="22"/>
          <w:lang w:eastAsia="fr-FR" w:bidi="fr-FR"/>
        </w:rPr>
        <w:t>(</w:t>
      </w:r>
      <w:r w:rsidR="008B00C3">
        <w:rPr>
          <w:rFonts w:ascii="Times New Roman" w:eastAsia="Times New Roman" w:hAnsi="Times New Roman"/>
          <w:sz w:val="24"/>
          <w:szCs w:val="22"/>
          <w:lang w:eastAsia="fr-FR" w:bidi="fr-FR"/>
        </w:rPr>
        <w:t>plus</w:t>
      </w:r>
      <w:r w:rsidR="001C7CD3">
        <w:rPr>
          <w:rFonts w:ascii="Times New Roman" w:eastAsia="Times New Roman" w:hAnsi="Times New Roman"/>
          <w:sz w:val="24"/>
          <w:szCs w:val="22"/>
          <w:lang w:eastAsia="fr-FR" w:bidi="fr-FR"/>
        </w:rPr>
        <w:t xml:space="preserve"> de</w:t>
      </w:r>
      <w:r w:rsidRPr="00075058">
        <w:rPr>
          <w:rFonts w:ascii="Times New Roman" w:eastAsia="Times New Roman" w:hAnsi="Times New Roman"/>
          <w:sz w:val="24"/>
          <w:szCs w:val="22"/>
          <w:lang w:eastAsia="fr-FR" w:bidi="fr-FR"/>
        </w:rPr>
        <w:t xml:space="preserve">1.000 mm de pluie par an) pour le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 et l'</w:t>
      </w:r>
      <w:r w:rsidR="00C50A2D">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st du pays. Il </w:t>
      </w:r>
      <w:r w:rsidR="001C7CD3">
        <w:rPr>
          <w:rFonts w:ascii="Times New Roman" w:eastAsia="Times New Roman" w:hAnsi="Times New Roman"/>
          <w:sz w:val="24"/>
          <w:szCs w:val="22"/>
          <w:lang w:eastAsia="fr-FR" w:bidi="fr-FR"/>
        </w:rPr>
        <w:t>existe</w:t>
      </w:r>
      <w:r w:rsidRPr="00075058">
        <w:rPr>
          <w:rFonts w:ascii="Times New Roman" w:eastAsia="Times New Roman" w:hAnsi="Times New Roman"/>
          <w:sz w:val="24"/>
          <w:szCs w:val="22"/>
          <w:lang w:eastAsia="fr-FR" w:bidi="fr-FR"/>
        </w:rPr>
        <w:t xml:space="preserve"> également plusieurs grand</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systèmes </w:t>
      </w:r>
      <w:r w:rsidRPr="00912C59">
        <w:rPr>
          <w:rFonts w:ascii="Times New Roman" w:eastAsia="Times New Roman" w:hAnsi="Times New Roman"/>
          <w:sz w:val="24"/>
          <w:szCs w:val="22"/>
          <w:lang w:eastAsia="fr-FR" w:bidi="fr-FR"/>
        </w:rPr>
        <w:t>fluviaux</w:t>
      </w:r>
      <w:r w:rsidRPr="00075058">
        <w:rPr>
          <w:rFonts w:ascii="Times New Roman" w:eastAsia="Times New Roman" w:hAnsi="Times New Roman"/>
          <w:sz w:val="24"/>
          <w:szCs w:val="22"/>
          <w:lang w:eastAsia="fr-FR" w:bidi="fr-FR"/>
        </w:rPr>
        <w:t xml:space="preserve"> abritant des écosystèmes fluviaux et lacustre</w:t>
      </w:r>
      <w:r w:rsidR="00C50A2D">
        <w:rPr>
          <w:rFonts w:ascii="Times New Roman" w:eastAsia="Times New Roman" w:hAnsi="Times New Roman"/>
          <w:sz w:val="24"/>
          <w:szCs w:val="22"/>
          <w:lang w:eastAsia="fr-FR" w:bidi="fr-FR"/>
        </w:rPr>
        <w:t>s </w:t>
      </w:r>
      <w:r w:rsidRPr="00075058">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 fleuve Sénégal qui constitue la </w:t>
      </w:r>
      <w:r w:rsidR="00AE76CB">
        <w:rPr>
          <w:rFonts w:ascii="Times New Roman" w:eastAsia="Times New Roman" w:hAnsi="Times New Roman"/>
          <w:sz w:val="24"/>
          <w:szCs w:val="22"/>
          <w:lang w:eastAsia="fr-FR" w:bidi="fr-FR"/>
        </w:rPr>
        <w:t>plus grande partie de la</w:t>
      </w:r>
      <w:r w:rsidR="00AE76C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frontière </w:t>
      </w:r>
      <w:r w:rsidR="00AE76CB">
        <w:rPr>
          <w:rFonts w:ascii="Times New Roman" w:eastAsia="Times New Roman" w:hAnsi="Times New Roman"/>
          <w:sz w:val="24"/>
          <w:szCs w:val="22"/>
          <w:lang w:eastAsia="fr-FR" w:bidi="fr-FR"/>
        </w:rPr>
        <w:t xml:space="preserve">orientale </w:t>
      </w:r>
      <w:r w:rsidRPr="00075058">
        <w:rPr>
          <w:rFonts w:ascii="Times New Roman" w:eastAsia="Times New Roman" w:hAnsi="Times New Roman"/>
          <w:sz w:val="24"/>
          <w:szCs w:val="22"/>
          <w:lang w:eastAsia="fr-FR" w:bidi="fr-FR"/>
        </w:rPr>
        <w:t xml:space="preserve">et </w:t>
      </w:r>
      <w:r w:rsidR="00AE76CB">
        <w:rPr>
          <w:rFonts w:ascii="Times New Roman" w:eastAsia="Times New Roman" w:hAnsi="Times New Roman"/>
          <w:sz w:val="24"/>
          <w:szCs w:val="22"/>
          <w:lang w:eastAsia="fr-FR" w:bidi="fr-FR"/>
        </w:rPr>
        <w:t>septentrionale</w:t>
      </w:r>
      <w:r w:rsidRPr="00075058">
        <w:rPr>
          <w:rFonts w:ascii="Times New Roman" w:eastAsia="Times New Roman" w:hAnsi="Times New Roman"/>
          <w:sz w:val="24"/>
          <w:szCs w:val="22"/>
          <w:lang w:eastAsia="fr-FR" w:bidi="fr-FR"/>
        </w:rPr>
        <w:t xml:space="preserve"> du pays et se verse dans l'Atlantique à S</w:t>
      </w:r>
      <w:r w:rsidR="00C50A2D">
        <w:rPr>
          <w:rFonts w:ascii="Times New Roman" w:eastAsia="Times New Roman" w:hAnsi="Times New Roman"/>
          <w:sz w:val="24"/>
          <w:szCs w:val="22"/>
          <w:lang w:eastAsia="fr-FR" w:bidi="fr-FR"/>
        </w:rPr>
        <w:t>aint-</w:t>
      </w:r>
      <w:r w:rsidRPr="00075058">
        <w:rPr>
          <w:rFonts w:ascii="Times New Roman" w:eastAsia="Times New Roman" w:hAnsi="Times New Roman"/>
          <w:sz w:val="24"/>
          <w:szCs w:val="22"/>
          <w:lang w:eastAsia="fr-FR" w:bidi="fr-FR"/>
        </w:rPr>
        <w:t xml:space="preserve">Louis ; le fleuve Gambie qui provient du massif </w:t>
      </w:r>
      <w:r w:rsidR="00AE76CB">
        <w:rPr>
          <w:rFonts w:ascii="Times New Roman" w:eastAsia="Times New Roman" w:hAnsi="Times New Roman"/>
          <w:sz w:val="24"/>
          <w:szCs w:val="22"/>
          <w:lang w:eastAsia="fr-FR" w:bidi="fr-FR"/>
        </w:rPr>
        <w:t xml:space="preserve">du </w:t>
      </w:r>
      <w:r w:rsidRPr="00075058">
        <w:rPr>
          <w:rFonts w:ascii="Times New Roman" w:eastAsia="Times New Roman" w:hAnsi="Times New Roman"/>
          <w:sz w:val="24"/>
          <w:szCs w:val="22"/>
          <w:lang w:eastAsia="fr-FR" w:bidi="fr-FR"/>
        </w:rPr>
        <w:t xml:space="preserve">Fouta-Djalon </w:t>
      </w:r>
      <w:r w:rsidR="00AE76CB">
        <w:rPr>
          <w:rFonts w:ascii="Times New Roman" w:eastAsia="Times New Roman" w:hAnsi="Times New Roman"/>
          <w:sz w:val="24"/>
          <w:szCs w:val="22"/>
          <w:lang w:eastAsia="fr-FR" w:bidi="fr-FR"/>
        </w:rPr>
        <w:t>en</w:t>
      </w:r>
      <w:r w:rsidR="00FE1153">
        <w:rPr>
          <w:rFonts w:ascii="Times New Roman" w:eastAsia="Times New Roman" w:hAnsi="Times New Roman"/>
          <w:sz w:val="24"/>
          <w:szCs w:val="22"/>
          <w:lang w:eastAsia="fr-FR" w:bidi="fr-FR"/>
        </w:rPr>
        <w:t xml:space="preserve"> Guinée-Bissau et </w:t>
      </w:r>
      <w:r w:rsidR="00AE76CB">
        <w:rPr>
          <w:rFonts w:ascii="Times New Roman" w:eastAsia="Times New Roman" w:hAnsi="Times New Roman"/>
          <w:sz w:val="24"/>
          <w:szCs w:val="22"/>
          <w:lang w:eastAsia="fr-FR" w:bidi="fr-FR"/>
        </w:rPr>
        <w:t xml:space="preserve">qui traverse </w:t>
      </w:r>
      <w:r w:rsidR="00FE1153">
        <w:rPr>
          <w:rFonts w:ascii="Times New Roman" w:eastAsia="Times New Roman" w:hAnsi="Times New Roman"/>
          <w:sz w:val="24"/>
          <w:szCs w:val="22"/>
          <w:lang w:eastAsia="fr-FR" w:bidi="fr-FR"/>
        </w:rPr>
        <w:t>le Parc n</w:t>
      </w:r>
      <w:r w:rsidRPr="00075058">
        <w:rPr>
          <w:rFonts w:ascii="Times New Roman" w:eastAsia="Times New Roman" w:hAnsi="Times New Roman"/>
          <w:sz w:val="24"/>
          <w:szCs w:val="22"/>
          <w:lang w:eastAsia="fr-FR" w:bidi="fr-FR"/>
        </w:rPr>
        <w:t xml:space="preserve">ational du </w:t>
      </w:r>
      <w:r w:rsidR="00D2405E">
        <w:rPr>
          <w:rFonts w:ascii="Times New Roman" w:eastAsia="Times New Roman" w:hAnsi="Times New Roman"/>
          <w:sz w:val="24"/>
          <w:szCs w:val="22"/>
          <w:lang w:eastAsia="fr-FR" w:bidi="fr-FR"/>
        </w:rPr>
        <w:t>Niokolo-Koba </w:t>
      </w:r>
      <w:r w:rsidRPr="00075058">
        <w:rPr>
          <w:rFonts w:ascii="Times New Roman" w:eastAsia="Times New Roman" w:hAnsi="Times New Roman"/>
          <w:sz w:val="24"/>
          <w:szCs w:val="22"/>
          <w:lang w:eastAsia="fr-FR" w:bidi="fr-FR"/>
        </w:rPr>
        <w:t xml:space="preserve">; le fleuve Casamance situé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 et qui coule vers l'</w:t>
      </w:r>
      <w:r w:rsidR="00C50A2D">
        <w:rPr>
          <w:rFonts w:ascii="Times New Roman" w:eastAsia="Times New Roman" w:hAnsi="Times New Roman"/>
          <w:sz w:val="24"/>
          <w:szCs w:val="22"/>
          <w:lang w:eastAsia="fr-FR" w:bidi="fr-FR"/>
        </w:rPr>
        <w:t>o</w:t>
      </w:r>
      <w:r w:rsidRPr="00075058">
        <w:rPr>
          <w:rFonts w:ascii="Times New Roman" w:eastAsia="Times New Roman" w:hAnsi="Times New Roman"/>
          <w:sz w:val="24"/>
          <w:szCs w:val="22"/>
          <w:lang w:eastAsia="fr-FR" w:bidi="fr-FR"/>
        </w:rPr>
        <w:t xml:space="preserve">uest </w:t>
      </w:r>
      <w:r w:rsidR="00AE76CB">
        <w:rPr>
          <w:rFonts w:ascii="Times New Roman" w:eastAsia="Times New Roman" w:hAnsi="Times New Roman"/>
          <w:sz w:val="24"/>
          <w:szCs w:val="22"/>
          <w:lang w:eastAsia="fr-FR" w:bidi="fr-FR"/>
        </w:rPr>
        <w:t>jusqu’à</w:t>
      </w:r>
      <w:r w:rsidRPr="00075058">
        <w:rPr>
          <w:rFonts w:ascii="Times New Roman" w:eastAsia="Times New Roman" w:hAnsi="Times New Roman"/>
          <w:sz w:val="24"/>
          <w:szCs w:val="22"/>
          <w:lang w:eastAsia="fr-FR" w:bidi="fr-FR"/>
        </w:rPr>
        <w:t xml:space="preserve"> l'océan Atlantique. Compte tenu de la longueur </w:t>
      </w:r>
      <w:r w:rsidR="00AE76CB">
        <w:rPr>
          <w:rFonts w:ascii="Times New Roman" w:eastAsia="Times New Roman" w:hAnsi="Times New Roman"/>
          <w:sz w:val="24"/>
          <w:szCs w:val="22"/>
          <w:lang w:eastAsia="fr-FR" w:bidi="fr-FR"/>
        </w:rPr>
        <w:t>du littoral</w:t>
      </w:r>
      <w:r w:rsidRPr="00075058">
        <w:rPr>
          <w:rFonts w:ascii="Times New Roman" w:eastAsia="Times New Roman" w:hAnsi="Times New Roman"/>
          <w:sz w:val="24"/>
          <w:szCs w:val="22"/>
          <w:lang w:eastAsia="fr-FR" w:bidi="fr-FR"/>
        </w:rPr>
        <w:t xml:space="preserve">, il existe également une diversité d'écosystèmes </w:t>
      </w:r>
      <w:r w:rsidR="00AE76CB">
        <w:rPr>
          <w:rFonts w:ascii="Times New Roman" w:eastAsia="Times New Roman" w:hAnsi="Times New Roman"/>
          <w:sz w:val="24"/>
          <w:szCs w:val="22"/>
          <w:lang w:eastAsia="fr-FR" w:bidi="fr-FR"/>
        </w:rPr>
        <w:t>côtiers</w:t>
      </w:r>
      <w:r w:rsidRPr="00075058">
        <w:rPr>
          <w:rFonts w:ascii="Times New Roman" w:eastAsia="Times New Roman" w:hAnsi="Times New Roman"/>
          <w:sz w:val="24"/>
          <w:szCs w:val="22"/>
          <w:lang w:eastAsia="fr-FR" w:bidi="fr-FR"/>
        </w:rPr>
        <w:t xml:space="preserve"> du Sénégal tel</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que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deltas,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zones </w:t>
      </w:r>
      <w:r w:rsidR="00C24F16">
        <w:rPr>
          <w:rFonts w:ascii="Times New Roman" w:eastAsia="Times New Roman" w:hAnsi="Times New Roman"/>
          <w:sz w:val="24"/>
          <w:szCs w:val="22"/>
          <w:lang w:eastAsia="fr-FR" w:bidi="fr-FR"/>
        </w:rPr>
        <w:t>estuariennes</w:t>
      </w:r>
      <w:r w:rsidR="00C24F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et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écosystèmes </w:t>
      </w:r>
      <w:r w:rsidR="00C24F16">
        <w:rPr>
          <w:rFonts w:ascii="Times New Roman" w:eastAsia="Times New Roman" w:hAnsi="Times New Roman"/>
          <w:sz w:val="24"/>
          <w:szCs w:val="22"/>
          <w:lang w:eastAsia="fr-FR" w:bidi="fr-FR"/>
        </w:rPr>
        <w:t>côtiers</w:t>
      </w:r>
      <w:r w:rsidRPr="00075058">
        <w:rPr>
          <w:rFonts w:ascii="Times New Roman" w:eastAsia="Times New Roman" w:hAnsi="Times New Roman"/>
          <w:sz w:val="24"/>
          <w:szCs w:val="22"/>
          <w:lang w:eastAsia="fr-FR" w:bidi="fr-FR"/>
        </w:rPr>
        <w:t xml:space="preserve"> de</w:t>
      </w:r>
      <w:r w:rsidR="00C24F16">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Niayes</w:t>
      </w:r>
      <w:r w:rsidRPr="00075058">
        <w:rPr>
          <w:rFonts w:ascii="Times New Roman" w:eastAsia="Times New Roman" w:hAnsi="Times New Roman"/>
          <w:noProof/>
          <w:sz w:val="24"/>
          <w:szCs w:val="22"/>
          <w:vertAlign w:val="superscript"/>
          <w:lang w:eastAsia="fr-FR" w:bidi="fr-FR"/>
        </w:rPr>
        <w:footnoteReference w:id="1"/>
      </w:r>
      <w:r w:rsidRPr="00075058">
        <w:rPr>
          <w:rFonts w:ascii="Times New Roman" w:eastAsia="Times New Roman" w:hAnsi="Times New Roman"/>
          <w:sz w:val="24"/>
          <w:szCs w:val="22"/>
          <w:lang w:eastAsia="fr-FR" w:bidi="fr-FR"/>
        </w:rPr>
        <w:t xml:space="preserve">. </w:t>
      </w:r>
    </w:p>
    <w:p w:rsidR="00075058" w:rsidRDefault="00075058" w:rsidP="00075058">
      <w:pPr>
        <w:spacing w:after="0"/>
        <w:rPr>
          <w:rFonts w:ascii="Times New Roman" w:eastAsia="Times New Roman" w:hAnsi="Times New Roman"/>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tbl>
      <w:tblPr>
        <w:tblStyle w:val="Grilledutableau"/>
        <w:tblW w:w="0" w:type="auto"/>
        <w:tblLook w:val="04A0" w:firstRow="1" w:lastRow="0" w:firstColumn="1" w:lastColumn="0" w:noHBand="0" w:noVBand="1"/>
      </w:tblPr>
      <w:tblGrid>
        <w:gridCol w:w="9206"/>
      </w:tblGrid>
      <w:tr w:rsidR="00075058" w:rsidRPr="00075058" w:rsidTr="00075058">
        <w:tc>
          <w:tcPr>
            <w:tcW w:w="9206" w:type="dxa"/>
          </w:tcPr>
          <w:p w:rsidR="00075058" w:rsidRPr="00075058" w:rsidRDefault="00075058" w:rsidP="00075058">
            <w:pPr>
              <w:spacing w:after="0"/>
              <w:ind w:left="720"/>
              <w:rPr>
                <w:rFonts w:ascii="Times New Roman" w:eastAsia="Times New Roman" w:hAnsi="Times New Roman"/>
                <w:noProof/>
                <w:sz w:val="24"/>
                <w:szCs w:val="22"/>
                <w:lang w:bidi="fr-FR"/>
              </w:rPr>
            </w:pPr>
            <w:r w:rsidRPr="00075058">
              <w:rPr>
                <w:rFonts w:ascii="Times New Roman" w:eastAsia="MS Mincho" w:hAnsi="Times New Roman"/>
                <w:noProof/>
                <w:sz w:val="24"/>
                <w:szCs w:val="22"/>
              </w:rPr>
              <w:drawing>
                <wp:anchor distT="0" distB="0" distL="114300" distR="114300" simplePos="0" relativeHeight="251705344" behindDoc="0" locked="0" layoutInCell="1" allowOverlap="1" wp14:anchorId="7198DF66" wp14:editId="10BF418C">
                  <wp:simplePos x="0" y="0"/>
                  <wp:positionH relativeFrom="margin">
                    <wp:posOffset>1600200</wp:posOffset>
                  </wp:positionH>
                  <wp:positionV relativeFrom="margin">
                    <wp:posOffset>25400</wp:posOffset>
                  </wp:positionV>
                  <wp:extent cx="2517775" cy="2517775"/>
                  <wp:effectExtent l="0" t="0" r="0" b="0"/>
                  <wp:wrapSquare wrapText="bothSides"/>
                  <wp:docPr id="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17775" cy="2517775"/>
                          </a:xfrm>
                          <a:prstGeom prst="rect">
                            <a:avLst/>
                          </a:prstGeom>
                          <a:noFill/>
                          <a:ln w="9525">
                            <a:noFill/>
                            <a:miter lim="800000"/>
                            <a:headEnd/>
                            <a:tailEnd/>
                          </a:ln>
                        </pic:spPr>
                      </pic:pic>
                    </a:graphicData>
                  </a:graphic>
                </wp:anchor>
              </w:drawing>
            </w:r>
          </w:p>
          <w:p w:rsidR="00075058" w:rsidRPr="00075058" w:rsidRDefault="00075058" w:rsidP="00075058">
            <w:pPr>
              <w:spacing w:after="0"/>
              <w:rPr>
                <w:rFonts w:ascii="Times New Roman" w:eastAsia="Times New Roman" w:hAnsi="Times New Roman"/>
                <w:noProof/>
                <w:sz w:val="24"/>
                <w:szCs w:val="22"/>
                <w:lang w:bidi="fr-FR"/>
              </w:rPr>
            </w:pPr>
          </w:p>
          <w:p w:rsidR="00075058" w:rsidRPr="00075058" w:rsidRDefault="00075058" w:rsidP="00075058">
            <w:pPr>
              <w:spacing w:after="0"/>
              <w:rPr>
                <w:rFonts w:ascii="Times New Roman" w:eastAsia="Times New Roman" w:hAnsi="Times New Roman"/>
                <w:noProof/>
                <w:sz w:val="24"/>
                <w:szCs w:val="22"/>
                <w:lang w:bidi="fr-FR"/>
              </w:rPr>
            </w:pPr>
          </w:p>
          <w:p w:rsidR="00075058" w:rsidRPr="00075058" w:rsidRDefault="00075058" w:rsidP="00075058">
            <w:pPr>
              <w:spacing w:after="0"/>
              <w:jc w:val="center"/>
              <w:rPr>
                <w:rFonts w:ascii="Times New Roman" w:eastAsia="Times New Roman" w:hAnsi="Times New Roman"/>
                <w:noProof/>
                <w:sz w:val="24"/>
                <w:szCs w:val="22"/>
                <w:lang w:bidi="fr-FR"/>
              </w:rPr>
            </w:pPr>
          </w:p>
        </w:tc>
      </w:tr>
      <w:tr w:rsidR="00075058" w:rsidRPr="00075058" w:rsidTr="009B3C60">
        <w:trPr>
          <w:trHeight w:val="132"/>
        </w:trPr>
        <w:tc>
          <w:tcPr>
            <w:tcW w:w="9206" w:type="dxa"/>
          </w:tcPr>
          <w:p w:rsidR="00075058" w:rsidRPr="00075058" w:rsidRDefault="00075058" w:rsidP="00D17173">
            <w:pPr>
              <w:keepNext/>
              <w:spacing w:after="100"/>
              <w:ind w:left="720"/>
              <w:rPr>
                <w:rFonts w:ascii="Times New Roman" w:eastAsia="MS Mincho" w:hAnsi="Times New Roman"/>
                <w:b/>
                <w:bCs/>
                <w:i/>
                <w:noProof/>
                <w:sz w:val="22"/>
                <w:lang w:bidi="fr-FR"/>
              </w:rPr>
            </w:pPr>
            <w:r w:rsidRPr="00075058">
              <w:rPr>
                <w:rFonts w:ascii="Times New Roman" w:eastAsia="Times New Roman" w:hAnsi="Times New Roman"/>
                <w:b/>
                <w:bCs/>
                <w:i/>
                <w:sz w:val="22"/>
                <w:lang w:bidi="fr-FR"/>
              </w:rPr>
              <w:t>Figure </w:t>
            </w:r>
            <w:r w:rsidR="00DD457B" w:rsidRPr="00075058">
              <w:rPr>
                <w:rFonts w:ascii="Times New Roman" w:eastAsia="Times New Roman" w:hAnsi="Times New Roman"/>
                <w:b/>
                <w:bCs/>
                <w:i/>
                <w:noProof/>
                <w:sz w:val="22"/>
                <w:lang w:bidi="fr-FR"/>
              </w:rPr>
              <w:fldChar w:fldCharType="begin"/>
            </w:r>
            <w:r w:rsidRPr="00075058">
              <w:rPr>
                <w:rFonts w:ascii="Times New Roman" w:eastAsia="Times New Roman" w:hAnsi="Times New Roman"/>
                <w:b/>
                <w:bCs/>
                <w:i/>
                <w:noProof/>
                <w:sz w:val="22"/>
                <w:lang w:bidi="fr-FR"/>
              </w:rPr>
              <w:instrText xml:space="preserve"> SEQ Figure \* ARABIC </w:instrText>
            </w:r>
            <w:r w:rsidR="00DD457B" w:rsidRPr="00075058">
              <w:rPr>
                <w:rFonts w:ascii="Times New Roman" w:eastAsia="Times New Roman" w:hAnsi="Times New Roman"/>
                <w:b/>
                <w:bCs/>
                <w:i/>
                <w:noProof/>
                <w:sz w:val="22"/>
                <w:lang w:bidi="fr-FR"/>
              </w:rPr>
              <w:fldChar w:fldCharType="separate"/>
            </w:r>
            <w:r w:rsidR="009375FA">
              <w:rPr>
                <w:rFonts w:ascii="Times New Roman" w:eastAsia="Times New Roman" w:hAnsi="Times New Roman"/>
                <w:b/>
                <w:bCs/>
                <w:i/>
                <w:noProof/>
                <w:sz w:val="22"/>
                <w:lang w:bidi="fr-FR"/>
              </w:rPr>
              <w:t>1</w:t>
            </w:r>
            <w:r w:rsidR="00DD457B" w:rsidRPr="00075058">
              <w:rPr>
                <w:rFonts w:ascii="Times New Roman" w:eastAsia="Times New Roman" w:hAnsi="Times New Roman"/>
                <w:b/>
                <w:bCs/>
                <w:i/>
                <w:noProof/>
                <w:sz w:val="22"/>
                <w:lang w:bidi="fr-FR"/>
              </w:rPr>
              <w:fldChar w:fldCharType="end"/>
            </w:r>
            <w:r w:rsidR="00384043">
              <w:rPr>
                <w:rFonts w:ascii="Times New Roman" w:eastAsia="Times New Roman" w:hAnsi="Times New Roman"/>
                <w:b/>
                <w:bCs/>
                <w:i/>
                <w:noProof/>
                <w:sz w:val="22"/>
                <w:lang w:bidi="fr-FR"/>
              </w:rPr>
              <w:t> </w:t>
            </w:r>
            <w:r w:rsidRPr="00075058">
              <w:rPr>
                <w:rFonts w:ascii="Times New Roman" w:eastAsia="Times New Roman" w:hAnsi="Times New Roman"/>
                <w:b/>
                <w:bCs/>
                <w:i/>
                <w:sz w:val="22"/>
                <w:lang w:bidi="fr-FR"/>
              </w:rPr>
              <w:t xml:space="preserve">: </w:t>
            </w:r>
            <w:r w:rsidR="00A15BF5">
              <w:rPr>
                <w:rFonts w:ascii="Times New Roman" w:eastAsia="Times New Roman" w:hAnsi="Times New Roman"/>
                <w:b/>
                <w:bCs/>
                <w:i/>
                <w:sz w:val="22"/>
                <w:lang w:bidi="fr-FR"/>
              </w:rPr>
              <w:t>c</w:t>
            </w:r>
            <w:r w:rsidRPr="00075058">
              <w:rPr>
                <w:rFonts w:ascii="Times New Roman" w:eastAsia="Times New Roman" w:hAnsi="Times New Roman"/>
                <w:b/>
                <w:bCs/>
                <w:i/>
                <w:sz w:val="22"/>
                <w:lang w:bidi="fr-FR"/>
              </w:rPr>
              <w:t xml:space="preserve">arte </w:t>
            </w:r>
            <w:r w:rsidR="00D17173">
              <w:rPr>
                <w:rFonts w:ascii="Times New Roman" w:eastAsia="Times New Roman" w:hAnsi="Times New Roman"/>
                <w:b/>
                <w:bCs/>
                <w:i/>
                <w:sz w:val="22"/>
                <w:lang w:bidi="fr-FR"/>
              </w:rPr>
              <w:t xml:space="preserve">des </w:t>
            </w:r>
            <w:r w:rsidR="00D17173" w:rsidRPr="00075058">
              <w:rPr>
                <w:rFonts w:ascii="Times New Roman" w:eastAsia="Times New Roman" w:hAnsi="Times New Roman"/>
                <w:b/>
                <w:bCs/>
                <w:i/>
                <w:sz w:val="22"/>
                <w:lang w:bidi="fr-FR"/>
              </w:rPr>
              <w:t xml:space="preserve">zones écogéographiques </w:t>
            </w:r>
            <w:r w:rsidRPr="00075058">
              <w:rPr>
                <w:rFonts w:ascii="Times New Roman" w:eastAsia="Times New Roman" w:hAnsi="Times New Roman"/>
                <w:b/>
                <w:bCs/>
                <w:i/>
                <w:sz w:val="22"/>
                <w:lang w:bidi="fr-FR"/>
              </w:rPr>
              <w:t xml:space="preserve">du Sénégal </w:t>
            </w:r>
            <w:r w:rsidRPr="00075058">
              <w:rPr>
                <w:rFonts w:ascii="Times New Roman" w:eastAsia="Times New Roman" w:hAnsi="Times New Roman"/>
                <w:b/>
                <w:bCs/>
                <w:i/>
                <w:noProof/>
                <w:sz w:val="22"/>
                <w:vertAlign w:val="superscript"/>
                <w:lang w:bidi="fr-FR"/>
              </w:rPr>
              <w:footnoteReference w:id="2"/>
            </w:r>
          </w:p>
        </w:tc>
      </w:tr>
    </w:tbl>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Les estimations de l'année 2015 de la Banque mondiale pour la population sénégalaise sont de 15,1 millions de personne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avec une estimation de taux de croissance démographique de 3,1 %</w:t>
      </w:r>
      <w:r w:rsidRPr="00075058">
        <w:rPr>
          <w:rFonts w:ascii="Times New Roman" w:eastAsia="Times New Roman" w:hAnsi="Times New Roman"/>
          <w:noProof/>
          <w:sz w:val="24"/>
          <w:szCs w:val="22"/>
          <w:vertAlign w:val="superscript"/>
          <w:lang w:eastAsia="fr-FR" w:bidi="fr-FR"/>
        </w:rPr>
        <w:footnoteReference w:id="3"/>
      </w:r>
      <w:r w:rsidRPr="00075058">
        <w:rPr>
          <w:rFonts w:ascii="Times New Roman" w:eastAsia="Times New Roman" w:hAnsi="Times New Roman"/>
          <w:sz w:val="24"/>
          <w:szCs w:val="22"/>
          <w:lang w:eastAsia="fr-FR" w:bidi="fr-FR"/>
        </w:rPr>
        <w:t xml:space="preserve">. Environ 40 % de la population sénégalaise est urbaine (plus de deux millions de personnes vivent à Dakar et plus de 4,3 millions de personnes vivent à Grand Dakar), avec des estimations de taux de croissance annuel d'urbanisation de 3,8 %. Même si une grande partie de la population est rurale et dépend fortement de l'agriculture, du pastoralisme, de la foresterie et de la pêche, les faibles revenus et opportunités conduisent à un important exode rural (touchant particulièrement la population jeune) et à une émigration </w:t>
      </w:r>
      <w:r w:rsidR="005152B7">
        <w:rPr>
          <w:rFonts w:ascii="Times New Roman" w:eastAsia="Times New Roman" w:hAnsi="Times New Roman"/>
          <w:sz w:val="24"/>
          <w:szCs w:val="22"/>
          <w:lang w:eastAsia="fr-FR" w:bidi="fr-FR"/>
        </w:rPr>
        <w:t xml:space="preserve">illégale </w:t>
      </w:r>
      <w:r w:rsidRPr="00075058">
        <w:rPr>
          <w:rFonts w:ascii="Times New Roman" w:eastAsia="Times New Roman" w:hAnsi="Times New Roman"/>
          <w:sz w:val="24"/>
          <w:szCs w:val="22"/>
          <w:lang w:eastAsia="fr-FR" w:bidi="fr-FR"/>
        </w:rPr>
        <w:t>vers l'Europe pour rechercher un emploi. En 2015, le PIB par habitant est de 910,8</w:t>
      </w:r>
      <w:r w:rsidR="003B7D35">
        <w:rPr>
          <w:rFonts w:ascii="Times New Roman" w:eastAsia="Times New Roman" w:hAnsi="Times New Roman"/>
          <w:sz w:val="24"/>
          <w:szCs w:val="22"/>
          <w:lang w:eastAsia="fr-FR" w:bidi="fr-FR"/>
        </w:rPr>
        <w:t> USD</w:t>
      </w:r>
      <w:r w:rsidRPr="00075058">
        <w:rPr>
          <w:rFonts w:ascii="Times New Roman" w:eastAsia="Times New Roman" w:hAnsi="Times New Roman"/>
          <w:sz w:val="24"/>
          <w:szCs w:val="22"/>
          <w:lang w:eastAsia="fr-FR" w:bidi="fr-FR"/>
        </w:rPr>
        <w:t xml:space="preserve"> et l'indice de développement humain (IDH), qui donne une évaluation plus large du développement, y compris des mesures relatives à l'espérance de vie, à l'éducation et au niveau de vie, est de 0,466 (ce qui place le Sénégal à la 154e place sur les 182 pays analysés)</w:t>
      </w:r>
      <w:r w:rsidRPr="00075058">
        <w:rPr>
          <w:rFonts w:ascii="Times New Roman" w:eastAsia="Times New Roman" w:hAnsi="Times New Roman"/>
          <w:noProof/>
          <w:sz w:val="24"/>
          <w:szCs w:val="22"/>
          <w:vertAlign w:val="superscript"/>
          <w:lang w:eastAsia="fr-FR" w:bidi="fr-FR"/>
        </w:rPr>
        <w:footnoteReference w:id="4"/>
      </w:r>
      <w:r w:rsidRPr="00075058">
        <w:rPr>
          <w:rFonts w:ascii="Times New Roman" w:eastAsia="Times New Roman" w:hAnsi="Times New Roman"/>
          <w:sz w:val="24"/>
          <w:szCs w:val="22"/>
          <w:lang w:eastAsia="fr-FR" w:bidi="fr-FR"/>
        </w:rPr>
        <w:t>. Entre 1990 et 2014, l'IDH a augmenté chaque année de 1,00 %</w:t>
      </w:r>
      <w:r w:rsidRPr="00075058">
        <w:rPr>
          <w:rFonts w:ascii="Times New Roman" w:eastAsia="Times New Roman" w:hAnsi="Times New Roman"/>
          <w:noProof/>
          <w:sz w:val="24"/>
          <w:szCs w:val="22"/>
          <w:vertAlign w:val="superscript"/>
          <w:lang w:eastAsia="fr-FR" w:bidi="fr-FR"/>
        </w:rPr>
        <w:footnoteReference w:id="5"/>
      </w:r>
      <w:r w:rsidRPr="00075058">
        <w:rPr>
          <w:rFonts w:ascii="Times New Roman" w:eastAsia="Times New Roman" w:hAnsi="Times New Roman"/>
          <w:sz w:val="24"/>
          <w:szCs w:val="22"/>
          <w:lang w:eastAsia="fr-FR" w:bidi="fr-FR"/>
        </w:rPr>
        <w:t>. Les exportations principales sont le pétrole raffiné (347</w:t>
      </w:r>
      <w:r w:rsidR="003B7D35">
        <w:rPr>
          <w:rFonts w:ascii="Times New Roman" w:eastAsia="Times New Roman" w:hAnsi="Times New Roman"/>
          <w:sz w:val="24"/>
          <w:szCs w:val="22"/>
          <w:lang w:eastAsia="fr-FR" w:bidi="fr-FR"/>
        </w:rPr>
        <w:t xml:space="preserve"> millions USD), </w:t>
      </w:r>
      <w:r w:rsidR="005152B7">
        <w:rPr>
          <w:rFonts w:ascii="Times New Roman" w:eastAsia="Times New Roman" w:hAnsi="Times New Roman"/>
          <w:sz w:val="24"/>
          <w:szCs w:val="22"/>
          <w:lang w:eastAsia="fr-FR" w:bidi="fr-FR"/>
        </w:rPr>
        <w:t xml:space="preserve">l’or (246 millions USD), </w:t>
      </w:r>
      <w:r w:rsidR="003B7D35">
        <w:rPr>
          <w:rFonts w:ascii="Times New Roman" w:eastAsia="Times New Roman" w:hAnsi="Times New Roman"/>
          <w:sz w:val="24"/>
          <w:szCs w:val="22"/>
          <w:lang w:eastAsia="fr-FR" w:bidi="fr-FR"/>
        </w:rPr>
        <w:t>le ciment (174 </w:t>
      </w:r>
      <w:r w:rsidRPr="00075058">
        <w:rPr>
          <w:rFonts w:ascii="Times New Roman" w:eastAsia="Times New Roman" w:hAnsi="Times New Roman"/>
          <w:sz w:val="24"/>
          <w:szCs w:val="22"/>
          <w:lang w:eastAsia="fr-FR" w:bidi="fr-FR"/>
        </w:rPr>
        <w:t>m</w:t>
      </w:r>
      <w:r w:rsidR="003B7D35">
        <w:rPr>
          <w:rFonts w:ascii="Times New Roman" w:eastAsia="Times New Roman" w:hAnsi="Times New Roman"/>
          <w:sz w:val="24"/>
          <w:szCs w:val="22"/>
          <w:lang w:eastAsia="fr-FR" w:bidi="fr-FR"/>
        </w:rPr>
        <w:t>illions USD), le phosphate (160 </w:t>
      </w:r>
      <w:r w:rsidRPr="00075058">
        <w:rPr>
          <w:rFonts w:ascii="Times New Roman" w:eastAsia="Times New Roman" w:hAnsi="Times New Roman"/>
          <w:sz w:val="24"/>
          <w:szCs w:val="22"/>
          <w:lang w:eastAsia="fr-FR" w:bidi="fr-FR"/>
        </w:rPr>
        <w:t>m</w:t>
      </w:r>
      <w:r w:rsidR="003B7D35">
        <w:rPr>
          <w:rFonts w:ascii="Times New Roman" w:eastAsia="Times New Roman" w:hAnsi="Times New Roman"/>
          <w:sz w:val="24"/>
          <w:szCs w:val="22"/>
          <w:lang w:eastAsia="fr-FR" w:bidi="fr-FR"/>
        </w:rPr>
        <w:t>illions USD) et le poisson (134 </w:t>
      </w:r>
      <w:r w:rsidRPr="00075058">
        <w:rPr>
          <w:rFonts w:ascii="Times New Roman" w:eastAsia="Times New Roman" w:hAnsi="Times New Roman"/>
          <w:sz w:val="24"/>
          <w:szCs w:val="22"/>
          <w:lang w:eastAsia="fr-FR" w:bidi="fr-FR"/>
        </w:rPr>
        <w:t>millions USD). Malgré une démocratie très stable, des écosystèmes variés, des ressources naturelles riches et des exportations notables, la pauvreté est généralisée (le taux de pauvreté du Sénégal est de 46,7 </w:t>
      </w:r>
      <w:r w:rsidR="008712CB">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avec un seuil de pauvreté de 1,25 $ par jour</w:t>
      </w:r>
      <w:r w:rsidRPr="00075058">
        <w:rPr>
          <w:rFonts w:ascii="Times New Roman" w:eastAsia="Times New Roman" w:hAnsi="Times New Roman"/>
          <w:noProof/>
          <w:sz w:val="24"/>
          <w:szCs w:val="22"/>
          <w:vertAlign w:val="superscript"/>
          <w:lang w:eastAsia="fr-FR" w:bidi="fr-FR"/>
        </w:rPr>
        <w:footnoteReference w:id="6"/>
      </w:r>
      <w:r w:rsidRPr="00075058">
        <w:rPr>
          <w:rFonts w:ascii="Times New Roman" w:eastAsia="Times New Roman" w:hAnsi="Times New Roman"/>
          <w:sz w:val="24"/>
          <w:szCs w:val="22"/>
          <w:lang w:eastAsia="fr-FR" w:bidi="fr-FR"/>
        </w:rPr>
        <w:t>) et le pays continue de dépendre f</w:t>
      </w:r>
      <w:r w:rsidR="005E48EE">
        <w:rPr>
          <w:rFonts w:ascii="Times New Roman" w:eastAsia="Times New Roman" w:hAnsi="Times New Roman"/>
          <w:sz w:val="24"/>
          <w:szCs w:val="22"/>
          <w:lang w:eastAsia="fr-FR" w:bidi="fr-FR"/>
        </w:rPr>
        <w:t>ortement des aides extérieures.</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ind w:left="720"/>
        <w:rPr>
          <w:rFonts w:ascii="Times New Roman" w:eastAsia="Times New Roman" w:hAnsi="Times New Roman"/>
          <w:noProof/>
          <w:sz w:val="24"/>
          <w:szCs w:val="22"/>
          <w:lang w:eastAsia="fr-FR" w:bidi="fr-FR"/>
        </w:rPr>
      </w:pPr>
      <w:r w:rsidRPr="00075058">
        <w:rPr>
          <w:rFonts w:ascii="Times New Roman" w:eastAsia="Times New Roman" w:hAnsi="Times New Roman"/>
          <w:b/>
          <w:sz w:val="24"/>
          <w:szCs w:val="22"/>
          <w:lang w:eastAsia="fr-FR" w:bidi="fr-FR"/>
        </w:rPr>
        <w:t>Le</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changement</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climatique</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observé</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et les tendances futures</w:t>
      </w:r>
    </w:p>
    <w:p w:rsidR="00075058" w:rsidRPr="00075058" w:rsidRDefault="00075058" w:rsidP="00075058">
      <w:pPr>
        <w:spacing w:after="0"/>
        <w:rPr>
          <w:rFonts w:ascii="Times New Roman" w:eastAsia="Times New Roman" w:hAnsi="Times New Roman"/>
          <w:noProof/>
          <w:sz w:val="24"/>
          <w:lang w:eastAsia="fr-FR" w:bidi="fr-FR"/>
        </w:rPr>
      </w:pPr>
    </w:p>
    <w:p w:rsidR="00072C1A" w:rsidRPr="00075058" w:rsidRDefault="00075058" w:rsidP="00072C1A">
      <w:pPr>
        <w:numPr>
          <w:ilvl w:val="0"/>
          <w:numId w:val="96"/>
        </w:numPr>
        <w:spacing w:after="0"/>
        <w:ind w:left="0" w:firstLine="0"/>
        <w:rPr>
          <w:rFonts w:ascii="Times New Roman" w:eastAsia="Times New Roman" w:hAnsi="Times New Roman"/>
          <w:sz w:val="24"/>
          <w:szCs w:val="22"/>
          <w:lang w:eastAsia="fr-FR" w:bidi="fr-FR"/>
        </w:rPr>
      </w:pPr>
      <w:r w:rsidRPr="00075058">
        <w:rPr>
          <w:rFonts w:ascii="Times New Roman" w:eastAsia="Times New Roman" w:hAnsi="Times New Roman"/>
          <w:sz w:val="24"/>
          <w:szCs w:val="22"/>
          <w:lang w:eastAsia="fr-FR" w:bidi="fr-FR"/>
        </w:rPr>
        <w:t xml:space="preserve">Les indicateurs principaux relatifs </w:t>
      </w:r>
      <w:r w:rsidR="00A72504" w:rsidRPr="00075058">
        <w:rPr>
          <w:rFonts w:ascii="Times New Roman" w:eastAsia="Times New Roman" w:hAnsi="Times New Roman"/>
          <w:sz w:val="24"/>
          <w:szCs w:val="22"/>
          <w:lang w:eastAsia="fr-FR" w:bidi="fr-FR"/>
        </w:rPr>
        <w:t>aux conséquences</w:t>
      </w:r>
      <w:r w:rsidRPr="00075058">
        <w:rPr>
          <w:rFonts w:ascii="Times New Roman" w:eastAsia="Times New Roman" w:hAnsi="Times New Roman"/>
          <w:sz w:val="24"/>
          <w:szCs w:val="22"/>
          <w:lang w:eastAsia="fr-FR" w:bidi="fr-FR"/>
        </w:rPr>
        <w:t xml:space="preserve"> du changement climatique sur le Sénégal sont les changements de cycles de précipitation, l'augmentation de la température et l'élévation du niveau de la mer. Concernant les </w:t>
      </w:r>
      <w:r w:rsidR="00332C08">
        <w:rPr>
          <w:rFonts w:ascii="Times New Roman" w:eastAsia="Times New Roman" w:hAnsi="Times New Roman"/>
          <w:sz w:val="24"/>
          <w:szCs w:val="22"/>
          <w:lang w:eastAsia="fr-FR" w:bidi="fr-FR"/>
        </w:rPr>
        <w:t>précipitations</w:t>
      </w:r>
      <w:r w:rsidRPr="00075058">
        <w:rPr>
          <w:rFonts w:ascii="Times New Roman" w:eastAsia="Times New Roman" w:hAnsi="Times New Roman"/>
          <w:sz w:val="24"/>
          <w:szCs w:val="22"/>
          <w:lang w:eastAsia="fr-FR" w:bidi="fr-FR"/>
        </w:rPr>
        <w:t>, la durée de la saison des pluies s'est réduite et les isohyètes se sont déplacées vers le Sud (</w:t>
      </w:r>
      <w:r w:rsidR="00072C1A">
        <w:rPr>
          <w:rFonts w:ascii="Times New Roman" w:eastAsia="Times New Roman" w:hAnsi="Times New Roman"/>
          <w:sz w:val="24"/>
          <w:szCs w:val="22"/>
          <w:lang w:eastAsia="fr-FR" w:bidi="fr-FR"/>
        </w:rPr>
        <w:t>Figure 2).</w:t>
      </w:r>
    </w:p>
    <w:p w:rsidR="00075058" w:rsidRPr="00075058" w:rsidRDefault="00075058" w:rsidP="00075058">
      <w:pPr>
        <w:numPr>
          <w:ilvl w:val="0"/>
          <w:numId w:val="96"/>
        </w:numPr>
        <w:spacing w:after="0"/>
        <w:ind w:left="0" w:firstLine="0"/>
        <w:rPr>
          <w:rFonts w:ascii="Times New Roman" w:eastAsia="Times New Roman" w:hAnsi="Times New Roman"/>
          <w:sz w:val="24"/>
          <w:szCs w:val="22"/>
          <w:lang w:eastAsia="fr-FR" w:bidi="fr-FR"/>
        </w:rPr>
      </w:pPr>
      <w:r w:rsidRPr="00075058">
        <w:rPr>
          <w:rFonts w:ascii="Times New Roman" w:eastAsia="Times New Roman" w:hAnsi="Times New Roman"/>
          <w:sz w:val="24"/>
          <w:szCs w:val="22"/>
          <w:lang w:eastAsia="fr-FR" w:bidi="fr-FR"/>
        </w:rPr>
        <w:t xml:space="preserve"> Une baisse générale a été observée sur les 70 dernières années (</w:t>
      </w:r>
      <w:r w:rsidR="00990A25">
        <w:fldChar w:fldCharType="begin"/>
      </w:r>
      <w:r w:rsidR="00990A25">
        <w:instrText xml:space="preserve"> REF _Ref338508408 \h  \* MERGEFORMAT </w:instrText>
      </w:r>
      <w:r w:rsidR="00990A25">
        <w:fldChar w:fldCharType="separate"/>
      </w:r>
      <w:r w:rsidR="009375FA" w:rsidRPr="009375FA">
        <w:rPr>
          <w:rFonts w:ascii="Times New Roman" w:eastAsia="Times New Roman" w:hAnsi="Times New Roman"/>
          <w:sz w:val="24"/>
          <w:szCs w:val="22"/>
          <w:lang w:eastAsia="fr-FR" w:bidi="fr-FR"/>
        </w:rPr>
        <w:t>Figure 3</w:t>
      </w:r>
      <w:r w:rsidR="00990A25">
        <w:fldChar w:fldCharType="end"/>
      </w:r>
      <w:r w:rsidRPr="00075058">
        <w:rPr>
          <w:rFonts w:ascii="Times New Roman" w:eastAsia="Times New Roman" w:hAnsi="Times New Roman"/>
          <w:sz w:val="24"/>
          <w:szCs w:val="22"/>
          <w:lang w:eastAsia="fr-FR" w:bidi="fr-FR"/>
        </w:rPr>
        <w:t xml:space="preserve">). </w:t>
      </w:r>
      <w:r w:rsidR="00C50A2D">
        <w:rPr>
          <w:rFonts w:ascii="Times New Roman" w:eastAsia="Times New Roman" w:hAnsi="Times New Roman"/>
          <w:sz w:val="24"/>
          <w:szCs w:val="22"/>
          <w:lang w:eastAsia="fr-FR" w:bidi="fr-FR"/>
        </w:rPr>
        <w:t>Par rapport</w:t>
      </w:r>
      <w:r w:rsidRPr="00075058">
        <w:rPr>
          <w:rFonts w:ascii="Times New Roman" w:eastAsia="Times New Roman" w:hAnsi="Times New Roman"/>
          <w:sz w:val="24"/>
          <w:szCs w:val="22"/>
          <w:lang w:eastAsia="fr-FR" w:bidi="fr-FR"/>
        </w:rPr>
        <w:t xml:space="preserve"> au climat </w:t>
      </w:r>
      <w:r w:rsidR="00332C08">
        <w:rPr>
          <w:rFonts w:ascii="Times New Roman" w:eastAsia="Times New Roman" w:hAnsi="Times New Roman"/>
          <w:sz w:val="24"/>
          <w:szCs w:val="22"/>
          <w:lang w:eastAsia="fr-FR" w:bidi="fr-FR"/>
        </w:rPr>
        <w:t>actuel</w:t>
      </w:r>
      <w:r w:rsidRPr="00075058">
        <w:rPr>
          <w:rFonts w:ascii="Times New Roman" w:eastAsia="Times New Roman" w:hAnsi="Times New Roman"/>
          <w:sz w:val="24"/>
          <w:szCs w:val="22"/>
          <w:lang w:eastAsia="fr-FR" w:bidi="fr-FR"/>
        </w:rPr>
        <w:t xml:space="preserve">, les </w:t>
      </w:r>
      <w:r w:rsidR="00A72504" w:rsidRPr="00075058">
        <w:rPr>
          <w:rFonts w:ascii="Times New Roman" w:eastAsia="Times New Roman" w:hAnsi="Times New Roman"/>
          <w:sz w:val="24"/>
          <w:szCs w:val="22"/>
          <w:lang w:eastAsia="fr-FR" w:bidi="fr-FR"/>
        </w:rPr>
        <w:t>précipitations</w:t>
      </w:r>
      <w:r w:rsidRPr="00075058">
        <w:rPr>
          <w:rFonts w:ascii="Times New Roman" w:eastAsia="Times New Roman" w:hAnsi="Times New Roman"/>
          <w:sz w:val="24"/>
          <w:szCs w:val="22"/>
          <w:lang w:eastAsia="fr-FR" w:bidi="fr-FR"/>
        </w:rPr>
        <w:t xml:space="preserve"> auront tendance à diminuer en Afrique de l'Ouest pour la période 2031-2050 : -0,5 mm/jour pour la côte Ouest, et jusqu'à -2,5 mm/jour pour la partie Nord du Sénégal</w:t>
      </w:r>
      <w:r w:rsidRPr="00075058">
        <w:rPr>
          <w:rFonts w:ascii="Times New Roman" w:eastAsia="Times New Roman" w:hAnsi="Times New Roman"/>
          <w:sz w:val="24"/>
          <w:szCs w:val="22"/>
          <w:vertAlign w:val="superscript"/>
          <w:lang w:eastAsia="fr-FR" w:bidi="fr-FR"/>
        </w:rPr>
        <w:footnoteReference w:id="7"/>
      </w:r>
      <w:r w:rsidRPr="00075058">
        <w:rPr>
          <w:rFonts w:ascii="Times New Roman" w:eastAsia="Times New Roman" w:hAnsi="Times New Roman"/>
          <w:sz w:val="24"/>
          <w:szCs w:val="22"/>
          <w:lang w:eastAsia="fr-FR" w:bidi="fr-FR"/>
        </w:rPr>
        <w:t xml:space="preserve">. Les événements climatiques extrêmes, </w:t>
      </w:r>
      <w:r w:rsidR="00A72504" w:rsidRPr="00075058">
        <w:rPr>
          <w:rFonts w:ascii="Times New Roman" w:eastAsia="Times New Roman" w:hAnsi="Times New Roman"/>
          <w:sz w:val="24"/>
          <w:szCs w:val="22"/>
          <w:lang w:eastAsia="fr-FR" w:bidi="fr-FR"/>
        </w:rPr>
        <w:t xml:space="preserve">les </w:t>
      </w:r>
      <w:r w:rsidR="00A72504">
        <w:rPr>
          <w:rFonts w:ascii="Times New Roman" w:eastAsia="Times New Roman" w:hAnsi="Times New Roman"/>
          <w:sz w:val="24"/>
          <w:szCs w:val="22"/>
          <w:lang w:eastAsia="fr-FR" w:bidi="fr-FR"/>
        </w:rPr>
        <w:t xml:space="preserve">périodes de </w:t>
      </w:r>
      <w:r w:rsidR="00A72504" w:rsidRPr="00075058">
        <w:rPr>
          <w:rFonts w:ascii="Times New Roman" w:eastAsia="Times New Roman" w:hAnsi="Times New Roman"/>
          <w:sz w:val="24"/>
          <w:szCs w:val="22"/>
          <w:lang w:eastAsia="fr-FR" w:bidi="fr-FR"/>
        </w:rPr>
        <w:t>sécheresse</w:t>
      </w:r>
      <w:r w:rsidRPr="00075058">
        <w:rPr>
          <w:rFonts w:ascii="Times New Roman" w:eastAsia="Times New Roman" w:hAnsi="Times New Roman"/>
          <w:sz w:val="24"/>
          <w:szCs w:val="22"/>
          <w:lang w:eastAsia="fr-FR" w:bidi="fr-FR"/>
        </w:rPr>
        <w:t xml:space="preserve"> et les inondations </w:t>
      </w:r>
      <w:r w:rsidR="00332C08">
        <w:rPr>
          <w:rFonts w:ascii="Times New Roman" w:eastAsia="Times New Roman" w:hAnsi="Times New Roman"/>
          <w:sz w:val="24"/>
          <w:szCs w:val="22"/>
          <w:lang w:eastAsia="fr-FR" w:bidi="fr-FR"/>
        </w:rPr>
        <w:t>auront</w:t>
      </w:r>
      <w:r w:rsidR="00332C0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plus </w:t>
      </w:r>
      <w:r w:rsidR="00332C08">
        <w:rPr>
          <w:rFonts w:ascii="Times New Roman" w:eastAsia="Times New Roman" w:hAnsi="Times New Roman"/>
          <w:sz w:val="24"/>
          <w:szCs w:val="22"/>
          <w:lang w:eastAsia="fr-FR" w:bidi="fr-FR"/>
        </w:rPr>
        <w:t>de probabilité</w:t>
      </w:r>
      <w:r w:rsidR="00332C0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se produire.</w:t>
      </w:r>
    </w:p>
    <w:p w:rsidR="00075058" w:rsidRPr="00075058" w:rsidRDefault="00075058" w:rsidP="00075058">
      <w:pPr>
        <w:spacing w:after="0"/>
        <w:rPr>
          <w:rFonts w:ascii="Times New Roman" w:eastAsia="Times New Roman" w:hAnsi="Times New Roman"/>
          <w:sz w:val="24"/>
          <w:szCs w:val="22"/>
          <w:lang w:eastAsia="fr-FR" w:bidi="fr-FR"/>
        </w:rPr>
      </w:pPr>
    </w:p>
    <w:p w:rsidR="00075058" w:rsidRPr="00075058" w:rsidRDefault="00075058" w:rsidP="00FB2FBE">
      <w:pPr>
        <w:spacing w:after="0"/>
        <w:jc w:val="center"/>
        <w:rPr>
          <w:rFonts w:ascii="Times New Roman" w:eastAsia="Times New Roman" w:hAnsi="Times New Roman"/>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14424425" wp14:editId="4D3D0054">
            <wp:extent cx="4024630" cy="2853108"/>
            <wp:effectExtent l="0" t="0" r="0" b="0"/>
            <wp:docPr id="11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26298" cy="285429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arto="http://schemas.microsoft.com/office/word/2006/arto"/>
                      </a:ext>
                    </a:extLst>
                  </pic:spPr>
                </pic:pic>
              </a:graphicData>
            </a:graphic>
          </wp:inline>
        </w:drawing>
      </w:r>
    </w:p>
    <w:p w:rsidR="00075058" w:rsidRPr="00075058" w:rsidRDefault="00075058" w:rsidP="00075058">
      <w:pPr>
        <w:keepNext/>
        <w:spacing w:after="100"/>
        <w:jc w:val="center"/>
        <w:rPr>
          <w:rFonts w:ascii="Times New Roman" w:eastAsia="Times New Roman" w:hAnsi="Times New Roman"/>
          <w:b/>
          <w:bCs/>
          <w:i/>
          <w:sz w:val="22"/>
          <w:lang w:eastAsia="fr-FR" w:bidi="fr-FR"/>
        </w:rPr>
      </w:pPr>
      <w:bookmarkStart w:id="6" w:name="_Ref338508380"/>
    </w:p>
    <w:p w:rsidR="00075058" w:rsidRPr="00075058" w:rsidRDefault="00075058" w:rsidP="00FB2FBE">
      <w:pPr>
        <w:keepNext/>
        <w:spacing w:after="100"/>
        <w:ind w:left="720"/>
        <w:rPr>
          <w:rFonts w:ascii="Times New Roman" w:eastAsia="Times New Roman" w:hAnsi="Times New Roman"/>
          <w:b/>
          <w:bCs/>
          <w:i/>
          <w:sz w:val="22"/>
          <w:lang w:eastAsia="fr-FR" w:bidi="fr-FR"/>
        </w:rPr>
      </w:pPr>
      <w:r w:rsidRPr="00075058">
        <w:rPr>
          <w:rFonts w:ascii="Times New Roman" w:eastAsia="Times New Roman" w:hAnsi="Times New Roman"/>
          <w:b/>
          <w:bCs/>
          <w:i/>
          <w:sz w:val="22"/>
          <w:lang w:eastAsia="fr-FR" w:bidi="fr-FR"/>
        </w:rPr>
        <w:t>Figure </w:t>
      </w:r>
      <w:r w:rsidR="00DD457B" w:rsidRPr="00075058">
        <w:rPr>
          <w:rFonts w:ascii="Times New Roman" w:eastAsia="Times New Roman" w:hAnsi="Times New Roman"/>
          <w:b/>
          <w:bCs/>
          <w:i/>
          <w:sz w:val="22"/>
          <w:lang w:eastAsia="fr-FR" w:bidi="fr-FR"/>
        </w:rPr>
        <w:fldChar w:fldCharType="begin"/>
      </w:r>
      <w:r w:rsidRPr="00075058">
        <w:rPr>
          <w:rFonts w:ascii="Times New Roman" w:eastAsia="Times New Roman" w:hAnsi="Times New Roman"/>
          <w:b/>
          <w:bCs/>
          <w:i/>
          <w:sz w:val="22"/>
          <w:lang w:eastAsia="fr-FR" w:bidi="fr-FR"/>
        </w:rPr>
        <w:instrText xml:space="preserve"> SEQ Figure \* ARABIC </w:instrText>
      </w:r>
      <w:r w:rsidR="00DD457B" w:rsidRPr="00075058">
        <w:rPr>
          <w:rFonts w:ascii="Times New Roman" w:eastAsia="Times New Roman" w:hAnsi="Times New Roman"/>
          <w:b/>
          <w:bCs/>
          <w:i/>
          <w:sz w:val="22"/>
          <w:lang w:eastAsia="fr-FR" w:bidi="fr-FR"/>
        </w:rPr>
        <w:fldChar w:fldCharType="separate"/>
      </w:r>
      <w:r w:rsidR="009375FA">
        <w:rPr>
          <w:rFonts w:ascii="Times New Roman" w:eastAsia="Times New Roman" w:hAnsi="Times New Roman"/>
          <w:b/>
          <w:bCs/>
          <w:i/>
          <w:noProof/>
          <w:sz w:val="22"/>
          <w:lang w:eastAsia="fr-FR" w:bidi="fr-FR"/>
        </w:rPr>
        <w:t>2</w:t>
      </w:r>
      <w:r w:rsidR="00DD457B" w:rsidRPr="00075058">
        <w:rPr>
          <w:rFonts w:ascii="Times New Roman" w:eastAsia="Times New Roman" w:hAnsi="Times New Roman"/>
          <w:b/>
          <w:bCs/>
          <w:i/>
          <w:sz w:val="22"/>
          <w:lang w:eastAsia="fr-FR" w:bidi="fr-FR"/>
        </w:rPr>
        <w:fldChar w:fldCharType="end"/>
      </w:r>
      <w:bookmarkEnd w:id="6"/>
      <w:r w:rsidR="00384043">
        <w:rPr>
          <w:rFonts w:ascii="Times New Roman" w:eastAsia="Times New Roman" w:hAnsi="Times New Roman"/>
          <w:b/>
          <w:bCs/>
          <w:i/>
          <w:sz w:val="22"/>
          <w:lang w:eastAsia="fr-FR" w:bidi="fr-FR"/>
        </w:rPr>
        <w:t> : C</w:t>
      </w:r>
      <w:r w:rsidRPr="00075058">
        <w:rPr>
          <w:rFonts w:ascii="Times New Roman" w:eastAsia="Times New Roman" w:hAnsi="Times New Roman"/>
          <w:b/>
          <w:bCs/>
          <w:i/>
          <w:sz w:val="22"/>
          <w:lang w:eastAsia="fr-FR" w:bidi="fr-FR"/>
        </w:rPr>
        <w:t>hangement des cycles de précipitation au Sénégal pa</w:t>
      </w:r>
      <w:r w:rsidR="00B53BD8">
        <w:rPr>
          <w:rFonts w:ascii="Times New Roman" w:eastAsia="Times New Roman" w:hAnsi="Times New Roman"/>
          <w:b/>
          <w:bCs/>
          <w:i/>
          <w:sz w:val="22"/>
          <w:lang w:eastAsia="fr-FR" w:bidi="fr-FR"/>
        </w:rPr>
        <w:t>r décennie (source : Centre de suivi é</w:t>
      </w:r>
      <w:r w:rsidRPr="00075058">
        <w:rPr>
          <w:rFonts w:ascii="Times New Roman" w:eastAsia="Times New Roman" w:hAnsi="Times New Roman"/>
          <w:b/>
          <w:bCs/>
          <w:i/>
          <w:sz w:val="22"/>
          <w:lang w:eastAsia="fr-FR" w:bidi="fr-FR"/>
        </w:rPr>
        <w:t>cologique)</w:t>
      </w:r>
    </w:p>
    <w:p w:rsidR="00075058" w:rsidRPr="00075058" w:rsidRDefault="00075058" w:rsidP="00075058">
      <w:pPr>
        <w:rPr>
          <w:lang w:eastAsia="fr-FR" w:bidi="fr-FR"/>
        </w:rPr>
      </w:pPr>
    </w:p>
    <w:p w:rsidR="00075058" w:rsidRPr="00075058" w:rsidRDefault="00075058" w:rsidP="00FB2FBE">
      <w:pPr>
        <w:keepNext/>
        <w:ind w:left="720"/>
        <w:jc w:val="center"/>
        <w:rPr>
          <w:lang w:eastAsia="fr-FR" w:bidi="fr-FR"/>
        </w:rPr>
      </w:pPr>
      <w:r w:rsidRPr="00075058">
        <w:rPr>
          <w:b/>
          <w:noProof/>
          <w:lang w:eastAsia="fr-FR"/>
        </w:rPr>
        <w:drawing>
          <wp:inline distT="0" distB="0" distL="0" distR="0" wp14:anchorId="38427BE5" wp14:editId="6997D0D0">
            <wp:extent cx="4499170" cy="2272058"/>
            <wp:effectExtent l="0" t="0" r="0" b="0"/>
            <wp:docPr id="11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499170" cy="2272058"/>
                    </a:xfrm>
                    <a:prstGeom prst="rect">
                      <a:avLst/>
                    </a:prstGeom>
                    <a:noFill/>
                    <a:ln>
                      <a:noFill/>
                    </a:ln>
                  </pic:spPr>
                </pic:pic>
              </a:graphicData>
            </a:graphic>
          </wp:inline>
        </w:drawing>
      </w:r>
    </w:p>
    <w:p w:rsidR="00075058" w:rsidRPr="00075058" w:rsidRDefault="00075058" w:rsidP="00FB2FBE">
      <w:pPr>
        <w:keepNext/>
        <w:spacing w:after="100"/>
        <w:ind w:left="720"/>
        <w:rPr>
          <w:rFonts w:ascii="Times New Roman" w:eastAsia="Times New Roman" w:hAnsi="Times New Roman"/>
          <w:bCs/>
          <w:i/>
          <w:sz w:val="22"/>
          <w:lang w:eastAsia="fr-FR" w:bidi="fr-FR"/>
        </w:rPr>
      </w:pPr>
      <w:bookmarkStart w:id="7" w:name="_Ref338508408"/>
      <w:r w:rsidRPr="00075058">
        <w:rPr>
          <w:rFonts w:ascii="Times New Roman" w:eastAsia="Times New Roman" w:hAnsi="Times New Roman"/>
          <w:b/>
          <w:bCs/>
          <w:i/>
          <w:sz w:val="22"/>
          <w:lang w:eastAsia="fr-FR" w:bidi="fr-FR"/>
        </w:rPr>
        <w:t>Figure </w:t>
      </w:r>
      <w:r w:rsidR="00DD457B" w:rsidRPr="00075058">
        <w:rPr>
          <w:rFonts w:ascii="Times New Roman" w:eastAsia="Times New Roman" w:hAnsi="Times New Roman"/>
          <w:b/>
          <w:bCs/>
          <w:i/>
          <w:sz w:val="22"/>
          <w:lang w:eastAsia="fr-FR" w:bidi="fr-FR"/>
        </w:rPr>
        <w:fldChar w:fldCharType="begin"/>
      </w:r>
      <w:r w:rsidRPr="00075058">
        <w:rPr>
          <w:rFonts w:ascii="Times New Roman" w:eastAsia="Times New Roman" w:hAnsi="Times New Roman"/>
          <w:b/>
          <w:bCs/>
          <w:i/>
          <w:sz w:val="22"/>
          <w:lang w:eastAsia="fr-FR" w:bidi="fr-FR"/>
        </w:rPr>
        <w:instrText xml:space="preserve"> SEQ Figure \* ARABIC </w:instrText>
      </w:r>
      <w:r w:rsidR="00DD457B" w:rsidRPr="00075058">
        <w:rPr>
          <w:rFonts w:ascii="Times New Roman" w:eastAsia="Times New Roman" w:hAnsi="Times New Roman"/>
          <w:b/>
          <w:bCs/>
          <w:i/>
          <w:sz w:val="22"/>
          <w:lang w:eastAsia="fr-FR" w:bidi="fr-FR"/>
        </w:rPr>
        <w:fldChar w:fldCharType="separate"/>
      </w:r>
      <w:r w:rsidR="009375FA">
        <w:rPr>
          <w:rFonts w:ascii="Times New Roman" w:eastAsia="Times New Roman" w:hAnsi="Times New Roman"/>
          <w:b/>
          <w:bCs/>
          <w:i/>
          <w:noProof/>
          <w:sz w:val="22"/>
          <w:lang w:eastAsia="fr-FR" w:bidi="fr-FR"/>
        </w:rPr>
        <w:t>3</w:t>
      </w:r>
      <w:r w:rsidR="00DD457B" w:rsidRPr="00075058">
        <w:rPr>
          <w:rFonts w:ascii="Times New Roman" w:eastAsia="Times New Roman" w:hAnsi="Times New Roman"/>
          <w:b/>
          <w:bCs/>
          <w:i/>
          <w:sz w:val="22"/>
          <w:lang w:eastAsia="fr-FR" w:bidi="fr-FR"/>
        </w:rPr>
        <w:fldChar w:fldCharType="end"/>
      </w:r>
      <w:bookmarkEnd w:id="7"/>
      <w:r w:rsidR="00384043">
        <w:rPr>
          <w:rFonts w:ascii="Times New Roman" w:eastAsia="Times New Roman" w:hAnsi="Times New Roman"/>
          <w:b/>
          <w:bCs/>
          <w:i/>
          <w:sz w:val="22"/>
          <w:lang w:eastAsia="fr-FR" w:bidi="fr-FR"/>
        </w:rPr>
        <w:t> : C</w:t>
      </w:r>
      <w:r w:rsidRPr="00075058">
        <w:rPr>
          <w:rFonts w:ascii="Times New Roman" w:eastAsia="Times New Roman" w:hAnsi="Times New Roman"/>
          <w:b/>
          <w:bCs/>
          <w:i/>
          <w:sz w:val="22"/>
          <w:lang w:eastAsia="fr-FR" w:bidi="fr-FR"/>
        </w:rPr>
        <w:t xml:space="preserve">hangement des précipitations moyennes </w:t>
      </w:r>
      <w:r w:rsidR="00B53BD8">
        <w:rPr>
          <w:rFonts w:ascii="Times New Roman" w:eastAsia="Times New Roman" w:hAnsi="Times New Roman"/>
          <w:b/>
          <w:bCs/>
          <w:i/>
          <w:sz w:val="22"/>
          <w:lang w:eastAsia="fr-FR" w:bidi="fr-FR"/>
        </w:rPr>
        <w:t>au Sénégal (source : Centre de suivi é</w:t>
      </w:r>
      <w:r w:rsidRPr="00075058">
        <w:rPr>
          <w:rFonts w:ascii="Times New Roman" w:eastAsia="Times New Roman" w:hAnsi="Times New Roman"/>
          <w:b/>
          <w:bCs/>
          <w:i/>
          <w:sz w:val="22"/>
          <w:lang w:eastAsia="fr-FR" w:bidi="fr-FR"/>
        </w:rPr>
        <w:t>cologique)</w:t>
      </w: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 xml:space="preserve">Durant les 70 dernières années, les températures minimales ont augmenté de manière significative alors que les températures maximales ont </w:t>
      </w:r>
      <w:r w:rsidR="00D02828">
        <w:rPr>
          <w:rFonts w:ascii="Times New Roman" w:eastAsia="Times New Roman" w:hAnsi="Times New Roman"/>
          <w:sz w:val="24"/>
          <w:szCs w:val="22"/>
          <w:lang w:eastAsia="fr-FR" w:bidi="fr-FR"/>
        </w:rPr>
        <w:t>modestement</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augmenté (</w:t>
      </w:r>
      <w:r w:rsidR="00990A25">
        <w:fldChar w:fldCharType="begin"/>
      </w:r>
      <w:r w:rsidR="00990A25">
        <w:instrText xml:space="preserve"> REF _Ref338508648 \h  \* MERGEFORMAT </w:instrText>
      </w:r>
      <w:r w:rsidR="00990A25">
        <w:fldChar w:fldCharType="separate"/>
      </w:r>
      <w:r w:rsidR="009375FA" w:rsidRPr="009375FA">
        <w:rPr>
          <w:rFonts w:ascii="Times New Roman" w:eastAsia="Times New Roman" w:hAnsi="Times New Roman"/>
          <w:sz w:val="24"/>
          <w:lang w:eastAsia="fr-FR" w:bidi="fr-FR"/>
        </w:rPr>
        <w:t>Figure 4</w:t>
      </w:r>
      <w:r w:rsidR="00990A25">
        <w:fldChar w:fldCharType="end"/>
      </w:r>
      <w:r w:rsidRPr="00075058">
        <w:rPr>
          <w:rFonts w:ascii="Times New Roman" w:eastAsia="Times New Roman" w:hAnsi="Times New Roman"/>
          <w:sz w:val="24"/>
          <w:szCs w:val="22"/>
          <w:lang w:eastAsia="fr-FR" w:bidi="fr-FR"/>
        </w:rPr>
        <w:t>). Les prévisions météorologiques relatives à la température anticipent une augmentation de 1,1°C à 1,8</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d'ici 2035</w:t>
      </w:r>
      <w:r w:rsidRPr="00075058">
        <w:rPr>
          <w:rFonts w:ascii="Times New Roman" w:eastAsia="Times New Roman" w:hAnsi="Times New Roman"/>
          <w:noProof/>
          <w:sz w:val="24"/>
          <w:szCs w:val="22"/>
          <w:vertAlign w:val="superscript"/>
          <w:lang w:eastAsia="fr-FR" w:bidi="fr-FR"/>
        </w:rPr>
        <w:footnoteReference w:id="8"/>
      </w:r>
      <w:r w:rsidRPr="00075058">
        <w:rPr>
          <w:rFonts w:ascii="Times New Roman" w:eastAsia="Times New Roman" w:hAnsi="Times New Roman"/>
          <w:sz w:val="24"/>
          <w:szCs w:val="22"/>
          <w:lang w:eastAsia="fr-FR" w:bidi="fr-FR"/>
        </w:rPr>
        <w:t>.</w:t>
      </w:r>
    </w:p>
    <w:p w:rsidR="00075058" w:rsidRPr="00075058" w:rsidRDefault="00075058" w:rsidP="00FB2FBE">
      <w:pPr>
        <w:spacing w:after="0"/>
        <w:rPr>
          <w:rFonts w:ascii="Times New Roman" w:eastAsia="Times New Roman" w:hAnsi="Times New Roman"/>
          <w:noProof/>
          <w:sz w:val="24"/>
          <w:lang w:eastAsia="fr-FR" w:bidi="fr-FR"/>
        </w:rPr>
      </w:pPr>
    </w:p>
    <w:p w:rsidR="00075058" w:rsidRPr="00075058" w:rsidRDefault="00075058" w:rsidP="00FB2FBE">
      <w:pPr>
        <w:spacing w:after="0"/>
        <w:jc w:val="center"/>
        <w:rPr>
          <w:rFonts w:ascii="Times New Roman" w:eastAsia="Times New Roman" w:hAnsi="Times New Roman"/>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0032A67D" wp14:editId="3229C49B">
            <wp:extent cx="4499170" cy="2313869"/>
            <wp:effectExtent l="0" t="0" r="0" b="0"/>
            <wp:docPr id="11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499170" cy="2313869"/>
                    </a:xfrm>
                    <a:prstGeom prst="rect">
                      <a:avLst/>
                    </a:prstGeom>
                    <a:noFill/>
                    <a:ln>
                      <a:noFill/>
                    </a:ln>
                  </pic:spPr>
                </pic:pic>
              </a:graphicData>
            </a:graphic>
          </wp:inline>
        </w:drawing>
      </w:r>
    </w:p>
    <w:p w:rsidR="00075058" w:rsidRPr="00075058" w:rsidRDefault="00075058" w:rsidP="00FB2FBE">
      <w:pPr>
        <w:spacing w:after="0"/>
        <w:jc w:val="center"/>
        <w:rPr>
          <w:rFonts w:ascii="Times New Roman" w:eastAsia="Times New Roman" w:hAnsi="Times New Roman"/>
          <w:b/>
          <w:i/>
          <w:sz w:val="24"/>
          <w:szCs w:val="22"/>
          <w:lang w:eastAsia="fr-FR" w:bidi="fr-FR"/>
        </w:rPr>
      </w:pPr>
      <w:bookmarkStart w:id="8" w:name="_Ref338508648"/>
      <w:r w:rsidRPr="00075058">
        <w:rPr>
          <w:rFonts w:ascii="Times New Roman" w:eastAsia="Times New Roman" w:hAnsi="Times New Roman"/>
          <w:b/>
          <w:i/>
          <w:sz w:val="22"/>
          <w:szCs w:val="22"/>
          <w:lang w:eastAsia="fr-FR" w:bidi="fr-FR"/>
        </w:rPr>
        <w:t>Figure </w:t>
      </w:r>
      <w:r w:rsidR="00DD457B" w:rsidRPr="00075058">
        <w:rPr>
          <w:rFonts w:ascii="Times New Roman" w:eastAsia="Times New Roman" w:hAnsi="Times New Roman"/>
          <w:b/>
          <w:i/>
          <w:sz w:val="22"/>
          <w:szCs w:val="22"/>
          <w:lang w:eastAsia="fr-FR" w:bidi="fr-FR"/>
        </w:rPr>
        <w:fldChar w:fldCharType="begin"/>
      </w:r>
      <w:r w:rsidRPr="00075058">
        <w:rPr>
          <w:rFonts w:ascii="Times New Roman" w:eastAsia="Times New Roman" w:hAnsi="Times New Roman"/>
          <w:b/>
          <w:i/>
          <w:sz w:val="22"/>
          <w:szCs w:val="22"/>
          <w:lang w:eastAsia="fr-FR" w:bidi="fr-FR"/>
        </w:rPr>
        <w:instrText xml:space="preserve"> SEQ Figure \* ARABIC </w:instrText>
      </w:r>
      <w:r w:rsidR="00DD457B" w:rsidRPr="00075058">
        <w:rPr>
          <w:rFonts w:ascii="Times New Roman" w:eastAsia="Times New Roman" w:hAnsi="Times New Roman"/>
          <w:b/>
          <w:i/>
          <w:sz w:val="22"/>
          <w:szCs w:val="22"/>
          <w:lang w:eastAsia="fr-FR" w:bidi="fr-FR"/>
        </w:rPr>
        <w:fldChar w:fldCharType="separate"/>
      </w:r>
      <w:r w:rsidR="009375FA">
        <w:rPr>
          <w:rFonts w:ascii="Times New Roman" w:eastAsia="Times New Roman" w:hAnsi="Times New Roman"/>
          <w:b/>
          <w:i/>
          <w:noProof/>
          <w:sz w:val="22"/>
          <w:szCs w:val="22"/>
          <w:lang w:eastAsia="fr-FR" w:bidi="fr-FR"/>
        </w:rPr>
        <w:t>4</w:t>
      </w:r>
      <w:r w:rsidR="00DD457B" w:rsidRPr="00075058">
        <w:rPr>
          <w:rFonts w:ascii="Times New Roman" w:eastAsia="Times New Roman" w:hAnsi="Times New Roman"/>
          <w:b/>
          <w:i/>
          <w:sz w:val="22"/>
          <w:szCs w:val="22"/>
          <w:lang w:eastAsia="fr-FR" w:bidi="fr-FR"/>
        </w:rPr>
        <w:fldChar w:fldCharType="end"/>
      </w:r>
      <w:bookmarkEnd w:id="8"/>
      <w:r w:rsidR="00384043">
        <w:rPr>
          <w:rFonts w:ascii="Times New Roman" w:eastAsia="Times New Roman" w:hAnsi="Times New Roman"/>
          <w:b/>
          <w:i/>
          <w:sz w:val="22"/>
          <w:szCs w:val="22"/>
          <w:lang w:eastAsia="fr-FR" w:bidi="fr-FR"/>
        </w:rPr>
        <w:t> : C</w:t>
      </w:r>
      <w:r w:rsidRPr="00075058">
        <w:rPr>
          <w:rFonts w:ascii="Times New Roman" w:eastAsia="Times New Roman" w:hAnsi="Times New Roman"/>
          <w:b/>
          <w:i/>
          <w:sz w:val="22"/>
          <w:szCs w:val="22"/>
          <w:lang w:eastAsia="fr-FR" w:bidi="fr-FR"/>
        </w:rPr>
        <w:t>hangement de température au fil des années (1960-2010) source : ANACIM)</w:t>
      </w:r>
    </w:p>
    <w:p w:rsidR="00075058" w:rsidRPr="00075058" w:rsidRDefault="00075058" w:rsidP="00FB2FBE">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sz w:val="24"/>
          <w:szCs w:val="22"/>
          <w:shd w:val="clear" w:color="auto" w:fill="FFFFFF"/>
          <w:lang w:eastAsia="fr-FR" w:bidi="fr-FR"/>
        </w:rPr>
      </w:pPr>
      <w:r w:rsidRPr="00075058">
        <w:rPr>
          <w:rFonts w:ascii="Times New Roman" w:eastAsia="Times New Roman" w:hAnsi="Times New Roman"/>
          <w:sz w:val="24"/>
          <w:szCs w:val="22"/>
          <w:lang w:eastAsia="fr-FR" w:bidi="fr-FR"/>
        </w:rPr>
        <w:t>D'après Biasutti (2013)</w:t>
      </w:r>
      <w:r w:rsidRPr="00075058">
        <w:rPr>
          <w:rFonts w:ascii="Times New Roman" w:eastAsia="Times New Roman" w:hAnsi="Times New Roman"/>
          <w:sz w:val="24"/>
          <w:szCs w:val="22"/>
          <w:vertAlign w:val="superscript"/>
          <w:lang w:eastAsia="fr-FR" w:bidi="fr-FR"/>
        </w:rPr>
        <w:footnoteReference w:id="9"/>
      </w:r>
      <w:r w:rsidRPr="00075058">
        <w:rPr>
          <w:rFonts w:ascii="Times New Roman" w:eastAsia="Times New Roman" w:hAnsi="Times New Roman"/>
          <w:sz w:val="24"/>
          <w:szCs w:val="22"/>
          <w:lang w:eastAsia="fr-FR" w:bidi="fr-FR"/>
        </w:rPr>
        <w:t xml:space="preserve">, les variations de précipitation observées dans la région du Sahel, la zone semi-aride de transition située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du désert du Sahara, a </w:t>
      </w:r>
      <w:r w:rsidR="00D02828">
        <w:rPr>
          <w:rFonts w:ascii="Times New Roman" w:eastAsia="Times New Roman" w:hAnsi="Times New Roman"/>
          <w:sz w:val="24"/>
          <w:szCs w:val="22"/>
          <w:lang w:eastAsia="fr-FR" w:bidi="fr-FR"/>
        </w:rPr>
        <w:t>connu</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forte</w:t>
      </w:r>
      <w:r w:rsidR="005E48EE">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variations </w:t>
      </w:r>
      <w:r w:rsidR="00D02828">
        <w:rPr>
          <w:rFonts w:ascii="Times New Roman" w:eastAsia="Times New Roman" w:hAnsi="Times New Roman"/>
          <w:sz w:val="24"/>
          <w:szCs w:val="22"/>
          <w:lang w:eastAsia="fr-FR" w:bidi="fr-FR"/>
        </w:rPr>
        <w:t>décennales</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Après une période de forte humidité dans les années 1950, de longue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période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de sécheresse sont apparues dans les années 1970 et 1980 </w:t>
      </w:r>
      <w:r w:rsidR="00AF5116">
        <w:rPr>
          <w:rFonts w:ascii="Times New Roman" w:eastAsia="Times New Roman" w:hAnsi="Times New Roman"/>
          <w:sz w:val="24"/>
          <w:szCs w:val="22"/>
          <w:lang w:eastAsia="fr-FR" w:bidi="fr-FR"/>
        </w:rPr>
        <w:t>avec</w:t>
      </w:r>
      <w:r w:rsidR="00AF51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des </w:t>
      </w:r>
      <w:r w:rsidR="00AF5116">
        <w:rPr>
          <w:rFonts w:ascii="Times New Roman" w:eastAsia="Times New Roman" w:hAnsi="Times New Roman"/>
          <w:sz w:val="24"/>
          <w:szCs w:val="22"/>
          <w:lang w:eastAsia="fr-FR" w:bidi="fr-FR"/>
        </w:rPr>
        <w:t>impacts</w:t>
      </w:r>
      <w:r w:rsidR="00AF51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environnementa</w:t>
      </w:r>
      <w:r w:rsidR="00AF5116">
        <w:rPr>
          <w:rFonts w:ascii="Times New Roman" w:eastAsia="Times New Roman" w:hAnsi="Times New Roman"/>
          <w:sz w:val="24"/>
          <w:szCs w:val="22"/>
          <w:lang w:eastAsia="fr-FR" w:bidi="fr-FR"/>
        </w:rPr>
        <w:t>ux</w:t>
      </w:r>
      <w:r w:rsidRPr="00075058">
        <w:rPr>
          <w:rFonts w:ascii="Times New Roman" w:eastAsia="Times New Roman" w:hAnsi="Times New Roman"/>
          <w:sz w:val="24"/>
          <w:szCs w:val="22"/>
          <w:lang w:eastAsia="fr-FR" w:bidi="fr-FR"/>
        </w:rPr>
        <w:t xml:space="preserve"> et socio-économique</w:t>
      </w:r>
      <w:r w:rsidR="00AF5116">
        <w:rPr>
          <w:rFonts w:ascii="Times New Roman" w:eastAsia="Times New Roman" w:hAnsi="Times New Roman"/>
          <w:sz w:val="24"/>
          <w:szCs w:val="22"/>
          <w:lang w:eastAsia="fr-FR" w:bidi="fr-FR"/>
        </w:rPr>
        <w:t>s dévastateurs</w:t>
      </w:r>
      <w:r w:rsidRPr="00075058">
        <w:rPr>
          <w:rFonts w:ascii="Times New Roman" w:eastAsia="Times New Roman" w:hAnsi="Times New Roman"/>
          <w:sz w:val="24"/>
          <w:szCs w:val="22"/>
          <w:lang w:eastAsia="fr-FR" w:bidi="fr-FR"/>
        </w:rPr>
        <w:t xml:space="preserve">. Les projections en matière de changement climatique indiquent un grand nombre de tendances en matière de précipitations comprenant d'intenses sécheresses et de fortes pluies. D'après cette évaluation, une restauration de grande envergure de la végétation pourrait faire partie des solutions d'adaptation les plus efficaces pour le pays. </w:t>
      </w:r>
      <w:r w:rsidR="00912C59">
        <w:rPr>
          <w:rFonts w:ascii="Times New Roman" w:eastAsia="Times New Roman" w:hAnsi="Times New Roman"/>
          <w:sz w:val="24"/>
          <w:szCs w:val="22"/>
          <w:lang w:eastAsia="fr-FR" w:bidi="fr-FR"/>
        </w:rPr>
        <w:t xml:space="preserve">Des </w:t>
      </w:r>
      <w:r w:rsidRPr="00912C59">
        <w:rPr>
          <w:rFonts w:ascii="Times New Roman" w:eastAsia="Times New Roman" w:hAnsi="Times New Roman"/>
          <w:sz w:val="24"/>
          <w:szCs w:val="22"/>
          <w:lang w:eastAsia="fr-FR" w:bidi="fr-FR"/>
        </w:rPr>
        <w:t>pressions supplémentaires deviendront importantes à l'avenir, notamment les changements d'affectation des terres</w:t>
      </w:r>
      <w:r w:rsidRPr="00075058">
        <w:rPr>
          <w:rFonts w:ascii="Times New Roman" w:eastAsia="Times New Roman" w:hAnsi="Times New Roman"/>
          <w:sz w:val="24"/>
          <w:szCs w:val="22"/>
          <w:lang w:eastAsia="fr-FR" w:bidi="fr-FR"/>
        </w:rPr>
        <w:t xml:space="preserve">. Ces incertitudes pour l'avenir de la région </w:t>
      </w:r>
      <w:r w:rsidRPr="00075058">
        <w:rPr>
          <w:rFonts w:ascii="Times New Roman" w:eastAsia="Times New Roman" w:hAnsi="Times New Roman"/>
          <w:sz w:val="24"/>
          <w:szCs w:val="22"/>
          <w:lang w:eastAsia="fr-FR" w:bidi="fr-FR"/>
        </w:rPr>
        <w:lastRenderedPageBreak/>
        <w:t>du Sahel, confirmées par Park et coll. (2014)</w:t>
      </w:r>
      <w:r w:rsidRPr="00075058">
        <w:rPr>
          <w:rFonts w:ascii="Times New Roman" w:eastAsia="Times New Roman" w:hAnsi="Times New Roman"/>
          <w:sz w:val="24"/>
          <w:szCs w:val="22"/>
          <w:vertAlign w:val="superscript"/>
          <w:lang w:eastAsia="fr-FR" w:bidi="fr-FR"/>
        </w:rPr>
        <w:footnoteReference w:id="10"/>
      </w:r>
      <w:r w:rsidRPr="00075058">
        <w:rPr>
          <w:rFonts w:ascii="Times New Roman" w:eastAsia="Times New Roman" w:hAnsi="Times New Roman"/>
          <w:sz w:val="24"/>
          <w:szCs w:val="22"/>
          <w:lang w:eastAsia="fr-FR" w:bidi="fr-FR"/>
        </w:rPr>
        <w:t xml:space="preserve"> ne doivent pas retarder les mesures à prendre étant donné que le changement climatique est déjà une réalité au Sénégal. </w:t>
      </w: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Le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changement</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w:t>
      </w:r>
      <w:r w:rsidR="00965161">
        <w:rPr>
          <w:rFonts w:ascii="Times New Roman" w:eastAsia="Times New Roman" w:hAnsi="Times New Roman"/>
          <w:sz w:val="24"/>
          <w:szCs w:val="22"/>
          <w:lang w:eastAsia="fr-FR" w:bidi="fr-FR"/>
        </w:rPr>
        <w:t>sont</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néfaste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pour les écosystèmes et pour la population : </w:t>
      </w:r>
    </w:p>
    <w:p w:rsidR="00075058" w:rsidRPr="00075058" w:rsidRDefault="00075058" w:rsidP="00FB2FBE">
      <w:pPr>
        <w:numPr>
          <w:ilvl w:val="0"/>
          <w:numId w:val="98"/>
        </w:numPr>
        <w:spacing w:after="0"/>
        <w:ind w:left="1134" w:hanging="708"/>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élève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le niveau de la mer,</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intensifie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l'érosion des côte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et entraîne la disparition des plages. La température</w:t>
      </w:r>
      <w:r w:rsidR="00965161">
        <w:rPr>
          <w:rFonts w:ascii="Times New Roman" w:eastAsia="Times New Roman" w:hAnsi="Times New Roman"/>
          <w:sz w:val="24"/>
          <w:szCs w:val="22"/>
          <w:lang w:eastAsia="fr-FR" w:bidi="fr-FR"/>
        </w:rPr>
        <w:t xml:space="preserve"> de la mer</w:t>
      </w:r>
      <w:r w:rsidRPr="00075058">
        <w:rPr>
          <w:rFonts w:ascii="Times New Roman" w:eastAsia="Times New Roman" w:hAnsi="Times New Roman"/>
          <w:sz w:val="24"/>
          <w:szCs w:val="22"/>
          <w:lang w:eastAsia="fr-FR" w:bidi="fr-FR"/>
        </w:rPr>
        <w:t xml:space="preserve"> a augmenté </w:t>
      </w:r>
      <w:r w:rsidR="00965161">
        <w:rPr>
          <w:rFonts w:ascii="Times New Roman" w:eastAsia="Times New Roman" w:hAnsi="Times New Roman"/>
          <w:sz w:val="24"/>
          <w:szCs w:val="22"/>
          <w:lang w:eastAsia="fr-FR" w:bidi="fr-FR"/>
        </w:rPr>
        <w:t>de</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0,04</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w:t>
      </w:r>
      <w:r w:rsidR="00965161">
        <w:rPr>
          <w:rFonts w:ascii="Times New Roman" w:eastAsia="Times New Roman" w:hAnsi="Times New Roman"/>
          <w:sz w:val="24"/>
          <w:szCs w:val="22"/>
          <w:lang w:eastAsia="fr-FR" w:bidi="fr-FR"/>
        </w:rPr>
        <w:t>à</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0,05</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chaque année entre 1980 et 2009 et </w:t>
      </w:r>
      <w:r w:rsidR="00965161">
        <w:rPr>
          <w:rFonts w:ascii="Times New Roman" w:eastAsia="Times New Roman" w:hAnsi="Times New Roman"/>
          <w:sz w:val="24"/>
          <w:szCs w:val="22"/>
          <w:lang w:eastAsia="fr-FR" w:bidi="fr-FR"/>
        </w:rPr>
        <w:t>sa</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salinité a également augmenté. De plus, le niveau de la mer s'est élevé de 1,4 mm/an. D'ici 2100, la hausse du niveau de la mer cumulée atteindra probablement un mètre, les inondations et l'érosion affecteront entre 55 km² et 86 km² de plages et 6.000 km² de terres basses</w:t>
      </w:r>
      <w:r w:rsidRPr="00075058">
        <w:rPr>
          <w:rFonts w:ascii="Times New Roman" w:eastAsia="Times New Roman" w:hAnsi="Times New Roman"/>
          <w:sz w:val="24"/>
          <w:szCs w:val="22"/>
          <w:vertAlign w:val="superscript"/>
          <w:lang w:eastAsia="fr-FR" w:bidi="fr-FR"/>
        </w:rPr>
        <w:footnoteReference w:id="11"/>
      </w:r>
      <w:r w:rsidRPr="00075058">
        <w:rPr>
          <w:rFonts w:ascii="Times New Roman" w:eastAsia="Times New Roman" w:hAnsi="Times New Roman"/>
          <w:sz w:val="24"/>
          <w:szCs w:val="22"/>
          <w:lang w:eastAsia="fr-FR" w:bidi="fr-FR"/>
        </w:rPr>
        <w:t xml:space="preserve"> </w:t>
      </w:r>
    </w:p>
    <w:p w:rsidR="00075058" w:rsidRPr="00075058" w:rsidRDefault="00075058" w:rsidP="00FB2FBE">
      <w:pPr>
        <w:numPr>
          <w:ilvl w:val="0"/>
          <w:numId w:val="98"/>
        </w:numPr>
        <w:spacing w:after="0"/>
        <w:ind w:left="1134" w:hanging="708"/>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entraine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la désertification, la diminution de </w:t>
      </w:r>
      <w:r w:rsidR="00965161">
        <w:rPr>
          <w:rFonts w:ascii="Times New Roman" w:eastAsia="Times New Roman" w:hAnsi="Times New Roman"/>
          <w:sz w:val="24"/>
          <w:szCs w:val="22"/>
          <w:lang w:eastAsia="fr-FR" w:bidi="fr-FR"/>
        </w:rPr>
        <w:t xml:space="preserve">la </w:t>
      </w:r>
      <w:r w:rsidRPr="00075058">
        <w:rPr>
          <w:rFonts w:ascii="Times New Roman" w:eastAsia="Times New Roman" w:hAnsi="Times New Roman"/>
          <w:sz w:val="24"/>
          <w:szCs w:val="22"/>
          <w:lang w:eastAsia="fr-FR" w:bidi="fr-FR"/>
        </w:rPr>
        <w:t>mangrove, de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frayères (Ndour et coll., 2012</w:t>
      </w:r>
      <w:r w:rsidRPr="00075058">
        <w:rPr>
          <w:rFonts w:ascii="Times New Roman" w:eastAsia="Times New Roman" w:hAnsi="Times New Roman"/>
          <w:noProof/>
          <w:sz w:val="24"/>
          <w:szCs w:val="22"/>
          <w:vertAlign w:val="superscript"/>
          <w:lang w:eastAsia="fr-FR" w:bidi="fr-FR"/>
        </w:rPr>
        <w:footnoteReference w:id="12"/>
      </w:r>
      <w:r w:rsidRPr="00075058">
        <w:rPr>
          <w:rFonts w:ascii="Times New Roman" w:eastAsia="Times New Roman" w:hAnsi="Times New Roman"/>
          <w:sz w:val="24"/>
          <w:szCs w:val="22"/>
          <w:lang w:eastAsia="fr-FR" w:bidi="fr-FR"/>
        </w:rPr>
        <w:t xml:space="preserve"> &amp; Dieye et coll., 2013</w:t>
      </w:r>
      <w:r w:rsidRPr="00075058">
        <w:rPr>
          <w:rFonts w:ascii="Times New Roman" w:eastAsia="Times New Roman" w:hAnsi="Times New Roman"/>
          <w:noProof/>
          <w:sz w:val="24"/>
          <w:szCs w:val="22"/>
          <w:vertAlign w:val="superscript"/>
          <w:lang w:eastAsia="fr-FR" w:bidi="fr-FR"/>
        </w:rPr>
        <w:footnoteReference w:id="13"/>
      </w:r>
      <w:r w:rsidRPr="00075058">
        <w:rPr>
          <w:rFonts w:ascii="Times New Roman" w:eastAsia="Times New Roman" w:hAnsi="Times New Roman"/>
          <w:sz w:val="24"/>
          <w:szCs w:val="22"/>
          <w:lang w:eastAsia="fr-FR" w:bidi="fr-FR"/>
        </w:rPr>
        <w:t xml:space="preserve">), des terres arables et des pâturages, </w:t>
      </w:r>
    </w:p>
    <w:p w:rsidR="00075058" w:rsidRPr="00FB2FBE" w:rsidRDefault="00075058" w:rsidP="00FB2FBE">
      <w:pPr>
        <w:numPr>
          <w:ilvl w:val="0"/>
          <w:numId w:val="98"/>
        </w:numPr>
        <w:spacing w:after="0"/>
        <w:ind w:left="1134" w:hanging="708"/>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entraine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une salinisation de l'eau, la réduction ou le manque</w:t>
      </w:r>
      <w:r w:rsidR="000024C7">
        <w:rPr>
          <w:rFonts w:ascii="Times New Roman" w:eastAsia="Times New Roman" w:hAnsi="Times New Roman"/>
          <w:sz w:val="24"/>
          <w:szCs w:val="22"/>
          <w:lang w:eastAsia="fr-FR" w:bidi="fr-FR"/>
        </w:rPr>
        <w:t xml:space="preserve"> de</w:t>
      </w:r>
      <w:r w:rsidRPr="00075058">
        <w:rPr>
          <w:rFonts w:ascii="Times New Roman" w:eastAsia="Times New Roman" w:hAnsi="Times New Roman"/>
          <w:sz w:val="24"/>
          <w:szCs w:val="22"/>
          <w:lang w:eastAsia="fr-FR" w:bidi="fr-FR"/>
        </w:rPr>
        <w:t xml:space="preserve"> </w:t>
      </w:r>
      <w:r w:rsidR="000024C7">
        <w:rPr>
          <w:rFonts w:ascii="Times New Roman" w:eastAsia="Times New Roman" w:hAnsi="Times New Roman"/>
          <w:sz w:val="24"/>
          <w:szCs w:val="22"/>
          <w:lang w:eastAsia="fr-FR" w:bidi="fr-FR"/>
        </w:rPr>
        <w:t>disponibilité</w:t>
      </w:r>
      <w:r w:rsidR="000024C7"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d'eau </w:t>
      </w:r>
      <w:r w:rsidR="000024C7">
        <w:rPr>
          <w:rFonts w:ascii="Times New Roman" w:eastAsia="Times New Roman" w:hAnsi="Times New Roman"/>
          <w:sz w:val="24"/>
          <w:szCs w:val="22"/>
          <w:lang w:eastAsia="fr-FR" w:bidi="fr-FR"/>
        </w:rPr>
        <w:t>pour</w:t>
      </w:r>
      <w:r w:rsidRPr="00075058">
        <w:rPr>
          <w:rFonts w:ascii="Times New Roman" w:eastAsia="Times New Roman" w:hAnsi="Times New Roman"/>
          <w:sz w:val="24"/>
          <w:szCs w:val="22"/>
          <w:lang w:eastAsia="fr-FR" w:bidi="fr-FR"/>
        </w:rPr>
        <w:t xml:space="preserve"> l'irrigation et d'autres activités productives</w:t>
      </w:r>
      <w:r w:rsidRPr="00075058">
        <w:rPr>
          <w:rFonts w:ascii="Times New Roman" w:eastAsia="Times New Roman" w:hAnsi="Times New Roman"/>
          <w:sz w:val="24"/>
          <w:szCs w:val="22"/>
          <w:vertAlign w:val="superscript"/>
          <w:lang w:eastAsia="fr-FR" w:bidi="fr-FR"/>
        </w:rPr>
        <w:footnoteReference w:id="14"/>
      </w:r>
      <w:r w:rsidRPr="00075058">
        <w:rPr>
          <w:rFonts w:ascii="Times New Roman" w:eastAsia="Times New Roman" w:hAnsi="Times New Roman"/>
          <w:sz w:val="24"/>
          <w:szCs w:val="22"/>
          <w:lang w:eastAsia="fr-FR" w:bidi="fr-FR"/>
        </w:rPr>
        <w:t xml:space="preserve">. Entre 1 % et 2 % de la superficie totale du territoire est </w:t>
      </w:r>
      <w:r w:rsidR="005E48EE" w:rsidRPr="00075058">
        <w:rPr>
          <w:rFonts w:ascii="Times New Roman" w:eastAsia="Times New Roman" w:hAnsi="Times New Roman"/>
          <w:sz w:val="24"/>
          <w:szCs w:val="22"/>
          <w:lang w:eastAsia="fr-FR" w:bidi="fr-FR"/>
        </w:rPr>
        <w:t>touché</w:t>
      </w:r>
      <w:r w:rsidRPr="00075058">
        <w:rPr>
          <w:rFonts w:ascii="Times New Roman" w:eastAsia="Times New Roman" w:hAnsi="Times New Roman"/>
          <w:sz w:val="24"/>
          <w:szCs w:val="22"/>
          <w:lang w:eastAsia="fr-FR" w:bidi="fr-FR"/>
        </w:rPr>
        <w:t xml:space="preserve"> par la salinisation</w:t>
      </w:r>
      <w:r w:rsidRPr="00075058">
        <w:rPr>
          <w:rFonts w:eastAsia="Times New Roman"/>
          <w:sz w:val="24"/>
          <w:szCs w:val="22"/>
          <w:vertAlign w:val="superscript"/>
          <w:lang w:eastAsia="fr-FR" w:bidi="fr-FR"/>
        </w:rPr>
        <w:footnoteReference w:id="15"/>
      </w:r>
      <w:r w:rsidRPr="00075058">
        <w:rPr>
          <w:rFonts w:ascii="Times New Roman" w:eastAsia="Times New Roman" w:hAnsi="Times New Roman"/>
          <w:sz w:val="24"/>
          <w:szCs w:val="22"/>
          <w:lang w:eastAsia="fr-FR" w:bidi="fr-FR"/>
        </w:rPr>
        <w:t xml:space="preserve">, un pourcentage susceptible d'augmenter du fait de la diminution des précipitations et d'un besoin croissant d'eau. </w:t>
      </w:r>
    </w:p>
    <w:p w:rsidR="00FB2FBE" w:rsidRPr="00075058" w:rsidRDefault="00FB2FBE" w:rsidP="00FB2FBE">
      <w:pPr>
        <w:spacing w:after="0"/>
        <w:ind w:left="1134"/>
        <w:rPr>
          <w:rFonts w:ascii="Times New Roman" w:eastAsia="Times New Roman" w:hAnsi="Times New Roman"/>
          <w:noProof/>
          <w:sz w:val="24"/>
          <w:lang w:eastAsia="fr-FR" w:bidi="fr-FR"/>
        </w:rPr>
      </w:pPr>
    </w:p>
    <w:p w:rsidR="00075058" w:rsidRPr="00075058" w:rsidRDefault="00075058" w:rsidP="00FB2FBE">
      <w:pPr>
        <w:spacing w:after="0"/>
        <w:rPr>
          <w:rFonts w:ascii="Times New Roman" w:eastAsia="Times New Roman" w:hAnsi="Times New Roman"/>
          <w:sz w:val="24"/>
          <w:szCs w:val="20"/>
          <w:lang w:eastAsia="fr-FR" w:bidi="fr-FR"/>
        </w:rPr>
      </w:pPr>
      <w:r w:rsidRPr="00075058">
        <w:rPr>
          <w:rFonts w:ascii="Times New Roman" w:eastAsia="Times New Roman" w:hAnsi="Times New Roman"/>
          <w:sz w:val="24"/>
          <w:szCs w:val="22"/>
          <w:lang w:eastAsia="fr-FR" w:bidi="fr-FR"/>
        </w:rPr>
        <w:t>La perturbation des écosystèmes entraine des conséquences sur les secteurs clé</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pour l'économie du pays tels que l'agriculture, le </w:t>
      </w:r>
      <w:r w:rsidR="000024C7">
        <w:rPr>
          <w:rFonts w:ascii="Times New Roman" w:eastAsia="Times New Roman" w:hAnsi="Times New Roman"/>
          <w:sz w:val="24"/>
          <w:szCs w:val="22"/>
          <w:lang w:eastAsia="fr-FR" w:bidi="fr-FR"/>
        </w:rPr>
        <w:t>maraichage</w:t>
      </w:r>
      <w:r w:rsidRPr="00075058">
        <w:rPr>
          <w:rFonts w:ascii="Times New Roman" w:eastAsia="Times New Roman" w:hAnsi="Times New Roman"/>
          <w:sz w:val="24"/>
          <w:szCs w:val="22"/>
          <w:lang w:eastAsia="fr-FR" w:bidi="fr-FR"/>
        </w:rPr>
        <w:t>, l'élevage, la pêche et le tourisme. Voici certaines conséquences socioéconom</w:t>
      </w:r>
      <w:r w:rsidR="00A15BF5">
        <w:rPr>
          <w:rFonts w:ascii="Times New Roman" w:eastAsia="Times New Roman" w:hAnsi="Times New Roman"/>
          <w:sz w:val="24"/>
          <w:szCs w:val="22"/>
          <w:lang w:eastAsia="fr-FR" w:bidi="fr-FR"/>
        </w:rPr>
        <w:t>iques du changement climatique.</w:t>
      </w:r>
    </w:p>
    <w:p w:rsidR="00075058" w:rsidRPr="00075058" w:rsidRDefault="00A15BF5" w:rsidP="00FB2FBE">
      <w:pPr>
        <w:numPr>
          <w:ilvl w:val="0"/>
          <w:numId w:val="99"/>
        </w:numPr>
        <w:spacing w:after="0"/>
        <w:ind w:left="1134" w:hanging="774"/>
        <w:rPr>
          <w:rFonts w:ascii="Times New Roman" w:eastAsia="Times New Roman" w:hAnsi="Times New Roman"/>
          <w:sz w:val="24"/>
          <w:szCs w:val="20"/>
          <w:lang w:eastAsia="fr-FR" w:bidi="fr-FR"/>
        </w:rPr>
      </w:pPr>
      <w:r>
        <w:rPr>
          <w:rFonts w:ascii="Times New Roman" w:eastAsia="Times New Roman" w:hAnsi="Times New Roman"/>
          <w:sz w:val="24"/>
          <w:szCs w:val="22"/>
          <w:u w:val="single"/>
          <w:lang w:eastAsia="fr-FR" w:bidi="fr-FR"/>
        </w:rPr>
        <w:t>L’a</w:t>
      </w:r>
      <w:r w:rsidR="00075058" w:rsidRPr="00075058">
        <w:rPr>
          <w:rFonts w:ascii="Times New Roman" w:eastAsia="Times New Roman" w:hAnsi="Times New Roman"/>
          <w:sz w:val="24"/>
          <w:szCs w:val="22"/>
          <w:u w:val="single"/>
          <w:lang w:eastAsia="fr-FR" w:bidi="fr-FR"/>
        </w:rPr>
        <w:t>griculture</w:t>
      </w:r>
      <w:r w:rsidR="00075058" w:rsidRPr="00075058">
        <w:rPr>
          <w:rFonts w:ascii="Times New Roman" w:eastAsia="Times New Roman" w:hAnsi="Times New Roman"/>
          <w:sz w:val="24"/>
          <w:szCs w:val="22"/>
          <w:lang w:eastAsia="fr-FR" w:bidi="fr-FR"/>
        </w:rPr>
        <w:t xml:space="preserve"> : </w:t>
      </w:r>
      <w:r>
        <w:rPr>
          <w:rFonts w:ascii="Times New Roman" w:eastAsia="Times New Roman" w:hAnsi="Times New Roman"/>
          <w:sz w:val="24"/>
          <w:szCs w:val="22"/>
          <w:lang w:eastAsia="fr-FR" w:bidi="fr-FR"/>
        </w:rPr>
        <w:t>l</w:t>
      </w:r>
      <w:r w:rsidR="00075058" w:rsidRPr="00075058">
        <w:rPr>
          <w:rFonts w:ascii="Times New Roman" w:eastAsia="Times New Roman" w:hAnsi="Times New Roman"/>
          <w:sz w:val="24"/>
          <w:szCs w:val="22"/>
          <w:lang w:eastAsia="fr-FR" w:bidi="fr-FR"/>
        </w:rPr>
        <w:t>es risques climatiques sont accentués par un système de production qui dépend des pluies, par l'importance de l'agriculture de subsistance, par des pratiques agricoles inadaptées aux changements environnementaux, par les perturbations du calendrier des saisons agricoles et par le manque d'information et de gestion des risques climatiques. Dans ce contexte, il sera difficile de garantir la sécurité alimentaire dans un avenir proche. Les incidences particulières sur le secteur de l'agriculture sont les suivantes : (i) réduction de la production des principales cultures (le mil, le sorgo, le maïs, le riz, les arachides et</w:t>
      </w:r>
      <w:r w:rsidR="0025378A">
        <w:rPr>
          <w:rFonts w:ascii="Times New Roman" w:eastAsia="Times New Roman" w:hAnsi="Times New Roman"/>
          <w:sz w:val="24"/>
          <w:szCs w:val="22"/>
          <w:lang w:eastAsia="fr-FR" w:bidi="fr-FR"/>
        </w:rPr>
        <w:t xml:space="preserve"> les haricots) ;</w:t>
      </w:r>
      <w:r w:rsidR="00075058" w:rsidRPr="00075058">
        <w:rPr>
          <w:rFonts w:ascii="Times New Roman" w:eastAsia="Times New Roman" w:hAnsi="Times New Roman"/>
          <w:sz w:val="24"/>
          <w:szCs w:val="22"/>
          <w:lang w:eastAsia="fr-FR" w:bidi="fr-FR"/>
        </w:rPr>
        <w:t xml:space="preserve"> (ii) dégradation physique et chimique des sols entrainant une réduction de la productivité agricole et des ressources végétales dans les pâtu</w:t>
      </w:r>
      <w:r w:rsidR="0025378A">
        <w:rPr>
          <w:rFonts w:ascii="Times New Roman" w:eastAsia="Times New Roman" w:hAnsi="Times New Roman"/>
          <w:sz w:val="24"/>
          <w:szCs w:val="22"/>
          <w:lang w:eastAsia="fr-FR" w:bidi="fr-FR"/>
        </w:rPr>
        <w:t>rages utilisés pour les animaux ;</w:t>
      </w:r>
      <w:r w:rsidR="00075058" w:rsidRPr="00075058">
        <w:rPr>
          <w:rFonts w:ascii="Times New Roman" w:eastAsia="Times New Roman" w:hAnsi="Times New Roman"/>
          <w:sz w:val="24"/>
          <w:szCs w:val="22"/>
          <w:lang w:eastAsia="fr-FR" w:bidi="fr-FR"/>
        </w:rPr>
        <w:t xml:space="preserve"> (iii) accentuation des conflits relatifs à la propriété </w:t>
      </w:r>
      <w:r w:rsidR="000024C7">
        <w:rPr>
          <w:rFonts w:ascii="Times New Roman" w:eastAsia="Times New Roman" w:hAnsi="Times New Roman"/>
          <w:sz w:val="24"/>
          <w:szCs w:val="22"/>
          <w:lang w:eastAsia="fr-FR" w:bidi="fr-FR"/>
        </w:rPr>
        <w:t>foncière</w:t>
      </w:r>
      <w:r w:rsidR="00075058" w:rsidRPr="00075058">
        <w:rPr>
          <w:rFonts w:ascii="Times New Roman" w:eastAsia="Times New Roman" w:hAnsi="Times New Roman"/>
          <w:sz w:val="24"/>
          <w:szCs w:val="22"/>
          <w:lang w:eastAsia="fr-FR" w:bidi="fr-FR"/>
        </w:rPr>
        <w:t>.</w:t>
      </w:r>
    </w:p>
    <w:p w:rsidR="00075058" w:rsidRPr="00075058" w:rsidRDefault="00A15BF5" w:rsidP="00FB2FBE">
      <w:pPr>
        <w:numPr>
          <w:ilvl w:val="0"/>
          <w:numId w:val="99"/>
        </w:numPr>
        <w:spacing w:after="0"/>
        <w:ind w:left="1134" w:hanging="708"/>
        <w:rPr>
          <w:rFonts w:ascii="Times New Roman" w:hAnsi="Times New Roman"/>
          <w:sz w:val="24"/>
          <w:lang w:eastAsia="fr-FR" w:bidi="fr-FR"/>
        </w:rPr>
      </w:pPr>
      <w:r>
        <w:rPr>
          <w:rFonts w:ascii="Times New Roman" w:hAnsi="Times New Roman"/>
          <w:sz w:val="24"/>
          <w:u w:val="single"/>
          <w:lang w:eastAsia="fr-FR" w:bidi="fr-FR"/>
        </w:rPr>
        <w:t>L’</w:t>
      </w:r>
      <w:r w:rsidR="00075058" w:rsidRPr="00075058">
        <w:rPr>
          <w:rFonts w:ascii="Times New Roman" w:hAnsi="Times New Roman"/>
          <w:sz w:val="24"/>
          <w:u w:val="single"/>
          <w:lang w:eastAsia="fr-FR" w:bidi="fr-FR"/>
        </w:rPr>
        <w:t>élevage</w:t>
      </w:r>
      <w:r>
        <w:rPr>
          <w:rFonts w:ascii="Times New Roman" w:hAnsi="Times New Roman"/>
          <w:sz w:val="24"/>
          <w:lang w:eastAsia="fr-FR" w:bidi="fr-FR"/>
        </w:rPr>
        <w:t xml:space="preserve"> : </w:t>
      </w:r>
      <w:r w:rsidR="00075058" w:rsidRPr="00075058">
        <w:rPr>
          <w:rFonts w:ascii="Times New Roman" w:hAnsi="Times New Roman"/>
          <w:sz w:val="24"/>
          <w:lang w:eastAsia="fr-FR" w:bidi="fr-FR"/>
        </w:rPr>
        <w:t xml:space="preserve">source de subsistance et de revenu pour un nombre non négligeable de la population, particulièrement dans la zone du Ferlo. La sécheresse et les hausses de température peuvent nuire à cette activité, entrainant une baisse prévue du fourrage et asséchant les zones d'abreuvement. Dans les zones ciblées </w:t>
      </w:r>
      <w:r w:rsidR="005E48EE">
        <w:rPr>
          <w:rFonts w:ascii="Times New Roman" w:hAnsi="Times New Roman"/>
          <w:sz w:val="24"/>
          <w:lang w:eastAsia="fr-FR" w:bidi="fr-FR"/>
        </w:rPr>
        <w:t>par le</w:t>
      </w:r>
      <w:r w:rsidR="005E48EE" w:rsidRPr="00075058">
        <w:rPr>
          <w:rFonts w:ascii="Times New Roman" w:hAnsi="Times New Roman"/>
          <w:sz w:val="24"/>
          <w:lang w:eastAsia="fr-FR" w:bidi="fr-FR"/>
        </w:rPr>
        <w:t xml:space="preserve"> projet</w:t>
      </w:r>
      <w:r w:rsidR="00075058" w:rsidRPr="00075058">
        <w:rPr>
          <w:rFonts w:ascii="Times New Roman" w:hAnsi="Times New Roman"/>
          <w:sz w:val="24"/>
          <w:lang w:eastAsia="fr-FR" w:bidi="fr-FR"/>
        </w:rPr>
        <w:t xml:space="preserve">, </w:t>
      </w:r>
      <w:r w:rsidR="000024C7">
        <w:rPr>
          <w:rFonts w:ascii="Times New Roman" w:hAnsi="Times New Roman"/>
          <w:sz w:val="24"/>
          <w:lang w:eastAsia="fr-FR" w:bidi="fr-FR"/>
        </w:rPr>
        <w:t>l’alimentation du</w:t>
      </w:r>
      <w:r w:rsidR="00075058" w:rsidRPr="00075058">
        <w:rPr>
          <w:rFonts w:ascii="Times New Roman" w:hAnsi="Times New Roman"/>
          <w:sz w:val="24"/>
          <w:lang w:eastAsia="fr-FR" w:bidi="fr-FR"/>
        </w:rPr>
        <w:t xml:space="preserve"> bétail, </w:t>
      </w:r>
      <w:r w:rsidR="00782E09">
        <w:rPr>
          <w:rFonts w:ascii="Times New Roman" w:hAnsi="Times New Roman"/>
          <w:sz w:val="24"/>
          <w:lang w:eastAsia="fr-FR" w:bidi="fr-FR"/>
        </w:rPr>
        <w:t xml:space="preserve">essentiellement basée sur la </w:t>
      </w:r>
      <w:r w:rsidR="00912C59">
        <w:rPr>
          <w:rFonts w:ascii="Times New Roman" w:hAnsi="Times New Roman"/>
          <w:sz w:val="24"/>
          <w:lang w:eastAsia="fr-FR" w:bidi="fr-FR"/>
        </w:rPr>
        <w:t>disponibilité</w:t>
      </w:r>
      <w:r w:rsidR="00075058" w:rsidRPr="00075058">
        <w:rPr>
          <w:rFonts w:ascii="Times New Roman" w:hAnsi="Times New Roman"/>
          <w:sz w:val="24"/>
          <w:lang w:eastAsia="fr-FR" w:bidi="fr-FR"/>
        </w:rPr>
        <w:t xml:space="preserve"> des ressources naturelles (pâturages), représente une activité secondaire </w:t>
      </w:r>
      <w:r w:rsidR="00782E09">
        <w:rPr>
          <w:rFonts w:ascii="Times New Roman" w:hAnsi="Times New Roman"/>
          <w:sz w:val="24"/>
          <w:lang w:eastAsia="fr-FR" w:bidi="fr-FR"/>
        </w:rPr>
        <w:t>génératrice</w:t>
      </w:r>
      <w:r w:rsidR="00782E09" w:rsidRPr="00075058">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de revenus (sauf dans la zone de Ferlo où l'élevage du bétail </w:t>
      </w:r>
      <w:r w:rsidR="009121B8">
        <w:rPr>
          <w:rFonts w:ascii="Times New Roman" w:hAnsi="Times New Roman"/>
          <w:sz w:val="24"/>
          <w:lang w:eastAsia="fr-FR" w:bidi="fr-FR"/>
        </w:rPr>
        <w:t xml:space="preserve">est la première </w:t>
      </w:r>
      <w:r w:rsidR="00075058" w:rsidRPr="00075058">
        <w:rPr>
          <w:rFonts w:ascii="Times New Roman" w:hAnsi="Times New Roman"/>
          <w:sz w:val="24"/>
          <w:lang w:eastAsia="fr-FR" w:bidi="fr-FR"/>
        </w:rPr>
        <w:t>activité). La vulnérabilité de ce secteur face au</w:t>
      </w:r>
      <w:r w:rsidR="009121B8">
        <w:rPr>
          <w:rFonts w:ascii="Times New Roman" w:hAnsi="Times New Roman"/>
          <w:sz w:val="24"/>
          <w:lang w:eastAsia="fr-FR" w:bidi="fr-FR"/>
        </w:rPr>
        <w:t>x</w:t>
      </w:r>
      <w:r w:rsidR="00075058" w:rsidRPr="00075058">
        <w:rPr>
          <w:rFonts w:ascii="Times New Roman" w:hAnsi="Times New Roman"/>
          <w:sz w:val="24"/>
          <w:lang w:eastAsia="fr-FR" w:bidi="fr-FR"/>
        </w:rPr>
        <w:t xml:space="preserve"> changement</w:t>
      </w:r>
      <w:r w:rsidR="009121B8">
        <w:rPr>
          <w:rFonts w:ascii="Times New Roman" w:hAnsi="Times New Roman"/>
          <w:sz w:val="24"/>
          <w:lang w:eastAsia="fr-FR" w:bidi="fr-FR"/>
        </w:rPr>
        <w:t>s</w:t>
      </w:r>
      <w:r w:rsidR="00075058" w:rsidRPr="00075058">
        <w:rPr>
          <w:rFonts w:ascii="Times New Roman" w:hAnsi="Times New Roman"/>
          <w:sz w:val="24"/>
          <w:lang w:eastAsia="fr-FR" w:bidi="fr-FR"/>
        </w:rPr>
        <w:t xml:space="preserve"> climatique</w:t>
      </w:r>
      <w:r w:rsidR="009121B8">
        <w:rPr>
          <w:rFonts w:ascii="Times New Roman" w:hAnsi="Times New Roman"/>
          <w:sz w:val="24"/>
          <w:lang w:eastAsia="fr-FR" w:bidi="fr-FR"/>
        </w:rPr>
        <w:t>s</w:t>
      </w:r>
      <w:r w:rsidR="00075058" w:rsidRPr="00075058">
        <w:rPr>
          <w:rFonts w:ascii="Times New Roman" w:hAnsi="Times New Roman"/>
          <w:sz w:val="24"/>
          <w:lang w:eastAsia="fr-FR" w:bidi="fr-FR"/>
        </w:rPr>
        <w:t xml:space="preserve"> est encore plus accentuée par le risque croissant d'épidémies et de </w:t>
      </w:r>
      <w:r w:rsidR="00075058" w:rsidRPr="00075058">
        <w:rPr>
          <w:rFonts w:ascii="Times New Roman" w:hAnsi="Times New Roman"/>
          <w:sz w:val="24"/>
          <w:lang w:eastAsia="fr-FR" w:bidi="fr-FR"/>
        </w:rPr>
        <w:lastRenderedPageBreak/>
        <w:t>maladies</w:t>
      </w:r>
      <w:r w:rsidR="00075058" w:rsidRPr="00075058">
        <w:rPr>
          <w:rFonts w:ascii="Times New Roman" w:hAnsi="Times New Roman"/>
          <w:sz w:val="24"/>
          <w:vertAlign w:val="superscript"/>
          <w:lang w:eastAsia="fr-FR" w:bidi="fr-FR"/>
        </w:rPr>
        <w:footnoteReference w:id="16"/>
      </w:r>
      <w:r w:rsidR="00075058" w:rsidRPr="00075058">
        <w:rPr>
          <w:rFonts w:ascii="Times New Roman" w:hAnsi="Times New Roman"/>
          <w:sz w:val="24"/>
          <w:lang w:eastAsia="fr-FR" w:bidi="fr-FR"/>
        </w:rPr>
        <w:t xml:space="preserve"> </w:t>
      </w:r>
      <w:r w:rsidR="009121B8">
        <w:rPr>
          <w:rFonts w:ascii="Times New Roman" w:hAnsi="Times New Roman"/>
          <w:sz w:val="24"/>
          <w:lang w:eastAsia="fr-FR" w:bidi="fr-FR"/>
        </w:rPr>
        <w:t>qu’il serait peu probable d’aborder</w:t>
      </w:r>
      <w:r w:rsidR="00075058" w:rsidRPr="00075058">
        <w:rPr>
          <w:rFonts w:ascii="Times New Roman" w:hAnsi="Times New Roman"/>
          <w:sz w:val="24"/>
          <w:lang w:eastAsia="fr-FR" w:bidi="fr-FR"/>
        </w:rPr>
        <w:t xml:space="preserve"> du fait de l'absence actuelle de </w:t>
      </w:r>
      <w:r w:rsidR="009121B8">
        <w:rPr>
          <w:rFonts w:ascii="Times New Roman" w:hAnsi="Times New Roman"/>
          <w:sz w:val="24"/>
          <w:lang w:eastAsia="fr-FR" w:bidi="fr-FR"/>
        </w:rPr>
        <w:t>surveillance</w:t>
      </w:r>
      <w:r w:rsidR="009121B8" w:rsidRPr="00075058">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vétérinaire. Les risques relatifs aux pertes de bétails peuvent réduire considérablement les revenus engendrés par ce secteur, ce qui entrainerait des bouleversements de la vie familiale et exposerait </w:t>
      </w:r>
      <w:r w:rsidR="009121B8">
        <w:rPr>
          <w:rFonts w:ascii="Times New Roman" w:hAnsi="Times New Roman"/>
          <w:sz w:val="24"/>
          <w:lang w:eastAsia="fr-FR" w:bidi="fr-FR"/>
        </w:rPr>
        <w:t>davantage</w:t>
      </w:r>
      <w:r w:rsidR="00075058" w:rsidRPr="00075058">
        <w:rPr>
          <w:rFonts w:ascii="Times New Roman" w:hAnsi="Times New Roman"/>
          <w:sz w:val="24"/>
          <w:lang w:eastAsia="fr-FR" w:bidi="fr-FR"/>
        </w:rPr>
        <w:t xml:space="preserve"> la vie des femmes et des enfants.</w:t>
      </w:r>
    </w:p>
    <w:p w:rsidR="00075058" w:rsidRPr="00075058" w:rsidRDefault="00A15BF5" w:rsidP="00FB2FBE">
      <w:pPr>
        <w:numPr>
          <w:ilvl w:val="0"/>
          <w:numId w:val="99"/>
        </w:numPr>
        <w:spacing w:after="0"/>
        <w:ind w:left="1134" w:hanging="708"/>
        <w:rPr>
          <w:rFonts w:ascii="Times New Roman" w:hAnsi="Times New Roman"/>
          <w:sz w:val="24"/>
          <w:lang w:eastAsia="fr-FR" w:bidi="fr-FR"/>
        </w:rPr>
      </w:pPr>
      <w:r>
        <w:rPr>
          <w:rFonts w:ascii="Times New Roman" w:hAnsi="Times New Roman"/>
          <w:sz w:val="24"/>
          <w:u w:val="single"/>
          <w:lang w:eastAsia="fr-FR" w:bidi="fr-FR"/>
        </w:rPr>
        <w:t>Les r</w:t>
      </w:r>
      <w:r w:rsidR="00075058" w:rsidRPr="00075058">
        <w:rPr>
          <w:rFonts w:ascii="Times New Roman" w:hAnsi="Times New Roman"/>
          <w:sz w:val="24"/>
          <w:u w:val="single"/>
          <w:lang w:eastAsia="fr-FR" w:bidi="fr-FR"/>
        </w:rPr>
        <w:t>essources en eau </w:t>
      </w:r>
      <w:r>
        <w:rPr>
          <w:rFonts w:ascii="Times New Roman" w:hAnsi="Times New Roman"/>
          <w:sz w:val="24"/>
          <w:lang w:eastAsia="fr-FR" w:bidi="fr-FR"/>
        </w:rPr>
        <w:t>: l</w:t>
      </w:r>
      <w:r w:rsidR="00075058" w:rsidRPr="00075058">
        <w:rPr>
          <w:rFonts w:ascii="Times New Roman" w:hAnsi="Times New Roman"/>
          <w:sz w:val="24"/>
          <w:lang w:eastAsia="fr-FR" w:bidi="fr-FR"/>
        </w:rPr>
        <w:t xml:space="preserve">es variations de précipitations et de températures attendues dans les régions du projet peuvent entrainer des </w:t>
      </w:r>
      <w:r w:rsidRPr="00075058">
        <w:rPr>
          <w:rFonts w:ascii="Times New Roman" w:hAnsi="Times New Roman"/>
          <w:sz w:val="24"/>
          <w:lang w:eastAsia="fr-FR" w:bidi="fr-FR"/>
        </w:rPr>
        <w:t>changements</w:t>
      </w:r>
      <w:r w:rsidR="00075058" w:rsidRPr="00075058">
        <w:rPr>
          <w:rFonts w:ascii="Times New Roman" w:hAnsi="Times New Roman"/>
          <w:sz w:val="24"/>
          <w:lang w:eastAsia="fr-FR" w:bidi="fr-FR"/>
        </w:rPr>
        <w:t xml:space="preserve"> en matière d'eau de pluie</w:t>
      </w:r>
      <w:r w:rsidR="00D22B1B">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et </w:t>
      </w:r>
      <w:r w:rsidR="005A741B">
        <w:rPr>
          <w:rFonts w:ascii="Times New Roman" w:hAnsi="Times New Roman"/>
          <w:sz w:val="24"/>
          <w:lang w:eastAsia="fr-FR" w:bidi="fr-FR"/>
        </w:rPr>
        <w:t xml:space="preserve">une </w:t>
      </w:r>
      <w:r w:rsidR="00075058" w:rsidRPr="00075058">
        <w:rPr>
          <w:rFonts w:ascii="Times New Roman" w:hAnsi="Times New Roman"/>
          <w:sz w:val="24"/>
          <w:lang w:eastAsia="fr-FR" w:bidi="fr-FR"/>
        </w:rPr>
        <w:t>rédu</w:t>
      </w:r>
      <w:r w:rsidR="005A741B">
        <w:rPr>
          <w:rFonts w:ascii="Times New Roman" w:hAnsi="Times New Roman"/>
          <w:sz w:val="24"/>
          <w:lang w:eastAsia="fr-FR" w:bidi="fr-FR"/>
        </w:rPr>
        <w:t xml:space="preserve">ction de </w:t>
      </w:r>
      <w:r w:rsidR="00075058" w:rsidRPr="00075058">
        <w:rPr>
          <w:rFonts w:ascii="Times New Roman" w:hAnsi="Times New Roman"/>
          <w:sz w:val="24"/>
          <w:lang w:eastAsia="fr-FR" w:bidi="fr-FR"/>
        </w:rPr>
        <w:t xml:space="preserve">la quantité d'eau disponible dans les </w:t>
      </w:r>
      <w:r w:rsidR="005A741B">
        <w:rPr>
          <w:rFonts w:ascii="Times New Roman" w:hAnsi="Times New Roman"/>
          <w:sz w:val="24"/>
          <w:lang w:eastAsia="fr-FR" w:bidi="fr-FR"/>
        </w:rPr>
        <w:t>châteaux d’eau</w:t>
      </w:r>
      <w:r w:rsidR="00075058" w:rsidRPr="00075058">
        <w:rPr>
          <w:rFonts w:ascii="Times New Roman" w:hAnsi="Times New Roman"/>
          <w:sz w:val="24"/>
          <w:lang w:eastAsia="fr-FR" w:bidi="fr-FR"/>
        </w:rPr>
        <w:t xml:space="preserve">. En outre, une réduction de la réalimentation des nappes alluviales et des nappes phréatiques provoquée par un accroissement de l'évaporation peut conduire à un assèchement rapide des </w:t>
      </w:r>
      <w:r w:rsidR="005A741B">
        <w:rPr>
          <w:rFonts w:ascii="Times New Roman" w:hAnsi="Times New Roman"/>
          <w:sz w:val="24"/>
          <w:lang w:eastAsia="fr-FR" w:bidi="fr-FR"/>
        </w:rPr>
        <w:t>mares</w:t>
      </w:r>
      <w:r w:rsidR="00075058" w:rsidRPr="00075058">
        <w:rPr>
          <w:rFonts w:ascii="Times New Roman" w:hAnsi="Times New Roman"/>
          <w:sz w:val="24"/>
          <w:lang w:eastAsia="fr-FR" w:bidi="fr-FR"/>
        </w:rPr>
        <w:t xml:space="preserve">. Une augmentation des épisodes </w:t>
      </w:r>
      <w:r w:rsidR="005A741B" w:rsidRPr="00075058">
        <w:rPr>
          <w:rFonts w:ascii="Times New Roman" w:hAnsi="Times New Roman"/>
          <w:sz w:val="24"/>
          <w:lang w:eastAsia="fr-FR" w:bidi="fr-FR"/>
        </w:rPr>
        <w:t xml:space="preserve">de sécheresse </w:t>
      </w:r>
      <w:r w:rsidR="00075058" w:rsidRPr="00075058">
        <w:rPr>
          <w:rFonts w:ascii="Times New Roman" w:hAnsi="Times New Roman"/>
          <w:sz w:val="24"/>
          <w:lang w:eastAsia="fr-FR" w:bidi="fr-FR"/>
        </w:rPr>
        <w:t xml:space="preserve">prévus </w:t>
      </w:r>
      <w:r w:rsidRPr="00075058">
        <w:rPr>
          <w:rFonts w:ascii="Times New Roman" w:hAnsi="Times New Roman"/>
          <w:sz w:val="24"/>
          <w:lang w:eastAsia="fr-FR" w:bidi="fr-FR"/>
        </w:rPr>
        <w:t>causée</w:t>
      </w:r>
      <w:r w:rsidR="00075058" w:rsidRPr="00075058">
        <w:rPr>
          <w:rFonts w:ascii="Times New Roman" w:hAnsi="Times New Roman"/>
          <w:sz w:val="24"/>
          <w:lang w:eastAsia="fr-FR" w:bidi="fr-FR"/>
        </w:rPr>
        <w:t xml:space="preserve"> par le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changement</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climatique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conduira à la réduction </w:t>
      </w:r>
      <w:r w:rsidR="005A741B">
        <w:rPr>
          <w:rFonts w:ascii="Times New Roman" w:hAnsi="Times New Roman"/>
          <w:sz w:val="24"/>
          <w:lang w:eastAsia="fr-FR" w:bidi="fr-FR"/>
        </w:rPr>
        <w:t xml:space="preserve">de la disponibilité </w:t>
      </w:r>
      <w:r w:rsidR="00075058" w:rsidRPr="00075058">
        <w:rPr>
          <w:rFonts w:ascii="Times New Roman" w:hAnsi="Times New Roman"/>
          <w:sz w:val="24"/>
          <w:lang w:eastAsia="fr-FR" w:bidi="fr-FR"/>
        </w:rPr>
        <w:t>de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ressources en eau. Tout cela peut entrainer des conséquences négatives sur l'approvisionnement en eau et sur la productivité des cultures irriguées. </w:t>
      </w:r>
      <w:r w:rsidR="00947501">
        <w:rPr>
          <w:rFonts w:ascii="Times New Roman" w:hAnsi="Times New Roman"/>
          <w:sz w:val="24"/>
          <w:lang w:eastAsia="fr-FR" w:bidi="fr-FR"/>
        </w:rPr>
        <w:t>Par ailleurs</w:t>
      </w:r>
      <w:r w:rsidR="00075058" w:rsidRPr="00075058">
        <w:rPr>
          <w:rFonts w:ascii="Times New Roman" w:hAnsi="Times New Roman"/>
          <w:sz w:val="24"/>
          <w:lang w:eastAsia="fr-FR" w:bidi="fr-FR"/>
        </w:rPr>
        <w:t xml:space="preserve">, un accroissement des fréquences et de l'intensité des inondations est prévu, notamment au Sénégal oriental, et entrainera également des conséquences négatives sur la qualité de l'eau, ce qui devrait engendrer de nombreuses maladies et mettre à mal la santé et le bien-être de la population et du bétail. </w:t>
      </w:r>
    </w:p>
    <w:p w:rsidR="00075058" w:rsidRPr="00075058" w:rsidRDefault="00A15BF5" w:rsidP="00FB2FBE">
      <w:pPr>
        <w:numPr>
          <w:ilvl w:val="0"/>
          <w:numId w:val="99"/>
        </w:numPr>
        <w:spacing w:after="0"/>
        <w:ind w:left="1134" w:hanging="708"/>
        <w:rPr>
          <w:rFonts w:ascii="Times New Roman" w:eastAsia="Times New Roman" w:hAnsi="Times New Roman"/>
          <w:sz w:val="24"/>
          <w:szCs w:val="20"/>
          <w:lang w:eastAsia="fr-FR" w:bidi="fr-FR"/>
        </w:rPr>
      </w:pPr>
      <w:r>
        <w:rPr>
          <w:rFonts w:ascii="Times New Roman" w:eastAsia="Times New Roman" w:hAnsi="Times New Roman"/>
          <w:sz w:val="24"/>
          <w:szCs w:val="22"/>
          <w:u w:val="single"/>
          <w:lang w:eastAsia="fr-FR" w:bidi="fr-FR"/>
        </w:rPr>
        <w:t>La f</w:t>
      </w:r>
      <w:r w:rsidR="00075058" w:rsidRPr="00075058">
        <w:rPr>
          <w:rFonts w:ascii="Times New Roman" w:eastAsia="Times New Roman" w:hAnsi="Times New Roman"/>
          <w:sz w:val="24"/>
          <w:szCs w:val="22"/>
          <w:u w:val="single"/>
          <w:lang w:eastAsia="fr-FR" w:bidi="fr-FR"/>
        </w:rPr>
        <w:t>oresterie </w:t>
      </w:r>
      <w:r>
        <w:rPr>
          <w:rFonts w:ascii="Times New Roman" w:eastAsia="Times New Roman" w:hAnsi="Times New Roman"/>
          <w:sz w:val="24"/>
          <w:szCs w:val="22"/>
          <w:lang w:eastAsia="fr-FR" w:bidi="fr-FR"/>
        </w:rPr>
        <w:t>: l</w:t>
      </w:r>
      <w:r w:rsidR="00075058" w:rsidRPr="00075058">
        <w:rPr>
          <w:rFonts w:ascii="Times New Roman" w:eastAsia="Times New Roman" w:hAnsi="Times New Roman"/>
          <w:sz w:val="24"/>
          <w:szCs w:val="22"/>
          <w:lang w:eastAsia="fr-FR" w:bidi="fr-FR"/>
        </w:rPr>
        <w:t xml:space="preserve">es mangroves situées dans les deltas des fleuves Sénégal et Saloum abritent de nombreuses espèces animales qui contribuent </w:t>
      </w:r>
      <w:r w:rsidR="00947501">
        <w:rPr>
          <w:rFonts w:ascii="Times New Roman" w:eastAsia="Times New Roman" w:hAnsi="Times New Roman"/>
          <w:sz w:val="24"/>
          <w:szCs w:val="22"/>
          <w:lang w:eastAsia="fr-FR" w:bidi="fr-FR"/>
        </w:rPr>
        <w:t>à la subsistance</w:t>
      </w:r>
      <w:r w:rsidR="00075058" w:rsidRPr="00075058">
        <w:rPr>
          <w:rFonts w:ascii="Times New Roman" w:eastAsia="Times New Roman" w:hAnsi="Times New Roman"/>
          <w:sz w:val="24"/>
          <w:szCs w:val="22"/>
          <w:lang w:eastAsia="fr-FR" w:bidi="fr-FR"/>
        </w:rPr>
        <w:t xml:space="preserve"> de la population. Les principales incidences d</w:t>
      </w:r>
      <w:r w:rsidR="00947501">
        <w:rPr>
          <w:rFonts w:ascii="Times New Roman" w:eastAsia="Times New Roman" w:hAnsi="Times New Roman"/>
          <w:sz w:val="24"/>
          <w:szCs w:val="22"/>
          <w:lang w:eastAsia="fr-FR" w:bidi="fr-FR"/>
        </w:rPr>
        <w:t>es</w:t>
      </w:r>
      <w:r w:rsidR="00075058" w:rsidRPr="00075058">
        <w:rPr>
          <w:rFonts w:ascii="Times New Roman" w:eastAsia="Times New Roman" w:hAnsi="Times New Roman"/>
          <w:sz w:val="24"/>
          <w:szCs w:val="22"/>
          <w:lang w:eastAsia="fr-FR" w:bidi="fr-FR"/>
        </w:rPr>
        <w:t xml:space="preserve"> changement</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sur ces mangroves (principalement le genre </w:t>
      </w:r>
      <w:r w:rsidR="00075058" w:rsidRPr="00075058">
        <w:rPr>
          <w:rFonts w:ascii="Times New Roman" w:eastAsia="Times New Roman" w:hAnsi="Times New Roman"/>
          <w:i/>
          <w:sz w:val="24"/>
          <w:szCs w:val="22"/>
          <w:lang w:eastAsia="fr-FR" w:bidi="fr-FR"/>
        </w:rPr>
        <w:t>Rhizophora sp</w:t>
      </w:r>
      <w:r w:rsidR="00075058" w:rsidRPr="00075058">
        <w:rPr>
          <w:rFonts w:ascii="Times New Roman" w:eastAsia="Times New Roman" w:hAnsi="Times New Roman"/>
          <w:sz w:val="24"/>
          <w:szCs w:val="22"/>
          <w:lang w:eastAsia="fr-FR" w:bidi="fr-FR"/>
        </w:rPr>
        <w:t>.) sont la salinisation des terres qui contribue, avec d'autres pression</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anthropiques, à leur disparition. En 1975, les mangroves couvraient une surface de 200.000 ha alors qu'en 2013 cette surface était seulement de 185.000 ha</w:t>
      </w:r>
      <w:r w:rsidR="00075058" w:rsidRPr="00075058">
        <w:rPr>
          <w:rFonts w:ascii="Times New Roman" w:eastAsia="Times New Roman" w:hAnsi="Times New Roman"/>
          <w:sz w:val="24"/>
          <w:szCs w:val="22"/>
          <w:vertAlign w:val="superscript"/>
          <w:lang w:eastAsia="fr-FR" w:bidi="fr-FR"/>
        </w:rPr>
        <w:footnoteReference w:id="17"/>
      </w:r>
      <w:r w:rsidR="00075058" w:rsidRPr="00075058">
        <w:rPr>
          <w:rFonts w:ascii="Times New Roman" w:eastAsia="Times New Roman" w:hAnsi="Times New Roman"/>
          <w:sz w:val="24"/>
          <w:szCs w:val="22"/>
          <w:lang w:eastAsia="fr-FR" w:bidi="fr-FR"/>
        </w:rPr>
        <w:t>. Ainsi, le taux de déforestation relatif aux mangroves est d'environ 2,6 </w:t>
      </w:r>
      <w:r w:rsidR="008712CB">
        <w:rPr>
          <w:rFonts w:ascii="Times New Roman" w:eastAsia="Times New Roman" w:hAnsi="Times New Roman"/>
          <w:sz w:val="24"/>
          <w:szCs w:val="22"/>
          <w:lang w:eastAsia="fr-FR" w:bidi="fr-FR"/>
        </w:rPr>
        <w:t>%</w:t>
      </w:r>
      <w:r w:rsidR="00075058" w:rsidRPr="00075058">
        <w:rPr>
          <w:rFonts w:ascii="Times New Roman" w:eastAsia="Times New Roman" w:hAnsi="Times New Roman"/>
          <w:sz w:val="24"/>
          <w:szCs w:val="22"/>
          <w:lang w:eastAsia="fr-FR" w:bidi="fr-FR"/>
        </w:rPr>
        <w:t xml:space="preserve"> par an. D'autres peuplements forestiers ainsi que les savanes sèches, les savanes boisées et les forêts subtropicales fournissent à la population locale du bois de feu ou du bois destiné à la construction, ainsi que des produits forestiers non ligneux ou </w:t>
      </w:r>
      <w:r w:rsidR="00BB249B">
        <w:rPr>
          <w:rFonts w:ascii="Times New Roman" w:eastAsia="Times New Roman" w:hAnsi="Times New Roman"/>
          <w:sz w:val="24"/>
          <w:szCs w:val="22"/>
          <w:lang w:eastAsia="fr-FR" w:bidi="fr-FR"/>
        </w:rPr>
        <w:t>du</w:t>
      </w:r>
      <w:r w:rsidR="00BB249B"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gibier</w:t>
      </w:r>
      <w:r w:rsidR="00BB249B">
        <w:rPr>
          <w:rFonts w:ascii="Times New Roman" w:eastAsia="Times New Roman" w:hAnsi="Times New Roman"/>
          <w:sz w:val="24"/>
          <w:szCs w:val="22"/>
          <w:lang w:eastAsia="fr-FR" w:bidi="fr-FR"/>
        </w:rPr>
        <w:t>, pour lesquels ,</w:t>
      </w:r>
      <w:r w:rsidR="00075058"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l</w:t>
      </w:r>
      <w:r w:rsidR="00075058" w:rsidRPr="00075058">
        <w:rPr>
          <w:rFonts w:ascii="Times New Roman" w:eastAsia="Times New Roman" w:hAnsi="Times New Roman"/>
          <w:sz w:val="24"/>
          <w:szCs w:val="22"/>
          <w:lang w:eastAsia="fr-FR" w:bidi="fr-FR"/>
        </w:rPr>
        <w:t xml:space="preserve">es principales </w:t>
      </w:r>
      <w:r w:rsidR="00BB249B" w:rsidRPr="00075058">
        <w:rPr>
          <w:rFonts w:ascii="Times New Roman" w:eastAsia="Times New Roman" w:hAnsi="Times New Roman"/>
          <w:sz w:val="24"/>
          <w:szCs w:val="22"/>
          <w:lang w:eastAsia="fr-FR" w:bidi="fr-FR"/>
        </w:rPr>
        <w:t xml:space="preserve">menaces </w:t>
      </w:r>
      <w:r w:rsidR="00075058" w:rsidRPr="00075058">
        <w:rPr>
          <w:rFonts w:ascii="Times New Roman" w:eastAsia="Times New Roman" w:hAnsi="Times New Roman"/>
          <w:sz w:val="24"/>
          <w:szCs w:val="22"/>
          <w:lang w:eastAsia="fr-FR" w:bidi="fr-FR"/>
        </w:rPr>
        <w:t>induites par le</w:t>
      </w:r>
      <w:r w:rsidR="00BB249B">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changement</w:t>
      </w:r>
      <w:r w:rsidR="00BB249B">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  sont la multiplication des feux de </w:t>
      </w:r>
      <w:r w:rsidR="00BB249B">
        <w:rPr>
          <w:rFonts w:ascii="Times New Roman" w:eastAsia="Times New Roman" w:hAnsi="Times New Roman"/>
          <w:sz w:val="24"/>
          <w:szCs w:val="22"/>
          <w:lang w:eastAsia="fr-FR" w:bidi="fr-FR"/>
        </w:rPr>
        <w:t xml:space="preserve">brousse </w:t>
      </w:r>
      <w:r w:rsidR="00BB249B"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et la désertification entrainant une réduction </w:t>
      </w:r>
      <w:r w:rsidR="00BB249B">
        <w:rPr>
          <w:rFonts w:ascii="Times New Roman" w:eastAsia="Times New Roman" w:hAnsi="Times New Roman"/>
          <w:sz w:val="24"/>
          <w:szCs w:val="22"/>
          <w:lang w:eastAsia="fr-FR" w:bidi="fr-FR"/>
        </w:rPr>
        <w:t>du</w:t>
      </w:r>
      <w:r w:rsidR="00BB249B"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couvert</w:t>
      </w:r>
      <w:r w:rsidR="00BB249B"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forestier</w:t>
      </w:r>
      <w:r w:rsidR="00075058" w:rsidRPr="00075058">
        <w:rPr>
          <w:rFonts w:ascii="Times New Roman" w:eastAsia="Times New Roman" w:hAnsi="Times New Roman"/>
          <w:sz w:val="24"/>
          <w:szCs w:val="22"/>
          <w:lang w:eastAsia="fr-FR" w:bidi="fr-FR"/>
        </w:rPr>
        <w: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D'après la FAO, le Sénégal fait partie des 15 pays du monde où le secteur de l'agriculture est le plus touché par le changement climatique. Pour 60 % de la population sénégalaise, les moyens de subsistance reposent sur les ressources naturelles </w:t>
      </w:r>
      <w:r w:rsidRPr="00075058">
        <w:rPr>
          <w:rFonts w:ascii="Times New Roman" w:eastAsia="Times New Roman" w:hAnsi="Times New Roman"/>
          <w:sz w:val="24"/>
          <w:szCs w:val="22"/>
          <w:vertAlign w:val="superscript"/>
          <w:lang w:eastAsia="fr-FR" w:bidi="fr-FR"/>
        </w:rPr>
        <w:footnoteReference w:id="18"/>
      </w:r>
      <w:r w:rsidR="00D2405E">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ainsi, cette partie de la population subit davantage les effets du changement climatique. La capacité de réaction de cette population est fortement limitée par la pauvreté, étant donné que 57 % des </w:t>
      </w:r>
      <w:r w:rsidR="009C022B">
        <w:rPr>
          <w:rFonts w:ascii="Times New Roman" w:eastAsia="Times New Roman" w:hAnsi="Times New Roman"/>
          <w:sz w:val="24"/>
          <w:szCs w:val="22"/>
          <w:lang w:eastAsia="fr-FR" w:bidi="fr-FR"/>
        </w:rPr>
        <w:t>populations</w:t>
      </w:r>
      <w:r w:rsidRPr="00075058">
        <w:rPr>
          <w:rFonts w:ascii="Times New Roman" w:eastAsia="Times New Roman" w:hAnsi="Times New Roman"/>
          <w:sz w:val="24"/>
          <w:szCs w:val="22"/>
          <w:lang w:eastAsia="fr-FR" w:bidi="fr-FR"/>
        </w:rPr>
        <w:t xml:space="preserve"> rurales sont considéré</w:t>
      </w:r>
      <w:r w:rsidR="009C022B">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s comme pauvres</w:t>
      </w:r>
      <w:r w:rsidRPr="00075058">
        <w:rPr>
          <w:rFonts w:ascii="Times New Roman" w:eastAsia="Times New Roman" w:hAnsi="Times New Roman"/>
          <w:sz w:val="24"/>
          <w:szCs w:val="22"/>
          <w:vertAlign w:val="superscript"/>
          <w:lang w:eastAsia="fr-FR" w:bidi="fr-FR"/>
        </w:rPr>
        <w:footnoteReference w:id="19"/>
      </w:r>
      <w:r w:rsidRPr="00075058">
        <w:rPr>
          <w:rFonts w:ascii="Times New Roman" w:eastAsia="Times New Roman" w:hAnsi="Times New Roman"/>
          <w:sz w:val="24"/>
          <w:szCs w:val="22"/>
          <w:lang w:eastAsia="fr-FR" w:bidi="fr-FR"/>
        </w:rPr>
        <w:t xml:space="preserve">. </w:t>
      </w:r>
      <w:r w:rsidR="009C022B">
        <w:rPr>
          <w:rFonts w:ascii="Times New Roman" w:eastAsia="Times New Roman" w:hAnsi="Times New Roman"/>
          <w:sz w:val="24"/>
          <w:szCs w:val="22"/>
          <w:lang w:eastAsia="fr-FR" w:bidi="fr-FR"/>
        </w:rPr>
        <w:t>Selon</w:t>
      </w:r>
      <w:r w:rsidR="009C022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une étude commandité</w:t>
      </w:r>
      <w:r w:rsidR="00C50A2D">
        <w:rPr>
          <w:rFonts w:ascii="Times New Roman" w:eastAsia="Times New Roman" w:hAnsi="Times New Roman"/>
          <w:sz w:val="24"/>
          <w:szCs w:val="22"/>
          <w:lang w:eastAsia="fr-FR" w:bidi="fr-FR"/>
        </w:rPr>
        <w:t xml:space="preserve">e </w:t>
      </w:r>
      <w:r w:rsidRPr="00075058">
        <w:rPr>
          <w:rFonts w:ascii="Times New Roman" w:eastAsia="Times New Roman" w:hAnsi="Times New Roman"/>
          <w:sz w:val="24"/>
          <w:szCs w:val="22"/>
          <w:lang w:eastAsia="fr-FR" w:bidi="fr-FR"/>
        </w:rPr>
        <w:t xml:space="preserve">par la fondation FARM et conduite par le CIRAD, la sécurité alimentaire en Afrique </w:t>
      </w:r>
      <w:r w:rsidR="009C022B">
        <w:rPr>
          <w:rFonts w:ascii="Times New Roman" w:eastAsia="Times New Roman" w:hAnsi="Times New Roman"/>
          <w:sz w:val="24"/>
          <w:szCs w:val="22"/>
          <w:lang w:eastAsia="fr-FR" w:bidi="fr-FR"/>
        </w:rPr>
        <w:t>est</w:t>
      </w:r>
      <w:r w:rsidR="009C022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en jeu d'ici 2050 du fait de la croissance démographique et d</w:t>
      </w:r>
      <w:r w:rsidR="009C022B">
        <w:rPr>
          <w:rFonts w:ascii="Times New Roman" w:eastAsia="Times New Roman" w:hAnsi="Times New Roman"/>
          <w:sz w:val="24"/>
          <w:szCs w:val="22"/>
          <w:lang w:eastAsia="fr-FR" w:bidi="fr-FR"/>
        </w:rPr>
        <w:t>es</w:t>
      </w:r>
      <w:r w:rsidRPr="00075058">
        <w:rPr>
          <w:rFonts w:ascii="Times New Roman" w:eastAsia="Times New Roman" w:hAnsi="Times New Roman"/>
          <w:sz w:val="24"/>
          <w:szCs w:val="22"/>
          <w:lang w:eastAsia="fr-FR" w:bidi="fr-FR"/>
        </w:rPr>
        <w:t xml:space="preserve"> changement</w:t>
      </w:r>
      <w:r w:rsidR="009C022B">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C022B">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w:t>
      </w:r>
      <w:r w:rsidR="009C022B" w:rsidRPr="00075058">
        <w:rPr>
          <w:rFonts w:ascii="Times New Roman" w:eastAsia="Times New Roman" w:hAnsi="Times New Roman"/>
          <w:sz w:val="24"/>
          <w:szCs w:val="22"/>
          <w:lang w:eastAsia="fr-FR" w:bidi="fr-FR"/>
        </w:rPr>
        <w:t>menaç</w:t>
      </w:r>
      <w:r w:rsidR="009C022B">
        <w:rPr>
          <w:rFonts w:ascii="Times New Roman" w:eastAsia="Times New Roman" w:hAnsi="Times New Roman"/>
          <w:sz w:val="24"/>
          <w:szCs w:val="22"/>
          <w:lang w:eastAsia="fr-FR" w:bidi="fr-FR"/>
        </w:rPr>
        <w:t>ant</w:t>
      </w:r>
      <w:r w:rsidRPr="00075058">
        <w:rPr>
          <w:rFonts w:ascii="Times New Roman" w:eastAsia="Times New Roman" w:hAnsi="Times New Roman"/>
          <w:sz w:val="24"/>
          <w:szCs w:val="22"/>
          <w:lang w:eastAsia="fr-FR" w:bidi="fr-FR"/>
        </w:rPr>
        <w:t xml:space="preserve"> la disponibilité alimentaire</w:t>
      </w:r>
      <w:r w:rsidRPr="00075058">
        <w:rPr>
          <w:rFonts w:ascii="Times New Roman" w:eastAsia="Times New Roman" w:hAnsi="Times New Roman"/>
          <w:sz w:val="24"/>
          <w:szCs w:val="22"/>
          <w:vertAlign w:val="superscript"/>
          <w:lang w:eastAsia="fr-FR" w:bidi="fr-FR"/>
        </w:rPr>
        <w:footnoteReference w:id="20"/>
      </w:r>
      <w:r w:rsidRPr="00075058">
        <w:rPr>
          <w:rFonts w:ascii="Times New Roman" w:eastAsia="Times New Roman" w:hAnsi="Times New Roman"/>
          <w:sz w:val="24"/>
          <w:szCs w:val="22"/>
          <w:lang w:eastAsia="fr-FR" w:bidi="fr-FR"/>
        </w:rPr>
        <w:t>. Le fait que la population soit fortement dépendante des ressources naturelle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et particulièrement des revenus issus de l'agriculture, représente une difficulté supplémentaire pour le Sénégal </w:t>
      </w:r>
      <w:r w:rsidR="00427F10">
        <w:rPr>
          <w:rFonts w:ascii="Times New Roman" w:eastAsia="Times New Roman" w:hAnsi="Times New Roman"/>
          <w:sz w:val="24"/>
          <w:szCs w:val="22"/>
          <w:lang w:eastAsia="fr-FR" w:bidi="fr-FR"/>
        </w:rPr>
        <w:t xml:space="preserve">à atteindre </w:t>
      </w:r>
      <w:r w:rsidR="00D22B1B">
        <w:rPr>
          <w:rFonts w:ascii="Times New Roman" w:eastAsia="Times New Roman" w:hAnsi="Times New Roman"/>
          <w:sz w:val="24"/>
          <w:szCs w:val="22"/>
          <w:lang w:eastAsia="fr-FR" w:bidi="fr-FR"/>
        </w:rPr>
        <w:t xml:space="preserve">les </w:t>
      </w:r>
      <w:r w:rsidR="00D22B1B" w:rsidRPr="00075058">
        <w:rPr>
          <w:rFonts w:ascii="Times New Roman" w:eastAsia="Times New Roman" w:hAnsi="Times New Roman"/>
          <w:sz w:val="24"/>
          <w:szCs w:val="22"/>
          <w:lang w:eastAsia="fr-FR" w:bidi="fr-FR"/>
        </w:rPr>
        <w:t>objectifs</w:t>
      </w:r>
      <w:r w:rsidRPr="00075058">
        <w:rPr>
          <w:rFonts w:ascii="Times New Roman" w:eastAsia="Times New Roman" w:hAnsi="Times New Roman"/>
          <w:sz w:val="24"/>
          <w:szCs w:val="22"/>
          <w:lang w:eastAsia="fr-FR" w:bidi="fr-FR"/>
        </w:rPr>
        <w:t xml:space="preserve"> de développement durable (ODD), notamment en ce qui concerne l'ODD 1 </w:t>
      </w:r>
      <w:r w:rsidRPr="00075058">
        <w:rPr>
          <w:rFonts w:ascii="Times New Roman" w:eastAsia="Times New Roman" w:hAnsi="Times New Roman"/>
          <w:i/>
          <w:sz w:val="24"/>
          <w:szCs w:val="22"/>
          <w:lang w:eastAsia="fr-FR" w:bidi="fr-FR"/>
        </w:rPr>
        <w:t>Pas de pauvreté</w:t>
      </w:r>
      <w:r w:rsidRPr="00075058">
        <w:rPr>
          <w:rFonts w:ascii="Times New Roman" w:eastAsia="Times New Roman" w:hAnsi="Times New Roman"/>
          <w:sz w:val="24"/>
          <w:szCs w:val="22"/>
          <w:lang w:eastAsia="fr-FR" w:bidi="fr-FR"/>
        </w:rPr>
        <w:t xml:space="preserve"> et l'ODD 2 </w:t>
      </w:r>
      <w:r w:rsidR="00427F10">
        <w:rPr>
          <w:rFonts w:ascii="Times New Roman" w:eastAsia="Times New Roman" w:hAnsi="Times New Roman"/>
          <w:i/>
          <w:sz w:val="24"/>
          <w:szCs w:val="22"/>
          <w:lang w:eastAsia="fr-FR" w:bidi="fr-FR"/>
        </w:rPr>
        <w:t>Pas de faim</w:t>
      </w:r>
      <w:r w:rsidRPr="00075058">
        <w:rPr>
          <w:rFonts w:ascii="Times New Roman" w:eastAsia="Times New Roman" w:hAnsi="Times New Roman"/>
          <w:sz w:val="24"/>
          <w:szCs w:val="22"/>
          <w:lang w:eastAsia="fr-FR" w:bidi="fr-FR"/>
        </w:rPr>
        <w:t xml:space="preserve">. En outre, l'accès limité aux technologies et aux ressources financières est </w:t>
      </w:r>
      <w:r w:rsidR="00427F10">
        <w:rPr>
          <w:rFonts w:ascii="Times New Roman" w:eastAsia="Times New Roman" w:hAnsi="Times New Roman"/>
          <w:sz w:val="24"/>
          <w:szCs w:val="22"/>
          <w:lang w:eastAsia="fr-FR" w:bidi="fr-FR"/>
        </w:rPr>
        <w:t>également une cause majeure du défi actuel d’adaptation aux changements climatiques pour les populations vulnérables</w:t>
      </w:r>
      <w:r w:rsidRPr="00075058">
        <w:rPr>
          <w:rFonts w:ascii="Times New Roman" w:eastAsia="Times New Roman" w:hAnsi="Times New Roman"/>
          <w:sz w:val="24"/>
          <w:szCs w:val="22"/>
          <w:lang w:eastAsia="fr-FR" w:bidi="fr-FR"/>
        </w:rPr>
        <w:t>.</w:t>
      </w:r>
    </w:p>
    <w:p w:rsidR="00075058" w:rsidRPr="00075058" w:rsidRDefault="00427F10" w:rsidP="00FB2FBE">
      <w:pPr>
        <w:spacing w:after="0"/>
        <w:ind w:left="720"/>
        <w:rPr>
          <w:rFonts w:ascii="Times New Roman" w:eastAsia="Times New Roman" w:hAnsi="Times New Roman"/>
          <w:noProof/>
          <w:sz w:val="24"/>
          <w:szCs w:val="22"/>
          <w:lang w:eastAsia="fr-FR" w:bidi="fr-FR"/>
        </w:rPr>
      </w:pPr>
      <w:r>
        <w:rPr>
          <w:rFonts w:ascii="Times New Roman" w:eastAsia="Times New Roman" w:hAnsi="Times New Roman"/>
          <w:sz w:val="24"/>
          <w:szCs w:val="22"/>
          <w:lang w:eastAsia="fr-FR" w:bidi="fr-FR"/>
        </w:rPr>
        <w:t>La variabilité accrue du climat</w:t>
      </w:r>
      <w:r w:rsidR="00075058" w:rsidRPr="00075058">
        <w:rPr>
          <w:rFonts w:ascii="Times New Roman" w:eastAsia="Times New Roman" w:hAnsi="Times New Roman"/>
          <w:sz w:val="24"/>
          <w:szCs w:val="22"/>
          <w:lang w:eastAsia="fr-FR" w:bidi="fr-FR"/>
        </w:rPr>
        <w:t xml:space="preserve"> et les événements extrêmes, causant de mauvaises récoltes et la perte de zones forestières, accentuent la tendance à l'exode rural, étant donné que la plupart des ménages ruraux dépendent de ressources naturelles vulnérables (par exemple l'agriculture et les produits forestiers) pour leurs moyens de subsistance. </w:t>
      </w:r>
    </w:p>
    <w:p w:rsidR="00075058" w:rsidRPr="00075058" w:rsidRDefault="00075058" w:rsidP="00FB2FBE">
      <w:pPr>
        <w:spacing w:after="0"/>
        <w:ind w:left="72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lastRenderedPageBreak/>
        <w:t>Par conséquent, la mise en œuvre de mesures d'adaptation (avec une approche intégrée comprenant les ressources naturelle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l'agriculture et les ressources en eau) aux perspectives climatiques futures en vue de contrôler leurs incidences potentielles sur l'environnement et sur les populations représente un enjeu crucial pour le Sénégal.</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spacing w:after="0"/>
        <w:ind w:left="720"/>
        <w:rPr>
          <w:rFonts w:ascii="Times New Roman" w:eastAsia="Times New Roman" w:hAnsi="Times New Roman"/>
          <w:noProof/>
          <w:sz w:val="24"/>
          <w:szCs w:val="22"/>
          <w:lang w:eastAsia="fr-FR" w:bidi="fr-FR"/>
        </w:rPr>
      </w:pPr>
      <w:r w:rsidRPr="00075058">
        <w:rPr>
          <w:rFonts w:ascii="Times New Roman" w:eastAsia="Times New Roman" w:hAnsi="Times New Roman"/>
          <w:b/>
          <w:sz w:val="24"/>
          <w:szCs w:val="22"/>
          <w:lang w:eastAsia="fr-FR" w:bidi="fr-FR"/>
        </w:rPr>
        <w:t>Conséquences spécifiques d</w:t>
      </w:r>
      <w:r w:rsidR="00427F10">
        <w:rPr>
          <w:rFonts w:ascii="Times New Roman" w:eastAsia="Times New Roman" w:hAnsi="Times New Roman"/>
          <w:b/>
          <w:sz w:val="24"/>
          <w:szCs w:val="22"/>
          <w:lang w:eastAsia="fr-FR" w:bidi="fr-FR"/>
        </w:rPr>
        <w:t>es</w:t>
      </w:r>
      <w:r w:rsidRPr="00075058">
        <w:rPr>
          <w:rFonts w:ascii="Times New Roman" w:eastAsia="Times New Roman" w:hAnsi="Times New Roman"/>
          <w:b/>
          <w:sz w:val="24"/>
          <w:szCs w:val="22"/>
          <w:lang w:eastAsia="fr-FR" w:bidi="fr-FR"/>
        </w:rPr>
        <w:t xml:space="preserve"> changement</w:t>
      </w:r>
      <w:r w:rsidR="00427F10">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climatique</w:t>
      </w:r>
      <w:r w:rsidR="00427F10">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sur les sites d'intervention </w:t>
      </w:r>
      <w:r w:rsidR="004F2196">
        <w:rPr>
          <w:rFonts w:ascii="Times New Roman" w:eastAsia="Times New Roman" w:hAnsi="Times New Roman"/>
          <w:b/>
          <w:sz w:val="24"/>
          <w:szCs w:val="22"/>
          <w:lang w:eastAsia="fr-FR" w:bidi="fr-FR"/>
        </w:rPr>
        <w:t>du</w:t>
      </w:r>
      <w:r w:rsidRPr="00075058">
        <w:rPr>
          <w:rFonts w:ascii="Times New Roman" w:eastAsia="Times New Roman" w:hAnsi="Times New Roman"/>
          <w:b/>
          <w:sz w:val="24"/>
          <w:szCs w:val="22"/>
          <w:lang w:eastAsia="fr-FR" w:bidi="fr-FR"/>
        </w:rPr>
        <w:t xml:space="preserve"> projet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intervient sur quatre sites : le delta du Saloum, le delta du fleuve Sénégal, le Ferlo (les écosystèmes sylvo-pastoraux) et </w:t>
      </w:r>
      <w:r w:rsidR="00427F10">
        <w:rPr>
          <w:rFonts w:ascii="Times New Roman" w:eastAsia="Times New Roman" w:hAnsi="Times New Roman"/>
          <w:sz w:val="24"/>
          <w:szCs w:val="22"/>
          <w:lang w:eastAsia="fr-FR" w:bidi="fr-FR"/>
        </w:rPr>
        <w:t xml:space="preserve">le </w:t>
      </w:r>
      <w:r w:rsidRPr="00075058">
        <w:rPr>
          <w:rFonts w:ascii="Times New Roman" w:eastAsia="Times New Roman" w:hAnsi="Times New Roman"/>
          <w:sz w:val="24"/>
          <w:szCs w:val="22"/>
          <w:lang w:eastAsia="fr-FR" w:bidi="fr-FR"/>
        </w:rPr>
        <w:t>Niokolo-Koba (Sénégal oriental). Le choix de ces sites est fondé sur</w:t>
      </w:r>
      <w:r w:rsidR="00A15BF5">
        <w:rPr>
          <w:rFonts w:ascii="Times New Roman" w:eastAsia="Times New Roman" w:hAnsi="Times New Roman"/>
          <w:sz w:val="24"/>
          <w:szCs w:val="22"/>
          <w:lang w:eastAsia="fr-FR" w:bidi="fr-FR"/>
        </w:rPr>
        <w:t> :</w:t>
      </w:r>
      <w:r w:rsidR="0025378A">
        <w:rPr>
          <w:rFonts w:ascii="Times New Roman" w:eastAsia="Times New Roman" w:hAnsi="Times New Roman"/>
          <w:sz w:val="24"/>
          <w:szCs w:val="22"/>
          <w:lang w:eastAsia="fr-FR" w:bidi="fr-FR"/>
        </w:rPr>
        <w:t xml:space="preserve"> (i) </w:t>
      </w:r>
      <w:r w:rsidRPr="00075058">
        <w:rPr>
          <w:rFonts w:ascii="Times New Roman" w:eastAsia="Times New Roman" w:hAnsi="Times New Roman"/>
          <w:sz w:val="24"/>
          <w:szCs w:val="22"/>
          <w:lang w:eastAsia="fr-FR" w:bidi="fr-FR"/>
        </w:rPr>
        <w:t>leur vulnérabilité f</w:t>
      </w:r>
      <w:r w:rsidR="00A15BF5">
        <w:rPr>
          <w:rFonts w:ascii="Times New Roman" w:eastAsia="Times New Roman" w:hAnsi="Times New Roman"/>
          <w:sz w:val="24"/>
          <w:szCs w:val="22"/>
          <w:lang w:eastAsia="fr-FR" w:bidi="fr-FR"/>
        </w:rPr>
        <w:t>ace au</w:t>
      </w:r>
      <w:r w:rsidR="00427F10">
        <w:rPr>
          <w:rFonts w:ascii="Times New Roman" w:eastAsia="Times New Roman" w:hAnsi="Times New Roman"/>
          <w:sz w:val="24"/>
          <w:szCs w:val="22"/>
          <w:lang w:eastAsia="fr-FR" w:bidi="fr-FR"/>
        </w:rPr>
        <w:t>x</w:t>
      </w:r>
      <w:r w:rsidR="00A15BF5">
        <w:rPr>
          <w:rFonts w:ascii="Times New Roman" w:eastAsia="Times New Roman" w:hAnsi="Times New Roman"/>
          <w:sz w:val="24"/>
          <w:szCs w:val="22"/>
          <w:lang w:eastAsia="fr-FR" w:bidi="fr-FR"/>
        </w:rPr>
        <w:t xml:space="preserve"> changement</w:t>
      </w:r>
      <w:r w:rsidR="00427F10">
        <w:rPr>
          <w:rFonts w:ascii="Times New Roman" w:eastAsia="Times New Roman" w:hAnsi="Times New Roman"/>
          <w:sz w:val="24"/>
          <w:szCs w:val="22"/>
          <w:lang w:eastAsia="fr-FR" w:bidi="fr-FR"/>
        </w:rPr>
        <w:t>s</w:t>
      </w:r>
      <w:r w:rsidR="00A15BF5">
        <w:rPr>
          <w:rFonts w:ascii="Times New Roman" w:eastAsia="Times New Roman" w:hAnsi="Times New Roman"/>
          <w:sz w:val="24"/>
          <w:szCs w:val="22"/>
          <w:lang w:eastAsia="fr-FR" w:bidi="fr-FR"/>
        </w:rPr>
        <w:t xml:space="preserve"> climatique</w:t>
      </w:r>
      <w:r w:rsidR="00427F10">
        <w:rPr>
          <w:rFonts w:ascii="Times New Roman" w:eastAsia="Times New Roman" w:hAnsi="Times New Roman"/>
          <w:sz w:val="24"/>
          <w:szCs w:val="22"/>
          <w:lang w:eastAsia="fr-FR" w:bidi="fr-FR"/>
        </w:rPr>
        <w:t>s</w:t>
      </w:r>
      <w:r w:rsidR="00A15BF5">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w:t>
      </w:r>
      <w:r w:rsidR="0025378A">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la présence de réserves naturelles communautaires (RNC)</w:t>
      </w:r>
      <w:r w:rsidR="004F219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 </w:t>
      </w:r>
      <w:r w:rsidR="004F2196">
        <w:rPr>
          <w:rFonts w:ascii="Times New Roman" w:eastAsia="Times New Roman" w:hAnsi="Times New Roman"/>
          <w:sz w:val="24"/>
          <w:szCs w:val="22"/>
          <w:lang w:eastAsia="fr-FR" w:bidi="fr-FR"/>
        </w:rPr>
        <w:t>en tant qu’action clé</w:t>
      </w:r>
      <w:r w:rsidRPr="00075058">
        <w:rPr>
          <w:rFonts w:ascii="Times New Roman" w:eastAsia="Times New Roman" w:hAnsi="Times New Roman"/>
          <w:sz w:val="24"/>
          <w:szCs w:val="22"/>
          <w:lang w:eastAsia="fr-FR" w:bidi="fr-FR"/>
        </w:rPr>
        <w:t xml:space="preserve"> pour la stratégie d'adaptation au niveau local.</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spacing w:after="0"/>
        <w:ind w:left="720"/>
        <w:jc w:val="center"/>
        <w:rPr>
          <w:rFonts w:ascii="Times New Roman" w:eastAsia="Times New Roman" w:hAnsi="Times New Roman"/>
          <w:noProof/>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076834D2" wp14:editId="43BF1B3B">
            <wp:extent cx="5398329" cy="3823966"/>
            <wp:effectExtent l="0" t="0" r="0" b="12065"/>
            <wp:docPr id="11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énérale.png"/>
                    <pic:cNvPicPr/>
                  </pic:nvPicPr>
                  <pic:blipFill>
                    <a:blip r:embed="rId15" cstate="print">
                      <a:extLst>
                        <a:ext uri="{28A0092B-C50C-407E-A947-70E740481C1C}">
                          <a14:useLocalDpi xmlns:a14="http://schemas.microsoft.com/office/drawing/2010/main"/>
                        </a:ext>
                      </a:extLst>
                    </a:blip>
                    <a:stretch>
                      <a:fillRect/>
                    </a:stretch>
                  </pic:blipFill>
                  <pic:spPr>
                    <a:xfrm>
                      <a:off x="0" y="0"/>
                      <a:ext cx="5398329" cy="3823966"/>
                    </a:xfrm>
                    <a:prstGeom prst="rect">
                      <a:avLst/>
                    </a:prstGeom>
                  </pic:spPr>
                </pic:pic>
              </a:graphicData>
            </a:graphic>
          </wp:inline>
        </w:drawing>
      </w:r>
    </w:p>
    <w:p w:rsidR="00075058" w:rsidRPr="00075058" w:rsidRDefault="00075058" w:rsidP="00FB2FBE">
      <w:pPr>
        <w:spacing w:after="0"/>
        <w:ind w:left="720"/>
        <w:jc w:val="center"/>
        <w:rPr>
          <w:rFonts w:ascii="Times New Roman" w:eastAsia="Times New Roman" w:hAnsi="Times New Roman"/>
          <w:b/>
          <w:i/>
          <w:sz w:val="24"/>
          <w:szCs w:val="22"/>
          <w:lang w:eastAsia="fr-FR" w:bidi="fr-FR"/>
        </w:rPr>
      </w:pPr>
      <w:r w:rsidRPr="00075058">
        <w:rPr>
          <w:rFonts w:ascii="Times New Roman" w:eastAsia="Times New Roman" w:hAnsi="Times New Roman"/>
          <w:b/>
          <w:i/>
          <w:sz w:val="22"/>
          <w:szCs w:val="22"/>
          <w:lang w:eastAsia="fr-FR" w:bidi="fr-FR"/>
        </w:rPr>
        <w:t>Figure </w:t>
      </w:r>
      <w:r w:rsidR="00DD457B" w:rsidRPr="00075058">
        <w:rPr>
          <w:rFonts w:ascii="Times New Roman" w:eastAsia="Times New Roman" w:hAnsi="Times New Roman"/>
          <w:b/>
          <w:i/>
          <w:sz w:val="22"/>
          <w:szCs w:val="22"/>
          <w:lang w:eastAsia="fr-FR" w:bidi="fr-FR"/>
        </w:rPr>
        <w:fldChar w:fldCharType="begin"/>
      </w:r>
      <w:r w:rsidRPr="00075058">
        <w:rPr>
          <w:rFonts w:ascii="Times New Roman" w:eastAsia="Times New Roman" w:hAnsi="Times New Roman"/>
          <w:b/>
          <w:i/>
          <w:sz w:val="22"/>
          <w:szCs w:val="22"/>
          <w:lang w:eastAsia="fr-FR" w:bidi="fr-FR"/>
        </w:rPr>
        <w:instrText xml:space="preserve"> SEQ Figure \* ARABIC </w:instrText>
      </w:r>
      <w:r w:rsidR="00DD457B" w:rsidRPr="00075058">
        <w:rPr>
          <w:rFonts w:ascii="Times New Roman" w:eastAsia="Times New Roman" w:hAnsi="Times New Roman"/>
          <w:b/>
          <w:i/>
          <w:sz w:val="22"/>
          <w:szCs w:val="22"/>
          <w:lang w:eastAsia="fr-FR" w:bidi="fr-FR"/>
        </w:rPr>
        <w:fldChar w:fldCharType="separate"/>
      </w:r>
      <w:r w:rsidR="009375FA">
        <w:rPr>
          <w:rFonts w:ascii="Times New Roman" w:eastAsia="Times New Roman" w:hAnsi="Times New Roman"/>
          <w:b/>
          <w:i/>
          <w:noProof/>
          <w:sz w:val="22"/>
          <w:szCs w:val="22"/>
          <w:lang w:eastAsia="fr-FR" w:bidi="fr-FR"/>
        </w:rPr>
        <w:t>5</w:t>
      </w:r>
      <w:r w:rsidR="00DD457B" w:rsidRPr="00075058">
        <w:rPr>
          <w:rFonts w:ascii="Times New Roman" w:eastAsia="Times New Roman" w:hAnsi="Times New Roman"/>
          <w:b/>
          <w:i/>
          <w:sz w:val="22"/>
          <w:szCs w:val="22"/>
          <w:lang w:eastAsia="fr-FR" w:bidi="fr-FR"/>
        </w:rPr>
        <w:fldChar w:fldCharType="end"/>
      </w:r>
      <w:r w:rsidR="00384043">
        <w:rPr>
          <w:rFonts w:ascii="Times New Roman" w:eastAsia="Times New Roman" w:hAnsi="Times New Roman"/>
          <w:b/>
          <w:i/>
          <w:sz w:val="22"/>
          <w:szCs w:val="22"/>
          <w:lang w:eastAsia="fr-FR" w:bidi="fr-FR"/>
        </w:rPr>
        <w:t> </w:t>
      </w:r>
      <w:r w:rsidRPr="00075058">
        <w:rPr>
          <w:rFonts w:ascii="Times New Roman" w:eastAsia="Times New Roman" w:hAnsi="Times New Roman"/>
          <w:b/>
          <w:i/>
          <w:sz w:val="22"/>
          <w:szCs w:val="22"/>
          <w:lang w:eastAsia="fr-FR" w:bidi="fr-FR"/>
        </w:rPr>
        <w:t xml:space="preserve">: Carte de situation des zones d’intervention du projet (source: </w:t>
      </w:r>
      <w:r w:rsidR="002272D3">
        <w:rPr>
          <w:rFonts w:ascii="Times New Roman" w:eastAsia="Times New Roman" w:hAnsi="Times New Roman"/>
          <w:b/>
          <w:i/>
          <w:sz w:val="22"/>
          <w:szCs w:val="22"/>
          <w:lang w:eastAsia="fr-FR" w:bidi="fr-FR"/>
        </w:rPr>
        <w:t>SPP</w:t>
      </w:r>
      <w:r w:rsidRPr="00075058">
        <w:rPr>
          <w:rFonts w:ascii="Times New Roman" w:eastAsia="Times New Roman" w:hAnsi="Times New Roman"/>
          <w:b/>
          <w:i/>
          <w:sz w:val="22"/>
          <w:szCs w:val="22"/>
          <w:lang w:eastAsia="fr-FR" w:bidi="fr-FR"/>
        </w:rPr>
        <w: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propose de créer des mesures locales d'adaptation aux changements climatiques autour des RNC étant donné que les zones forestières constituent un outil majeur pour cette adaptation. Des preuves scientifiques ont récemment </w:t>
      </w:r>
      <w:r w:rsidR="004F2196">
        <w:rPr>
          <w:rFonts w:ascii="Times New Roman" w:eastAsia="Times New Roman" w:hAnsi="Times New Roman"/>
          <w:sz w:val="24"/>
          <w:szCs w:val="22"/>
          <w:lang w:eastAsia="fr-FR" w:bidi="fr-FR"/>
        </w:rPr>
        <w:t>mis en évidence</w:t>
      </w:r>
      <w:r w:rsidR="004F219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le rôle des forêts dans </w:t>
      </w:r>
      <w:r w:rsidR="004F2196">
        <w:rPr>
          <w:rFonts w:ascii="Times New Roman" w:eastAsia="Times New Roman" w:hAnsi="Times New Roman"/>
          <w:sz w:val="24"/>
          <w:szCs w:val="22"/>
          <w:lang w:eastAsia="fr-FR" w:bidi="fr-FR"/>
        </w:rPr>
        <w:t>l’équilibre dynamique</w:t>
      </w:r>
      <w:r w:rsidRPr="00075058">
        <w:rPr>
          <w:rFonts w:ascii="Times New Roman" w:eastAsia="Times New Roman" w:hAnsi="Times New Roman"/>
          <w:sz w:val="24"/>
          <w:szCs w:val="22"/>
          <w:lang w:eastAsia="fr-FR" w:bidi="fr-FR"/>
        </w:rPr>
        <w:t xml:space="preserve"> </w:t>
      </w:r>
      <w:r w:rsidR="005E48EE" w:rsidRPr="00075058">
        <w:rPr>
          <w:rFonts w:ascii="Times New Roman" w:eastAsia="Times New Roman" w:hAnsi="Times New Roman"/>
          <w:sz w:val="24"/>
          <w:szCs w:val="22"/>
          <w:lang w:eastAsia="fr-FR" w:bidi="fr-FR"/>
        </w:rPr>
        <w:t>microclimatique</w:t>
      </w:r>
      <w:r w:rsidRPr="00075058">
        <w:rPr>
          <w:rFonts w:ascii="Times New Roman" w:eastAsia="Times New Roman" w:hAnsi="Times New Roman"/>
          <w:sz w:val="24"/>
          <w:szCs w:val="22"/>
          <w:lang w:eastAsia="fr-FR" w:bidi="fr-FR"/>
        </w:rPr>
        <w:t xml:space="preserve"> du fait de son interaction avec les composantes du sol et de l'atmosphère. Les arbres ainsi que les peuplements forestiers possèdent des caractéristiques biochimiques et biophysiques ayant une incidence directe sur les sols et sur l'atmosphère</w:t>
      </w:r>
      <w:r w:rsidRPr="00075058">
        <w:rPr>
          <w:rFonts w:ascii="Times New Roman" w:eastAsia="Times New Roman" w:hAnsi="Times New Roman"/>
          <w:sz w:val="24"/>
          <w:szCs w:val="22"/>
          <w:vertAlign w:val="superscript"/>
          <w:lang w:eastAsia="fr-FR" w:bidi="fr-FR"/>
        </w:rPr>
        <w:footnoteReference w:id="21"/>
      </w:r>
      <w:r w:rsidRPr="00075058">
        <w:rPr>
          <w:rFonts w:ascii="Times New Roman" w:eastAsia="Times New Roman" w:hAnsi="Times New Roman"/>
          <w:sz w:val="24"/>
          <w:szCs w:val="22"/>
          <w:lang w:eastAsia="fr-FR" w:bidi="fr-FR"/>
        </w:rPr>
        <w:t xml:space="preserve"> en augmentant l'humidité dans l'air au niveau local tout en diminuant le taux de gaz à effet de serre dans l'atmosphère. </w:t>
      </w:r>
    </w:p>
    <w:p w:rsidR="00075058" w:rsidRPr="00075058" w:rsidRDefault="00075058" w:rsidP="00FB2FBE">
      <w:p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Avec la déforestation, les cycles de précipitation et la quantité de pluie, la durée des saisons sèches ainsi que les conditions de vent</w:t>
      </w:r>
      <w:r w:rsidRPr="00075058">
        <w:rPr>
          <w:rFonts w:ascii="Times New Roman" w:eastAsia="Times New Roman" w:hAnsi="Times New Roman"/>
          <w:sz w:val="24"/>
          <w:szCs w:val="22"/>
          <w:vertAlign w:val="superscript"/>
          <w:lang w:eastAsia="fr-FR" w:bidi="fr-FR"/>
        </w:rPr>
        <w:footnoteReference w:id="22"/>
      </w:r>
      <w:r w:rsidRPr="00075058">
        <w:rPr>
          <w:rFonts w:ascii="Times New Roman" w:eastAsia="Times New Roman" w:hAnsi="Times New Roman"/>
          <w:sz w:val="24"/>
          <w:szCs w:val="22"/>
          <w:lang w:eastAsia="fr-FR" w:bidi="fr-FR"/>
        </w:rPr>
        <w:t xml:space="preserve"> deviennent de plus en plus aléatoires. En outre, la disparition des forêts </w:t>
      </w:r>
      <w:r w:rsidRPr="00075058">
        <w:rPr>
          <w:rFonts w:ascii="Times New Roman" w:eastAsia="Times New Roman" w:hAnsi="Times New Roman"/>
          <w:sz w:val="24"/>
          <w:szCs w:val="22"/>
          <w:lang w:eastAsia="fr-FR" w:bidi="fr-FR"/>
        </w:rPr>
        <w:lastRenderedPageBreak/>
        <w:t>augmente le ruissellement durant les saisons des pluies et, par conséquent diminue l'humidité des sols</w:t>
      </w:r>
      <w:r w:rsidRPr="00075058">
        <w:rPr>
          <w:rFonts w:ascii="Times New Roman" w:eastAsia="Times New Roman" w:hAnsi="Times New Roman"/>
          <w:sz w:val="24"/>
          <w:szCs w:val="22"/>
          <w:vertAlign w:val="superscript"/>
          <w:lang w:eastAsia="fr-FR" w:bidi="fr-FR"/>
        </w:rPr>
        <w:footnoteReference w:id="23"/>
      </w:r>
      <w:r w:rsidRPr="00075058">
        <w:rPr>
          <w:rFonts w:ascii="Times New Roman" w:eastAsia="Times New Roman" w:hAnsi="Times New Roman"/>
          <w:sz w:val="24"/>
          <w:szCs w:val="22"/>
          <w:lang w:eastAsia="fr-FR" w:bidi="fr-FR"/>
        </w:rPr>
        <w:t xml:space="preserve">. Par conséquent, elle joue un rôle tampon dans le cycle hydrologique de surface. </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En 2002, le Ministère de l'environnement et de la protection de la nature a lancé un projet ambitieux de gestion intégrée des écosystèmes (PGIES) pour une période de dix ans. Ce projet visait à réduire les émissions de gaz à effet de serre grâce à la séquestration du carbone</w:t>
      </w:r>
      <w:r w:rsidR="008B4FC1">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à </w:t>
      </w:r>
      <w:r w:rsidR="008B4FC1">
        <w:rPr>
          <w:rFonts w:ascii="Times New Roman" w:eastAsia="Times New Roman" w:hAnsi="Times New Roman"/>
          <w:sz w:val="24"/>
          <w:szCs w:val="22"/>
          <w:lang w:eastAsia="fr-FR" w:bidi="fr-FR"/>
        </w:rPr>
        <w:t>empêcher</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la dégradation des écosystèmes et à prendre des mesures </w:t>
      </w:r>
      <w:r w:rsidR="008B4FC1">
        <w:rPr>
          <w:rFonts w:ascii="Times New Roman" w:eastAsia="Times New Roman" w:hAnsi="Times New Roman"/>
          <w:sz w:val="24"/>
          <w:szCs w:val="22"/>
          <w:lang w:eastAsia="fr-FR" w:bidi="fr-FR"/>
        </w:rPr>
        <w:t>incitatives</w:t>
      </w:r>
      <w:r w:rsidRPr="00075058">
        <w:rPr>
          <w:rFonts w:ascii="Times New Roman" w:eastAsia="Times New Roman" w:hAnsi="Times New Roman"/>
          <w:sz w:val="24"/>
          <w:szCs w:val="22"/>
          <w:lang w:eastAsia="fr-FR" w:bidi="fr-FR"/>
        </w:rPr>
        <w:t xml:space="preserve"> de conservation par le biais de renforcement des capacités techniques et institutionnelles et </w:t>
      </w:r>
      <w:r w:rsidR="008B4FC1">
        <w:rPr>
          <w:rFonts w:ascii="Times New Roman" w:eastAsia="Times New Roman" w:hAnsi="Times New Roman"/>
          <w:sz w:val="24"/>
          <w:szCs w:val="22"/>
          <w:lang w:eastAsia="fr-FR" w:bidi="fr-FR"/>
        </w:rPr>
        <w:t>la</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gestion communautaire des écosystèmes et de la biodiversité. </w:t>
      </w:r>
      <w:r w:rsidR="008B4FC1">
        <w:rPr>
          <w:rFonts w:ascii="Times New Roman" w:eastAsia="Times New Roman" w:hAnsi="Times New Roman"/>
          <w:sz w:val="24"/>
          <w:szCs w:val="22"/>
          <w:lang w:eastAsia="fr-FR" w:bidi="fr-FR"/>
        </w:rPr>
        <w:t xml:space="preserve"> Pour atteindre</w:t>
      </w:r>
      <w:r w:rsidRPr="00075058">
        <w:rPr>
          <w:rFonts w:ascii="Times New Roman" w:eastAsia="Times New Roman" w:hAnsi="Times New Roman"/>
          <w:sz w:val="24"/>
          <w:szCs w:val="22"/>
          <w:lang w:eastAsia="fr-FR" w:bidi="fr-FR"/>
        </w:rPr>
        <w:t xml:space="preserve"> ces objectifs, le projet </w:t>
      </w:r>
      <w:r w:rsidR="00C50A2D">
        <w:rPr>
          <w:rFonts w:ascii="Times New Roman" w:eastAsia="Times New Roman" w:hAnsi="Times New Roman"/>
          <w:sz w:val="24"/>
          <w:szCs w:val="22"/>
          <w:lang w:eastAsia="fr-FR" w:bidi="fr-FR"/>
        </w:rPr>
        <w:t>a</w:t>
      </w:r>
      <w:r w:rsidRPr="00075058">
        <w:rPr>
          <w:rFonts w:ascii="Times New Roman" w:eastAsia="Times New Roman" w:hAnsi="Times New Roman"/>
          <w:sz w:val="24"/>
          <w:szCs w:val="22"/>
          <w:lang w:eastAsia="fr-FR" w:bidi="fr-FR"/>
        </w:rPr>
        <w:t xml:space="preserve"> </w:t>
      </w:r>
      <w:r w:rsidR="008B4FC1">
        <w:rPr>
          <w:rFonts w:ascii="Times New Roman" w:eastAsia="Times New Roman" w:hAnsi="Times New Roman"/>
          <w:sz w:val="24"/>
          <w:szCs w:val="22"/>
          <w:lang w:eastAsia="fr-FR" w:bidi="fr-FR"/>
        </w:rPr>
        <w:t>créé</w:t>
      </w:r>
      <w:r w:rsidRPr="00075058">
        <w:rPr>
          <w:rFonts w:ascii="Times New Roman" w:eastAsia="Times New Roman" w:hAnsi="Times New Roman"/>
          <w:sz w:val="24"/>
          <w:szCs w:val="22"/>
          <w:lang w:eastAsia="fr-FR" w:bidi="fr-FR"/>
        </w:rPr>
        <w:t xml:space="preserve"> des réserves naturelles communautaires (RNC) en encourageant un</w:t>
      </w:r>
      <w:r w:rsidR="008B4FC1">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 </w:t>
      </w:r>
      <w:r w:rsidR="008B4FC1">
        <w:rPr>
          <w:rFonts w:ascii="Times New Roman" w:eastAsia="Times New Roman" w:hAnsi="Times New Roman"/>
          <w:sz w:val="24"/>
          <w:szCs w:val="22"/>
          <w:lang w:eastAsia="fr-FR" w:bidi="fr-FR"/>
        </w:rPr>
        <w:t>utilisation</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participati</w:t>
      </w:r>
      <w:r w:rsidR="008B4FC1">
        <w:rPr>
          <w:rFonts w:ascii="Times New Roman" w:eastAsia="Times New Roman" w:hAnsi="Times New Roman"/>
          <w:sz w:val="24"/>
          <w:szCs w:val="22"/>
          <w:lang w:eastAsia="fr-FR" w:bidi="fr-FR"/>
        </w:rPr>
        <w:t>ve</w:t>
      </w:r>
      <w:r w:rsidRPr="00075058">
        <w:rPr>
          <w:rFonts w:ascii="Times New Roman" w:eastAsia="Times New Roman" w:hAnsi="Times New Roman"/>
          <w:sz w:val="24"/>
          <w:szCs w:val="22"/>
          <w:lang w:eastAsia="fr-FR" w:bidi="fr-FR"/>
        </w:rPr>
        <w:t xml:space="preserve"> et durable des ressources naturelles. </w:t>
      </w:r>
      <w:r w:rsidR="00C25F6A">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ous la responsabilité légale des communes, une RNC est une zone forestière (recouvrant une ou plusieurs communes) </w:t>
      </w:r>
      <w:r w:rsidR="00C25F6A">
        <w:rPr>
          <w:rFonts w:ascii="Times New Roman" w:eastAsia="Times New Roman" w:hAnsi="Times New Roman"/>
          <w:sz w:val="24"/>
          <w:szCs w:val="22"/>
          <w:lang w:eastAsia="fr-FR" w:bidi="fr-FR"/>
        </w:rPr>
        <w:t>délibérée</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par la ou les communes </w:t>
      </w:r>
      <w:r w:rsidR="00C25F6A">
        <w:rPr>
          <w:rFonts w:ascii="Times New Roman" w:eastAsia="Times New Roman" w:hAnsi="Times New Roman"/>
          <w:sz w:val="24"/>
          <w:szCs w:val="22"/>
          <w:lang w:eastAsia="fr-FR" w:bidi="fr-FR"/>
        </w:rPr>
        <w:t>au profit</w:t>
      </w:r>
      <w:r w:rsidRPr="00075058">
        <w:rPr>
          <w:rFonts w:ascii="Times New Roman" w:eastAsia="Times New Roman" w:hAnsi="Times New Roman"/>
          <w:sz w:val="24"/>
          <w:szCs w:val="22"/>
          <w:lang w:eastAsia="fr-FR" w:bidi="fr-FR"/>
        </w:rPr>
        <w:t xml:space="preserve"> d'un groupe de villages (</w:t>
      </w:r>
      <w:r w:rsidRPr="00075058">
        <w:rPr>
          <w:rFonts w:ascii="Times New Roman" w:eastAsia="Times New Roman" w:hAnsi="Times New Roman"/>
          <w:i/>
          <w:noProof/>
          <w:sz w:val="24"/>
          <w:szCs w:val="22"/>
          <w:lang w:eastAsia="fr-FR" w:bidi="fr-FR"/>
        </w:rPr>
        <w:t>Comité Villageois de Développement - CVD</w:t>
      </w:r>
      <w:r w:rsidRPr="00075058">
        <w:rPr>
          <w:rFonts w:ascii="Times New Roman" w:eastAsia="Times New Roman" w:hAnsi="Times New Roman"/>
          <w:sz w:val="24"/>
          <w:szCs w:val="22"/>
          <w:lang w:eastAsia="fr-FR" w:bidi="fr-FR"/>
        </w:rPr>
        <w:t xml:space="preserve">) qui garantit sa gestion durable. L'ensemble </w:t>
      </w:r>
      <w:r w:rsidR="00C25F6A">
        <w:rPr>
          <w:rFonts w:ascii="Times New Roman" w:eastAsia="Times New Roman" w:hAnsi="Times New Roman"/>
          <w:sz w:val="24"/>
          <w:szCs w:val="22"/>
          <w:lang w:eastAsia="fr-FR" w:bidi="fr-FR"/>
        </w:rPr>
        <w:t>des</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CVD d'une RNC est organisé en un Comité intervillageois de développement (CIVD) menant les activités de protection</w:t>
      </w:r>
      <w:r w:rsidR="00C25F6A">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w:t>
      </w:r>
      <w:r w:rsidR="00C25F6A">
        <w:rPr>
          <w:rFonts w:ascii="Times New Roman" w:eastAsia="Times New Roman" w:hAnsi="Times New Roman"/>
          <w:sz w:val="24"/>
          <w:szCs w:val="22"/>
          <w:lang w:eastAsia="fr-FR" w:bidi="fr-FR"/>
        </w:rPr>
        <w:t>de</w:t>
      </w:r>
      <w:r w:rsidRPr="00075058">
        <w:rPr>
          <w:rFonts w:ascii="Times New Roman" w:eastAsia="Times New Roman" w:hAnsi="Times New Roman"/>
          <w:sz w:val="24"/>
          <w:szCs w:val="22"/>
          <w:lang w:eastAsia="fr-FR" w:bidi="fr-FR"/>
        </w:rPr>
        <w:t xml:space="preserve"> mise en valeur et </w:t>
      </w:r>
      <w:r w:rsidR="00C25F6A">
        <w:rPr>
          <w:rFonts w:ascii="Times New Roman" w:eastAsia="Times New Roman" w:hAnsi="Times New Roman"/>
          <w:sz w:val="24"/>
          <w:szCs w:val="22"/>
          <w:lang w:eastAsia="fr-FR" w:bidi="fr-FR"/>
        </w:rPr>
        <w:t>de</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gestion des ressources naturelles. Parmi ces activités, on compte la mise en œuvre d'un plan de gestion des RNC, la création de </w:t>
      </w:r>
      <w:r w:rsidR="00C25F6A">
        <w:rPr>
          <w:rFonts w:ascii="Times New Roman" w:eastAsia="Times New Roman" w:hAnsi="Times New Roman"/>
          <w:sz w:val="24"/>
          <w:szCs w:val="22"/>
          <w:lang w:eastAsia="fr-FR" w:bidi="fr-FR"/>
        </w:rPr>
        <w:t xml:space="preserve">pare-feu, la surveillance </w:t>
      </w:r>
      <w:r w:rsidRPr="00075058">
        <w:rPr>
          <w:rFonts w:ascii="Times New Roman" w:eastAsia="Times New Roman" w:hAnsi="Times New Roman"/>
          <w:sz w:val="24"/>
          <w:szCs w:val="22"/>
          <w:lang w:eastAsia="fr-FR" w:bidi="fr-FR"/>
        </w:rPr>
        <w:t xml:space="preserve">par des écogardes locaux, </w:t>
      </w:r>
      <w:r w:rsidR="00C25F6A">
        <w:rPr>
          <w:rFonts w:ascii="Times New Roman" w:eastAsia="Times New Roman" w:hAnsi="Times New Roman"/>
          <w:sz w:val="24"/>
          <w:szCs w:val="22"/>
          <w:lang w:eastAsia="fr-FR" w:bidi="fr-FR"/>
        </w:rPr>
        <w:t>des</w:t>
      </w:r>
      <w:r w:rsidR="00C25F6A" w:rsidRPr="00075058">
        <w:rPr>
          <w:rFonts w:ascii="Times New Roman" w:eastAsia="Times New Roman" w:hAnsi="Times New Roman"/>
          <w:sz w:val="24"/>
          <w:szCs w:val="22"/>
          <w:lang w:eastAsia="fr-FR" w:bidi="fr-FR"/>
        </w:rPr>
        <w:t xml:space="preserve"> </w:t>
      </w:r>
      <w:r w:rsidR="00C25F6A">
        <w:rPr>
          <w:rFonts w:ascii="Times New Roman" w:eastAsia="Times New Roman" w:hAnsi="Times New Roman"/>
          <w:sz w:val="24"/>
          <w:szCs w:val="22"/>
          <w:lang w:eastAsia="fr-FR" w:bidi="fr-FR"/>
        </w:rPr>
        <w:t>actions</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reforestation, l'établissement d'une mutuelle d'épargne et de</w:t>
      </w:r>
      <w:r w:rsidR="00C25F6A">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crédit, etc.</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L'évaluation finale du rapport du PGIES (2013) </w:t>
      </w:r>
      <w:r w:rsidR="00C25F6A">
        <w:rPr>
          <w:rFonts w:ascii="Times New Roman" w:eastAsia="Times New Roman" w:hAnsi="Times New Roman"/>
          <w:sz w:val="24"/>
          <w:szCs w:val="22"/>
          <w:lang w:eastAsia="fr-FR" w:bidi="fr-FR"/>
        </w:rPr>
        <w:t>fait état</w:t>
      </w:r>
      <w:r w:rsidRPr="00075058">
        <w:rPr>
          <w:rFonts w:ascii="Times New Roman" w:eastAsia="Times New Roman" w:hAnsi="Times New Roman"/>
          <w:sz w:val="24"/>
          <w:szCs w:val="22"/>
          <w:lang w:eastAsia="fr-FR" w:bidi="fr-FR"/>
        </w:rPr>
        <w:t xml:space="preserve"> des </w:t>
      </w:r>
      <w:r w:rsidR="00C25F6A">
        <w:rPr>
          <w:rFonts w:ascii="Times New Roman" w:eastAsia="Times New Roman" w:hAnsi="Times New Roman"/>
          <w:sz w:val="24"/>
          <w:szCs w:val="22"/>
          <w:lang w:eastAsia="fr-FR" w:bidi="fr-FR"/>
        </w:rPr>
        <w:t xml:space="preserve">principaux </w:t>
      </w:r>
      <w:r w:rsidRPr="00075058">
        <w:rPr>
          <w:rFonts w:ascii="Times New Roman" w:eastAsia="Times New Roman" w:hAnsi="Times New Roman"/>
          <w:sz w:val="24"/>
          <w:szCs w:val="22"/>
          <w:lang w:eastAsia="fr-FR" w:bidi="fr-FR"/>
        </w:rPr>
        <w:t>défis</w:t>
      </w:r>
      <w:r w:rsidR="00C50A2D">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 xml:space="preserve">et </w:t>
      </w:r>
      <w:r w:rsidR="00C25F6A">
        <w:rPr>
          <w:rFonts w:ascii="Times New Roman" w:eastAsia="Times New Roman" w:hAnsi="Times New Roman"/>
          <w:sz w:val="24"/>
          <w:szCs w:val="22"/>
          <w:lang w:eastAsia="fr-FR" w:bidi="fr-FR"/>
        </w:rPr>
        <w:t xml:space="preserve">en </w:t>
      </w:r>
      <w:r w:rsidR="00A15BF5">
        <w:rPr>
          <w:rFonts w:ascii="Times New Roman" w:eastAsia="Times New Roman" w:hAnsi="Times New Roman"/>
          <w:sz w:val="24"/>
          <w:szCs w:val="22"/>
          <w:lang w:eastAsia="fr-FR" w:bidi="fr-FR"/>
        </w:rPr>
        <w:t>particuli</w:t>
      </w:r>
      <w:r w:rsidR="00C25F6A">
        <w:rPr>
          <w:rFonts w:ascii="Times New Roman" w:eastAsia="Times New Roman" w:hAnsi="Times New Roman"/>
          <w:sz w:val="24"/>
          <w:szCs w:val="22"/>
          <w:lang w:eastAsia="fr-FR" w:bidi="fr-FR"/>
        </w:rPr>
        <w:t>er</w:t>
      </w:r>
      <w:r w:rsidR="00A15BF5">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 (i) </w:t>
      </w:r>
      <w:r w:rsidR="00A15BF5">
        <w:rPr>
          <w:rFonts w:ascii="Times New Roman" w:eastAsia="Times New Roman" w:hAnsi="Times New Roman"/>
          <w:sz w:val="24"/>
          <w:szCs w:val="22"/>
          <w:lang w:eastAsia="fr-FR" w:bidi="fr-FR"/>
        </w:rPr>
        <w:t xml:space="preserve">de </w:t>
      </w:r>
      <w:r w:rsidR="00961D0C">
        <w:rPr>
          <w:rFonts w:ascii="Times New Roman" w:eastAsia="Times New Roman" w:hAnsi="Times New Roman"/>
          <w:sz w:val="24"/>
          <w:szCs w:val="22"/>
          <w:lang w:eastAsia="fr-FR" w:bidi="fr-FR"/>
        </w:rPr>
        <w:t>consolider</w:t>
      </w:r>
      <w:r w:rsidR="00961D0C"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la durabilité des RNC en favorisant la finance novatrice dans les co</w:t>
      </w:r>
      <w:r w:rsidR="00A15BF5">
        <w:rPr>
          <w:rFonts w:ascii="Times New Roman" w:eastAsia="Times New Roman" w:hAnsi="Times New Roman"/>
          <w:sz w:val="24"/>
          <w:szCs w:val="22"/>
          <w:lang w:eastAsia="fr-FR" w:bidi="fr-FR"/>
        </w:rPr>
        <w:t xml:space="preserve">mmunes </w:t>
      </w:r>
      <w:r w:rsidR="00961D0C">
        <w:rPr>
          <w:rFonts w:ascii="Times New Roman" w:eastAsia="Times New Roman" w:hAnsi="Times New Roman"/>
          <w:sz w:val="24"/>
          <w:szCs w:val="22"/>
          <w:lang w:eastAsia="fr-FR" w:bidi="fr-FR"/>
        </w:rPr>
        <w:t xml:space="preserve">avoisinant </w:t>
      </w:r>
      <w:r w:rsidR="00A15BF5">
        <w:rPr>
          <w:rFonts w:ascii="Times New Roman" w:eastAsia="Times New Roman" w:hAnsi="Times New Roman"/>
          <w:sz w:val="24"/>
          <w:szCs w:val="22"/>
          <w:lang w:eastAsia="fr-FR" w:bidi="fr-FR"/>
        </w:rPr>
        <w:t>les RN</w:t>
      </w:r>
      <w:r w:rsidR="00961D0C">
        <w:rPr>
          <w:rFonts w:ascii="Times New Roman" w:eastAsia="Times New Roman" w:hAnsi="Times New Roman"/>
          <w:sz w:val="24"/>
          <w:szCs w:val="22"/>
          <w:lang w:eastAsia="fr-FR" w:bidi="fr-FR"/>
        </w:rPr>
        <w:t>C</w:t>
      </w:r>
      <w:r w:rsidR="00A15BF5">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 </w:t>
      </w:r>
      <w:r w:rsidR="00A15BF5">
        <w:rPr>
          <w:rFonts w:ascii="Times New Roman" w:eastAsia="Times New Roman" w:hAnsi="Times New Roman"/>
          <w:sz w:val="24"/>
          <w:szCs w:val="22"/>
          <w:lang w:eastAsia="fr-FR" w:bidi="fr-FR"/>
        </w:rPr>
        <w:t>d’</w:t>
      </w:r>
      <w:r w:rsidRPr="00075058">
        <w:rPr>
          <w:rFonts w:ascii="Times New Roman" w:eastAsia="Times New Roman" w:hAnsi="Times New Roman"/>
          <w:sz w:val="24"/>
          <w:szCs w:val="22"/>
          <w:lang w:eastAsia="fr-FR" w:bidi="fr-FR"/>
        </w:rPr>
        <w:t xml:space="preserve">améliorer </w:t>
      </w:r>
      <w:r w:rsidR="00961D0C">
        <w:rPr>
          <w:rFonts w:ascii="Times New Roman" w:eastAsia="Times New Roman" w:hAnsi="Times New Roman"/>
          <w:sz w:val="24"/>
          <w:szCs w:val="22"/>
          <w:lang w:eastAsia="fr-FR" w:bidi="fr-FR"/>
        </w:rPr>
        <w:t>la résilience</w:t>
      </w:r>
      <w:r w:rsidRPr="00075058">
        <w:rPr>
          <w:rFonts w:ascii="Times New Roman" w:eastAsia="Times New Roman" w:hAnsi="Times New Roman"/>
          <w:sz w:val="24"/>
          <w:szCs w:val="22"/>
          <w:lang w:eastAsia="fr-FR" w:bidi="fr-FR"/>
        </w:rPr>
        <w:t xml:space="preserve"> des territoires locaux (y compris les RNC) afin d'aider </w:t>
      </w:r>
      <w:r w:rsidR="00A15BF5">
        <w:rPr>
          <w:rFonts w:ascii="Times New Roman" w:eastAsia="Times New Roman" w:hAnsi="Times New Roman"/>
          <w:sz w:val="24"/>
          <w:szCs w:val="22"/>
          <w:lang w:eastAsia="fr-FR" w:bidi="fr-FR"/>
        </w:rPr>
        <w:t>les communautés</w:t>
      </w:r>
      <w:r w:rsidRPr="00075058">
        <w:rPr>
          <w:rFonts w:ascii="Times New Roman" w:eastAsia="Times New Roman" w:hAnsi="Times New Roman"/>
          <w:sz w:val="24"/>
          <w:szCs w:val="22"/>
          <w:lang w:eastAsia="fr-FR" w:bidi="fr-FR"/>
        </w:rPr>
        <w:t xml:space="preserve"> </w:t>
      </w:r>
      <w:r w:rsidR="00961D0C">
        <w:rPr>
          <w:rFonts w:ascii="Times New Roman" w:eastAsia="Times New Roman" w:hAnsi="Times New Roman"/>
          <w:sz w:val="24"/>
          <w:szCs w:val="22"/>
          <w:lang w:eastAsia="fr-FR" w:bidi="fr-FR"/>
        </w:rPr>
        <w:t xml:space="preserve">à </w:t>
      </w:r>
      <w:r w:rsidRPr="00075058">
        <w:rPr>
          <w:rFonts w:ascii="Times New Roman" w:eastAsia="Times New Roman" w:hAnsi="Times New Roman"/>
          <w:sz w:val="24"/>
          <w:szCs w:val="22"/>
          <w:lang w:eastAsia="fr-FR" w:bidi="fr-FR"/>
        </w:rPr>
        <w:t>s'adapter au</w:t>
      </w:r>
      <w:r w:rsidR="00961D0C">
        <w:rPr>
          <w:rFonts w:ascii="Times New Roman" w:eastAsia="Times New Roman" w:hAnsi="Times New Roman"/>
          <w:sz w:val="24"/>
          <w:szCs w:val="22"/>
          <w:lang w:eastAsia="fr-FR" w:bidi="fr-FR"/>
        </w:rPr>
        <w:t>x</w:t>
      </w:r>
      <w:r w:rsidRPr="00075058">
        <w:rPr>
          <w:rFonts w:ascii="Times New Roman" w:eastAsia="Times New Roman" w:hAnsi="Times New Roman"/>
          <w:sz w:val="24"/>
          <w:szCs w:val="22"/>
          <w:lang w:eastAsia="fr-FR" w:bidi="fr-FR"/>
        </w:rPr>
        <w:t xml:space="preserve"> changement</w:t>
      </w:r>
      <w:r w:rsidR="00961D0C">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61D0C">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Ainsi, le Ministère de l'environnement a </w:t>
      </w:r>
      <w:r w:rsidR="00961D0C">
        <w:rPr>
          <w:rFonts w:ascii="Times New Roman" w:eastAsia="Times New Roman" w:hAnsi="Times New Roman"/>
          <w:sz w:val="24"/>
          <w:szCs w:val="22"/>
          <w:lang w:eastAsia="fr-FR" w:bidi="fr-FR"/>
        </w:rPr>
        <w:t>développé</w:t>
      </w:r>
      <w:r w:rsidRPr="00075058">
        <w:rPr>
          <w:rFonts w:ascii="Times New Roman" w:eastAsia="Times New Roman" w:hAnsi="Times New Roman"/>
          <w:sz w:val="24"/>
          <w:szCs w:val="22"/>
          <w:lang w:eastAsia="fr-FR" w:bidi="fr-FR"/>
        </w:rPr>
        <w:t xml:space="preserve"> une idée de projet, en collaboration avec le PNUD, où les RN</w:t>
      </w:r>
      <w:r w:rsidR="00961D0C">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sont </w:t>
      </w:r>
      <w:r w:rsidR="00961D0C">
        <w:rPr>
          <w:rFonts w:ascii="Times New Roman" w:eastAsia="Times New Roman" w:hAnsi="Times New Roman"/>
          <w:sz w:val="24"/>
          <w:szCs w:val="22"/>
          <w:lang w:eastAsia="fr-FR" w:bidi="fr-FR"/>
        </w:rPr>
        <w:t xml:space="preserve">une </w:t>
      </w:r>
      <w:r w:rsidRPr="00075058">
        <w:rPr>
          <w:rFonts w:ascii="Times New Roman" w:eastAsia="Times New Roman" w:hAnsi="Times New Roman"/>
          <w:sz w:val="24"/>
          <w:szCs w:val="22"/>
          <w:lang w:eastAsia="fr-FR" w:bidi="fr-FR"/>
        </w:rPr>
        <w:t xml:space="preserve">mesuresclé d'adaptation et sont intégrées à une stratégie plus large d'adaptation aux changements climatiques au niveau local, </w:t>
      </w:r>
      <w:r w:rsidR="00961D0C">
        <w:rPr>
          <w:rFonts w:ascii="Times New Roman" w:eastAsia="Times New Roman" w:hAnsi="Times New Roman"/>
          <w:sz w:val="24"/>
          <w:szCs w:val="22"/>
          <w:lang w:eastAsia="fr-FR" w:bidi="fr-FR"/>
        </w:rPr>
        <w:t>incluant les aspects agricoles et de gestion de l’eau</w:t>
      </w:r>
      <w:r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color w:val="000000"/>
          <w:sz w:val="24"/>
          <w:szCs w:val="22"/>
          <w:lang w:eastAsia="fr-FR" w:bidi="fr-FR"/>
        </w:rPr>
        <w:t xml:space="preserve">De plus, la promotion de </w:t>
      </w:r>
      <w:r w:rsidR="00961D0C">
        <w:rPr>
          <w:rFonts w:ascii="Times New Roman" w:eastAsia="Times New Roman" w:hAnsi="Times New Roman"/>
          <w:color w:val="000000"/>
          <w:sz w:val="24"/>
          <w:szCs w:val="22"/>
          <w:lang w:eastAsia="fr-FR" w:bidi="fr-FR"/>
        </w:rPr>
        <w:t>financements innovants</w:t>
      </w:r>
      <w:r w:rsidRPr="00075058">
        <w:rPr>
          <w:rFonts w:ascii="Times New Roman" w:eastAsia="Times New Roman" w:hAnsi="Times New Roman"/>
          <w:color w:val="000000"/>
          <w:sz w:val="24"/>
          <w:szCs w:val="22"/>
          <w:lang w:eastAsia="fr-FR" w:bidi="fr-FR"/>
        </w:rPr>
        <w:t xml:space="preserve"> est ciblée avec l'objectif d'augmenter durablement les </w:t>
      </w:r>
      <w:r w:rsidR="00961D0C">
        <w:rPr>
          <w:rFonts w:ascii="Times New Roman" w:eastAsia="Times New Roman" w:hAnsi="Times New Roman"/>
          <w:color w:val="000000"/>
          <w:sz w:val="24"/>
          <w:szCs w:val="22"/>
          <w:lang w:eastAsia="fr-FR" w:bidi="fr-FR"/>
        </w:rPr>
        <w:t>financements additionnels</w:t>
      </w:r>
      <w:r w:rsidRPr="00075058">
        <w:rPr>
          <w:rFonts w:ascii="Times New Roman" w:eastAsia="Times New Roman" w:hAnsi="Times New Roman"/>
          <w:color w:val="000000"/>
          <w:sz w:val="24"/>
          <w:szCs w:val="22"/>
          <w:lang w:eastAsia="fr-FR" w:bidi="fr-FR"/>
        </w:rPr>
        <w:t xml:space="preserve"> pour l'adaptation aux changements climatiques des territoires communaux.</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D'autres projets tels que PASA Loumakaf ou PADAER développe</w:t>
      </w:r>
      <w:r w:rsidR="00C50A2D">
        <w:rPr>
          <w:rFonts w:ascii="Times New Roman" w:eastAsia="Times New Roman" w:hAnsi="Times New Roman"/>
          <w:sz w:val="24"/>
          <w:szCs w:val="22"/>
          <w:lang w:eastAsia="fr-FR" w:bidi="fr-FR"/>
        </w:rPr>
        <w:t xml:space="preserve">nt </w:t>
      </w:r>
      <w:r w:rsidRPr="00075058">
        <w:rPr>
          <w:rFonts w:ascii="Times New Roman" w:eastAsia="Times New Roman" w:hAnsi="Times New Roman"/>
          <w:sz w:val="24"/>
          <w:szCs w:val="22"/>
          <w:lang w:eastAsia="fr-FR" w:bidi="fr-FR"/>
        </w:rPr>
        <w:t>les RNC/UP dans les mêmes sites d'intervention et font face aux mêmes risques : (i</w:t>
      </w:r>
      <w:r w:rsidR="00D22B1B" w:rsidRPr="00075058">
        <w:rPr>
          <w:rFonts w:ascii="Times New Roman" w:eastAsia="Times New Roman" w:hAnsi="Times New Roman"/>
          <w:sz w:val="24"/>
          <w:szCs w:val="22"/>
          <w:lang w:eastAsia="fr-FR" w:bidi="fr-FR"/>
        </w:rPr>
        <w:t>) vulnérabilités</w:t>
      </w:r>
      <w:r w:rsidRPr="00075058">
        <w:rPr>
          <w:rFonts w:ascii="Times New Roman" w:eastAsia="Times New Roman" w:hAnsi="Times New Roman"/>
          <w:sz w:val="24"/>
          <w:szCs w:val="22"/>
          <w:lang w:eastAsia="fr-FR" w:bidi="fr-FR"/>
        </w:rPr>
        <w:t xml:space="preserve"> face a</w:t>
      </w:r>
      <w:r w:rsidR="0025378A">
        <w:rPr>
          <w:rFonts w:ascii="Times New Roman" w:eastAsia="Times New Roman" w:hAnsi="Times New Roman"/>
          <w:sz w:val="24"/>
          <w:szCs w:val="22"/>
          <w:lang w:eastAsia="fr-FR" w:bidi="fr-FR"/>
        </w:rPr>
        <w:t>u</w:t>
      </w:r>
      <w:r w:rsidR="00961D0C">
        <w:rPr>
          <w:rFonts w:ascii="Times New Roman" w:eastAsia="Times New Roman" w:hAnsi="Times New Roman"/>
          <w:sz w:val="24"/>
          <w:szCs w:val="22"/>
          <w:lang w:eastAsia="fr-FR" w:bidi="fr-FR"/>
        </w:rPr>
        <w:t>x</w:t>
      </w:r>
      <w:r w:rsidR="0025378A">
        <w:rPr>
          <w:rFonts w:ascii="Times New Roman" w:eastAsia="Times New Roman" w:hAnsi="Times New Roman"/>
          <w:sz w:val="24"/>
          <w:szCs w:val="22"/>
          <w:lang w:eastAsia="fr-FR" w:bidi="fr-FR"/>
        </w:rPr>
        <w:t xml:space="preserve"> changement</w:t>
      </w:r>
      <w:r w:rsidR="00961D0C">
        <w:rPr>
          <w:rFonts w:ascii="Times New Roman" w:eastAsia="Times New Roman" w:hAnsi="Times New Roman"/>
          <w:sz w:val="24"/>
          <w:szCs w:val="22"/>
          <w:lang w:eastAsia="fr-FR" w:bidi="fr-FR"/>
        </w:rPr>
        <w:t>s</w:t>
      </w:r>
      <w:r w:rsidR="0025378A">
        <w:rPr>
          <w:rFonts w:ascii="Times New Roman" w:eastAsia="Times New Roman" w:hAnsi="Times New Roman"/>
          <w:sz w:val="24"/>
          <w:szCs w:val="22"/>
          <w:lang w:eastAsia="fr-FR" w:bidi="fr-FR"/>
        </w:rPr>
        <w:t xml:space="preserve"> climatique</w:t>
      </w:r>
      <w:r w:rsidR="00961D0C">
        <w:rPr>
          <w:rFonts w:ascii="Times New Roman" w:eastAsia="Times New Roman" w:hAnsi="Times New Roman"/>
          <w:sz w:val="24"/>
          <w:szCs w:val="22"/>
          <w:lang w:eastAsia="fr-FR" w:bidi="fr-FR"/>
        </w:rPr>
        <w:t>s</w:t>
      </w:r>
      <w:r w:rsidR="0025378A">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 </w:t>
      </w:r>
      <w:r w:rsidR="00961D0C">
        <w:rPr>
          <w:rFonts w:ascii="Times New Roman" w:eastAsia="Times New Roman" w:hAnsi="Times New Roman"/>
          <w:sz w:val="24"/>
          <w:szCs w:val="22"/>
          <w:lang w:eastAsia="fr-FR" w:bidi="fr-FR"/>
        </w:rPr>
        <w:t>durabilité du</w:t>
      </w:r>
      <w:r w:rsidRPr="00075058">
        <w:rPr>
          <w:rFonts w:ascii="Times New Roman" w:eastAsia="Times New Roman" w:hAnsi="Times New Roman"/>
          <w:sz w:val="24"/>
          <w:szCs w:val="22"/>
          <w:lang w:eastAsia="fr-FR" w:bidi="fr-FR"/>
        </w:rPr>
        <w:t xml:space="preserve"> finan</w:t>
      </w:r>
      <w:r w:rsidR="00A15BF5">
        <w:rPr>
          <w:rFonts w:ascii="Times New Roman" w:eastAsia="Times New Roman" w:hAnsi="Times New Roman"/>
          <w:sz w:val="24"/>
          <w:szCs w:val="22"/>
          <w:lang w:eastAsia="fr-FR" w:bidi="fr-FR"/>
        </w:rPr>
        <w:t>ce</w:t>
      </w:r>
      <w:r w:rsidR="00961D0C">
        <w:rPr>
          <w:rFonts w:ascii="Times New Roman" w:eastAsia="Times New Roman" w:hAnsi="Times New Roman"/>
          <w:sz w:val="24"/>
          <w:szCs w:val="22"/>
          <w:lang w:eastAsia="fr-FR" w:bidi="fr-FR"/>
        </w:rPr>
        <w:t>ment</w:t>
      </w:r>
      <w:r w:rsidR="00A15BF5">
        <w:rPr>
          <w:rFonts w:ascii="Times New Roman" w:eastAsia="Times New Roman" w:hAnsi="Times New Roman"/>
          <w:sz w:val="24"/>
          <w:szCs w:val="22"/>
          <w:lang w:eastAsia="fr-FR" w:bidi="fr-FR"/>
        </w:rPr>
        <w:t xml:space="preserve"> pour les RNC/UP et autres </w:t>
      </w:r>
      <w:r w:rsidR="00392FD6">
        <w:rPr>
          <w:rFonts w:ascii="Times New Roman" w:eastAsia="Times New Roman" w:hAnsi="Times New Roman"/>
          <w:sz w:val="24"/>
          <w:szCs w:val="22"/>
          <w:lang w:eastAsia="fr-FR" w:bidi="fr-FR"/>
        </w:rPr>
        <w:t>actions</w:t>
      </w:r>
      <w:r w:rsidR="00392FD6" w:rsidRPr="00075058">
        <w:rPr>
          <w:rFonts w:ascii="Times New Roman" w:eastAsia="Times New Roman" w:hAnsi="Times New Roman"/>
          <w:sz w:val="24"/>
          <w:szCs w:val="22"/>
          <w:lang w:eastAsia="fr-FR" w:bidi="fr-FR"/>
        </w:rPr>
        <w:t xml:space="preserve"> </w:t>
      </w:r>
      <w:r w:rsidR="00961D0C">
        <w:rPr>
          <w:rFonts w:ascii="Times New Roman" w:eastAsia="Times New Roman" w:hAnsi="Times New Roman"/>
          <w:sz w:val="24"/>
          <w:szCs w:val="22"/>
          <w:lang w:eastAsia="fr-FR" w:bidi="fr-FR"/>
        </w:rPr>
        <w:t>clé</w:t>
      </w:r>
      <w:r w:rsidR="00961D0C"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pour l'adaptation aux changements climatiques.</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de FPMA </w:t>
      </w:r>
      <w:r w:rsidR="00392FD6">
        <w:rPr>
          <w:rFonts w:ascii="Times New Roman" w:eastAsia="Times New Roman" w:hAnsi="Times New Roman"/>
          <w:sz w:val="24"/>
          <w:szCs w:val="22"/>
          <w:lang w:eastAsia="fr-FR" w:bidi="fr-FR"/>
        </w:rPr>
        <w:t>envisage de s’appuyer</w:t>
      </w:r>
      <w:r w:rsidRPr="00075058">
        <w:rPr>
          <w:rFonts w:ascii="Times New Roman" w:eastAsia="Times New Roman" w:hAnsi="Times New Roman"/>
          <w:sz w:val="24"/>
          <w:szCs w:val="22"/>
          <w:lang w:eastAsia="fr-FR" w:bidi="fr-FR"/>
        </w:rPr>
        <w:t xml:space="preserve"> sur les RNC/UP </w:t>
      </w:r>
      <w:r w:rsidR="00392FD6">
        <w:rPr>
          <w:rFonts w:ascii="Times New Roman" w:eastAsia="Times New Roman" w:hAnsi="Times New Roman"/>
          <w:sz w:val="24"/>
          <w:szCs w:val="22"/>
          <w:lang w:eastAsia="fr-FR" w:bidi="fr-FR"/>
        </w:rPr>
        <w:t>existants pour  renforcer</w:t>
      </w:r>
      <w:r w:rsidRPr="00075058">
        <w:rPr>
          <w:rFonts w:ascii="Times New Roman" w:eastAsia="Times New Roman" w:hAnsi="Times New Roman"/>
          <w:sz w:val="24"/>
          <w:szCs w:val="22"/>
          <w:lang w:eastAsia="fr-FR" w:bidi="fr-FR"/>
        </w:rPr>
        <w:t xml:space="preserve"> l'adaptation avec la mise en œuvre d'une </w:t>
      </w:r>
      <w:r w:rsidR="00392FD6">
        <w:rPr>
          <w:rFonts w:ascii="Times New Roman" w:eastAsia="Times New Roman" w:hAnsi="Times New Roman"/>
          <w:sz w:val="24"/>
          <w:szCs w:val="22"/>
          <w:lang w:eastAsia="fr-FR" w:bidi="fr-FR"/>
        </w:rPr>
        <w:t>série</w:t>
      </w:r>
      <w:r w:rsidR="00392FD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 mesures </w:t>
      </w:r>
      <w:r w:rsidR="00392FD6">
        <w:rPr>
          <w:rFonts w:ascii="Times New Roman" w:eastAsia="Times New Roman" w:hAnsi="Times New Roman"/>
          <w:sz w:val="24"/>
          <w:szCs w:val="22"/>
          <w:lang w:eastAsia="fr-FR" w:bidi="fr-FR"/>
        </w:rPr>
        <w:t>globales</w:t>
      </w:r>
      <w:r w:rsidR="00392FD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au niveau local. Ainsi, chaque site d'intervention du projet comprend une RNC/UP. Le tableau ci-dessous présente les principales RNC/UP déjà créées ou en train d'être créées dans les quatre zones d'intervention.</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075058">
      <w:pPr>
        <w:keepNext/>
        <w:spacing w:after="100"/>
        <w:jc w:val="center"/>
        <w:rPr>
          <w:rFonts w:ascii="Times New Roman" w:eastAsia="Times New Roman" w:hAnsi="Times New Roman"/>
          <w:b/>
          <w:bCs/>
          <w:i/>
          <w:noProof/>
          <w:sz w:val="22"/>
          <w:lang w:eastAsia="fr-FR" w:bidi="fr-FR"/>
        </w:rPr>
      </w:pPr>
      <w:bookmarkStart w:id="9" w:name="_Ref279515955"/>
      <w:bookmarkStart w:id="10" w:name="_Toc293315935"/>
      <w:r w:rsidRPr="00075058">
        <w:rPr>
          <w:rFonts w:ascii="Times New Roman" w:eastAsia="Times New Roman" w:hAnsi="Times New Roman"/>
          <w:b/>
          <w:bCs/>
          <w:i/>
          <w:sz w:val="22"/>
          <w:lang w:eastAsia="fr-FR" w:bidi="fr-FR"/>
        </w:rPr>
        <w:t>Tableau </w:t>
      </w:r>
      <w:r w:rsidR="00DD457B" w:rsidRPr="00075058">
        <w:rPr>
          <w:rFonts w:ascii="Times New Roman" w:eastAsia="Times New Roman" w:hAnsi="Times New Roman"/>
          <w:b/>
          <w:bCs/>
          <w:i/>
          <w:noProof/>
          <w:sz w:val="22"/>
          <w:lang w:eastAsia="fr-FR" w:bidi="fr-FR"/>
        </w:rPr>
        <w:fldChar w:fldCharType="begin"/>
      </w:r>
      <w:r w:rsidRPr="00075058">
        <w:rPr>
          <w:rFonts w:ascii="Times New Roman" w:eastAsia="Times New Roman" w:hAnsi="Times New Roman"/>
          <w:b/>
          <w:bCs/>
          <w:i/>
          <w:noProof/>
          <w:sz w:val="22"/>
          <w:lang w:eastAsia="fr-FR" w:bidi="fr-FR"/>
        </w:rPr>
        <w:instrText xml:space="preserve"> SEQ Table \* ARABIC </w:instrText>
      </w:r>
      <w:r w:rsidR="00DD457B" w:rsidRPr="00075058">
        <w:rPr>
          <w:rFonts w:ascii="Times New Roman" w:eastAsia="Times New Roman" w:hAnsi="Times New Roman"/>
          <w:b/>
          <w:bCs/>
          <w:i/>
          <w:noProof/>
          <w:sz w:val="22"/>
          <w:lang w:eastAsia="fr-FR" w:bidi="fr-FR"/>
        </w:rPr>
        <w:fldChar w:fldCharType="separate"/>
      </w:r>
      <w:r w:rsidR="009375FA">
        <w:rPr>
          <w:rFonts w:ascii="Times New Roman" w:eastAsia="Times New Roman" w:hAnsi="Times New Roman"/>
          <w:b/>
          <w:bCs/>
          <w:i/>
          <w:noProof/>
          <w:sz w:val="22"/>
          <w:lang w:eastAsia="fr-FR" w:bidi="fr-FR"/>
        </w:rPr>
        <w:t>1</w:t>
      </w:r>
      <w:r w:rsidR="00DD457B" w:rsidRPr="00075058">
        <w:rPr>
          <w:rFonts w:ascii="Times New Roman" w:eastAsia="Times New Roman" w:hAnsi="Times New Roman"/>
          <w:b/>
          <w:bCs/>
          <w:i/>
          <w:noProof/>
          <w:sz w:val="22"/>
          <w:lang w:eastAsia="fr-FR" w:bidi="fr-FR"/>
        </w:rPr>
        <w:fldChar w:fldCharType="end"/>
      </w:r>
      <w:bookmarkEnd w:id="9"/>
      <w:r w:rsidRPr="00075058">
        <w:rPr>
          <w:rFonts w:ascii="Times New Roman" w:eastAsia="Times New Roman" w:hAnsi="Times New Roman"/>
          <w:b/>
          <w:bCs/>
          <w:i/>
          <w:sz w:val="22"/>
          <w:lang w:eastAsia="fr-FR" w:bidi="fr-FR"/>
        </w:rPr>
        <w:t xml:space="preserve">. Principales </w:t>
      </w:r>
      <w:bookmarkEnd w:id="10"/>
      <w:r w:rsidRPr="00075058">
        <w:rPr>
          <w:rFonts w:ascii="Times New Roman" w:eastAsia="Times New Roman" w:hAnsi="Times New Roman"/>
          <w:b/>
          <w:bCs/>
          <w:i/>
          <w:sz w:val="22"/>
          <w:lang w:eastAsia="fr-FR" w:bidi="fr-FR"/>
        </w:rPr>
        <w:t>RNC/UP créées ou en train d'être créées dans les quatre zones d'intervention.</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108"/>
        <w:gridCol w:w="2108"/>
        <w:gridCol w:w="3458"/>
      </w:tblGrid>
      <w:tr w:rsidR="00075058" w:rsidRPr="00075058" w:rsidTr="00075058">
        <w:trPr>
          <w:tblHeader/>
        </w:trPr>
        <w:tc>
          <w:tcPr>
            <w:tcW w:w="1658" w:type="dxa"/>
            <w:shd w:val="clear" w:color="auto" w:fill="D6E3BC"/>
          </w:tcPr>
          <w:p w:rsidR="00075058" w:rsidRPr="00075058" w:rsidRDefault="00075058" w:rsidP="00075058">
            <w:pPr>
              <w:jc w:val="left"/>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Zones d'intervention</w:t>
            </w:r>
          </w:p>
        </w:tc>
        <w:tc>
          <w:tcPr>
            <w:tcW w:w="2108" w:type="dxa"/>
            <w:shd w:val="clear" w:color="auto" w:fill="D6E3BC"/>
          </w:tcPr>
          <w:p w:rsidR="00075058" w:rsidRPr="00075058" w:rsidRDefault="00075058" w:rsidP="00075058">
            <w:pPr>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RNC ou UP</w:t>
            </w:r>
          </w:p>
        </w:tc>
        <w:tc>
          <w:tcPr>
            <w:tcW w:w="2108" w:type="dxa"/>
            <w:shd w:val="clear" w:color="auto" w:fill="D6E3BC"/>
          </w:tcPr>
          <w:p w:rsidR="00075058" w:rsidRPr="00075058" w:rsidRDefault="00075058" w:rsidP="00075058">
            <w:pPr>
              <w:rPr>
                <w:rFonts w:ascii="Times New Roman" w:eastAsia="MS Mincho" w:hAnsi="Times New Roman"/>
                <w:b/>
                <w:smallCaps/>
                <w:noProof/>
                <w:szCs w:val="20"/>
                <w:lang w:eastAsia="fr-FR" w:bidi="fr-FR"/>
              </w:rPr>
            </w:pPr>
            <w:r w:rsidRPr="009B3C60">
              <w:rPr>
                <w:rFonts w:ascii="Times New Roman" w:hAnsi="Times New Roman"/>
                <w:b/>
                <w:smallCaps/>
                <w:noProof/>
                <w:sz w:val="18"/>
                <w:lang w:eastAsia="fr-FR" w:bidi="fr-FR"/>
              </w:rPr>
              <w:t xml:space="preserve">Communes </w:t>
            </w:r>
            <w:r w:rsidRPr="00075058">
              <w:rPr>
                <w:rFonts w:ascii="Times New Roman" w:hAnsi="Times New Roman"/>
                <w:b/>
                <w:smallCaps/>
                <w:noProof/>
                <w:lang w:eastAsia="fr-FR" w:bidi="fr-FR"/>
              </w:rPr>
              <w:t>concernées</w:t>
            </w:r>
          </w:p>
        </w:tc>
        <w:tc>
          <w:tcPr>
            <w:tcW w:w="3458" w:type="dxa"/>
            <w:shd w:val="clear" w:color="auto" w:fill="D6E3BC"/>
          </w:tcPr>
          <w:p w:rsidR="00075058" w:rsidRPr="00075058" w:rsidRDefault="00075058" w:rsidP="00392FD6">
            <w:pPr>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 xml:space="preserve">Projet appuyant la création </w:t>
            </w:r>
            <w:r w:rsidR="00392FD6" w:rsidRPr="009B3C60">
              <w:rPr>
                <w:rFonts w:ascii="Times New Roman" w:hAnsi="Times New Roman"/>
                <w:b/>
                <w:smallCaps/>
                <w:noProof/>
                <w:sz w:val="18"/>
                <w:lang w:eastAsia="fr-FR" w:bidi="fr-FR"/>
              </w:rPr>
              <w:t xml:space="preserve">DE LA </w:t>
            </w:r>
            <w:r w:rsidRPr="009B3C60">
              <w:rPr>
                <w:rFonts w:ascii="Times New Roman" w:hAnsi="Times New Roman"/>
                <w:b/>
                <w:smallCaps/>
                <w:noProof/>
                <w:sz w:val="18"/>
                <w:lang w:eastAsia="fr-FR" w:bidi="fr-FR"/>
              </w:rPr>
              <w:t>RNC/UP</w:t>
            </w:r>
          </w:p>
        </w:tc>
      </w:tr>
      <w:tr w:rsidR="00075058" w:rsidRPr="00075058" w:rsidTr="00075058">
        <w:tc>
          <w:tcPr>
            <w:tcW w:w="1658" w:type="dxa"/>
            <w:vMerge w:val="restart"/>
            <w:shd w:val="clear" w:color="auto" w:fill="EAF1DD"/>
            <w:vAlign w:val="center"/>
          </w:tcPr>
          <w:p w:rsidR="00075058" w:rsidRPr="00075058" w:rsidRDefault="00075058" w:rsidP="00075058">
            <w:pPr>
              <w:spacing w:after="0"/>
              <w:jc w:val="center"/>
              <w:rPr>
                <w:rFonts w:ascii="Times New Roman" w:eastAsia="MS Mincho" w:hAnsi="Times New Roman"/>
                <w:b/>
                <w:noProof/>
                <w:szCs w:val="20"/>
                <w:lang w:eastAsia="fr-FR" w:bidi="fr-FR"/>
              </w:rPr>
            </w:pPr>
            <w:r w:rsidRPr="00075058">
              <w:rPr>
                <w:rFonts w:ascii="Times New Roman" w:hAnsi="Times New Roman"/>
                <w:b/>
                <w:noProof/>
                <w:lang w:eastAsia="fr-FR" w:bidi="fr-FR"/>
              </w:rPr>
              <w:t>Delta du Saloum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Missirah</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restart"/>
            <w:vAlign w:val="center"/>
          </w:tcPr>
          <w:p w:rsidR="00075058" w:rsidRPr="00075058" w:rsidRDefault="00075058" w:rsidP="00075058">
            <w:pPr>
              <w:spacing w:after="0"/>
              <w:ind w:left="222" w:hanging="222"/>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rPr>
          <w:trHeight w:val="74"/>
        </w:trPr>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Nema Bah</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Mansarinko</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Ndinderleng</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 et 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Samé-Saroudia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 baria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Mbowène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Sokone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Sokone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r w:rsidRPr="00075058">
              <w:rPr>
                <w:rFonts w:ascii="Times New Roman" w:hAnsi="Times New Roman"/>
                <w:b/>
                <w:noProof/>
                <w:lang w:eastAsia="fr-FR" w:bidi="fr-FR"/>
              </w:rPr>
              <w:t>Delta du fleuve Sénégal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Gandon</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Gandon et Ndièbène Gandiole</w:t>
            </w:r>
          </w:p>
        </w:tc>
        <w:tc>
          <w:tcPr>
            <w:tcW w:w="3458" w:type="dxa"/>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val="restart"/>
            <w:shd w:val="clear" w:color="auto" w:fill="EAF1DD"/>
            <w:vAlign w:val="center"/>
          </w:tcPr>
          <w:p w:rsidR="00075058" w:rsidRPr="00075058" w:rsidRDefault="00075058" w:rsidP="00075058">
            <w:pPr>
              <w:spacing w:after="0"/>
              <w:jc w:val="center"/>
              <w:rPr>
                <w:rFonts w:ascii="Times New Roman" w:eastAsia="MS Mincho" w:hAnsi="Times New Roman"/>
                <w:b/>
                <w:noProof/>
                <w:szCs w:val="20"/>
                <w:lang w:eastAsia="fr-FR" w:bidi="fr-FR"/>
              </w:rPr>
            </w:pPr>
            <w:r w:rsidRPr="00075058">
              <w:rPr>
                <w:rFonts w:ascii="Times New Roman" w:hAnsi="Times New Roman"/>
                <w:b/>
                <w:noProof/>
                <w:lang w:eastAsia="fr-FR" w:bidi="fr-FR"/>
              </w:rPr>
              <w:t>Ferlo</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Loumbol Samba Abdoul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Malandou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Wendou Diohi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 et Ndendory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RNC Mounguiel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Lougueré Thioly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PASA Loumakaf</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Kossas Namary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Badagor</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Naouré</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Mbam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Sararatou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Ngoyédji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PADAER</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Mbackedji Samba Niacky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Woyndou Makam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Lougué Thiecodji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Ouro Mamadou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val="restart"/>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r w:rsidRPr="00075058">
              <w:rPr>
                <w:rFonts w:ascii="Times New Roman" w:hAnsi="Times New Roman"/>
                <w:b/>
                <w:noProof/>
                <w:lang w:eastAsia="fr-FR" w:bidi="fr-FR"/>
              </w:rPr>
              <w:t>Niokolo-Koba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Mansadala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Koar</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Missira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Niemenike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Tomboronkoto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Medina Gounas</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Medina Gounas</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Dar Salam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Oubadji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Salemata, Dakateli, Oubadji, Dar Salam, Kevoye, Ethiolo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Thiabedji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Bandafassi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Dialamakha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PROGEDE</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Waguiyatoulaye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 / Bandafassi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Tomboronkoto, Bandafassi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bl>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392FD6" w:rsidP="00075058">
      <w:pPr>
        <w:numPr>
          <w:ilvl w:val="0"/>
          <w:numId w:val="51"/>
        </w:numPr>
        <w:spacing w:after="0"/>
        <w:ind w:left="0" w:firstLine="0"/>
        <w:rPr>
          <w:rFonts w:ascii="Times New Roman" w:eastAsia="Times New Roman" w:hAnsi="Times New Roman"/>
          <w:noProof/>
          <w:sz w:val="24"/>
          <w:szCs w:val="22"/>
          <w:lang w:eastAsia="fr-FR" w:bidi="fr-FR"/>
        </w:rPr>
      </w:pPr>
      <w:r>
        <w:rPr>
          <w:rFonts w:ascii="Times New Roman" w:eastAsia="Times New Roman" w:hAnsi="Times New Roman"/>
          <w:sz w:val="24"/>
          <w:szCs w:val="22"/>
          <w:lang w:eastAsia="fr-FR" w:bidi="fr-FR"/>
        </w:rPr>
        <w:t>Durant la mise en œuvre des fonds de préparation du projet (PPG</w:t>
      </w:r>
      <w:r w:rsidR="00C37975">
        <w:rPr>
          <w:rFonts w:ascii="Times New Roman" w:eastAsia="Times New Roman" w:hAnsi="Times New Roman"/>
          <w:sz w:val="24"/>
          <w:szCs w:val="22"/>
          <w:lang w:eastAsia="fr-FR" w:bidi="fr-FR"/>
        </w:rPr>
        <w:t>)</w:t>
      </w:r>
      <w:r w:rsidR="00075058" w:rsidRPr="00075058">
        <w:rPr>
          <w:rFonts w:ascii="Times New Roman" w:eastAsia="Times New Roman" w:hAnsi="Times New Roman"/>
          <w:sz w:val="24"/>
          <w:szCs w:val="22"/>
          <w:lang w:eastAsia="fr-FR" w:bidi="fr-FR"/>
        </w:rPr>
        <w:t xml:space="preserve"> des études </w:t>
      </w:r>
      <w:r w:rsidR="00C37975" w:rsidRPr="00075058">
        <w:rPr>
          <w:rFonts w:ascii="Times New Roman" w:eastAsia="Times New Roman" w:hAnsi="Times New Roman"/>
          <w:sz w:val="24"/>
          <w:szCs w:val="22"/>
          <w:lang w:eastAsia="fr-FR" w:bidi="fr-FR"/>
        </w:rPr>
        <w:t xml:space="preserve">ont été menées </w:t>
      </w:r>
      <w:r w:rsidR="00075058" w:rsidRPr="00075058">
        <w:rPr>
          <w:rFonts w:ascii="Times New Roman" w:eastAsia="Times New Roman" w:hAnsi="Times New Roman"/>
          <w:sz w:val="24"/>
          <w:szCs w:val="22"/>
          <w:lang w:eastAsia="fr-FR" w:bidi="fr-FR"/>
        </w:rPr>
        <w:t>sur un échantillon de villages. Le tableau suivant résume les caractéristiques d</w:t>
      </w:r>
      <w:r w:rsidR="00C37975">
        <w:rPr>
          <w:rFonts w:ascii="Times New Roman" w:eastAsia="Times New Roman" w:hAnsi="Times New Roman"/>
          <w:sz w:val="24"/>
          <w:szCs w:val="22"/>
          <w:lang w:eastAsia="fr-FR" w:bidi="fr-FR"/>
        </w:rPr>
        <w:t>es</w:t>
      </w:r>
      <w:r w:rsidR="00075058" w:rsidRPr="00075058">
        <w:rPr>
          <w:rFonts w:ascii="Times New Roman" w:eastAsia="Times New Roman" w:hAnsi="Times New Roman"/>
          <w:sz w:val="24"/>
          <w:szCs w:val="22"/>
          <w:lang w:eastAsia="fr-FR" w:bidi="fr-FR"/>
        </w:rPr>
        <w:t xml:space="preserve"> changement</w:t>
      </w:r>
      <w:r w:rsidR="00C37975">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w:t>
      </w:r>
      <w:r w:rsidR="00C37975">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leurs</w:t>
      </w:r>
      <w:r w:rsidR="00C37975"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impacts</w:t>
      </w:r>
      <w:r w:rsidR="00C37975"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et </w:t>
      </w:r>
      <w:r w:rsidR="00C37975">
        <w:rPr>
          <w:rFonts w:ascii="Times New Roman" w:eastAsia="Times New Roman" w:hAnsi="Times New Roman"/>
          <w:sz w:val="24"/>
          <w:szCs w:val="22"/>
          <w:lang w:eastAsia="fr-FR" w:bidi="fr-FR"/>
        </w:rPr>
        <w:t>leurs</w:t>
      </w:r>
      <w:r w:rsidR="00C37975"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principaux problèmes </w:t>
      </w:r>
      <w:r w:rsidR="00C37975">
        <w:rPr>
          <w:rFonts w:ascii="Times New Roman" w:eastAsia="Times New Roman" w:hAnsi="Times New Roman"/>
          <w:sz w:val="24"/>
          <w:szCs w:val="22"/>
          <w:lang w:eastAsia="fr-FR" w:bidi="fr-FR"/>
        </w:rPr>
        <w:t>par</w:t>
      </w:r>
      <w:r w:rsidR="00C37975"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zone</w:t>
      </w:r>
      <w:r w:rsidR="00075058" w:rsidRPr="00075058">
        <w:rPr>
          <w:rFonts w:ascii="Times New Roman" w:eastAsia="Times New Roman" w:hAnsi="Times New Roman"/>
          <w:sz w:val="24"/>
          <w:szCs w:val="22"/>
          <w:lang w:eastAsia="fr-FR" w:bidi="fr-FR"/>
        </w:rPr>
        <w:t xml:space="preserve"> où le projet "</w:t>
      </w:r>
      <w:r w:rsidR="005E48EE" w:rsidRPr="005E48EE">
        <w:t xml:space="preserve"> </w:t>
      </w:r>
      <w:r w:rsidR="005E48EE" w:rsidRPr="005E48EE">
        <w:rPr>
          <w:rFonts w:ascii="Times New Roman" w:eastAsia="Times New Roman" w:hAnsi="Times New Roman"/>
          <w:sz w:val="24"/>
          <w:szCs w:val="22"/>
          <w:lang w:eastAsia="fr-FR" w:bidi="fr-FR"/>
        </w:rPr>
        <w:t xml:space="preserve">Promouvoir </w:t>
      </w:r>
      <w:r w:rsidR="00C37975">
        <w:rPr>
          <w:rFonts w:ascii="Times New Roman" w:eastAsia="Times New Roman" w:hAnsi="Times New Roman"/>
          <w:sz w:val="24"/>
          <w:szCs w:val="22"/>
          <w:lang w:eastAsia="fr-FR" w:bidi="fr-FR"/>
        </w:rPr>
        <w:t>d’une</w:t>
      </w:r>
      <w:r w:rsidR="00C37975" w:rsidRPr="005E48EE">
        <w:rPr>
          <w:rFonts w:ascii="Times New Roman" w:eastAsia="Times New Roman" w:hAnsi="Times New Roman"/>
          <w:sz w:val="24"/>
          <w:szCs w:val="22"/>
          <w:lang w:eastAsia="fr-FR" w:bidi="fr-FR"/>
        </w:rPr>
        <w:t xml:space="preserve"> </w:t>
      </w:r>
      <w:r w:rsidR="005E48EE" w:rsidRPr="005E48EE">
        <w:rPr>
          <w:rFonts w:ascii="Times New Roman" w:eastAsia="Times New Roman" w:hAnsi="Times New Roman"/>
          <w:sz w:val="24"/>
          <w:szCs w:val="22"/>
          <w:lang w:eastAsia="fr-FR" w:bidi="fr-FR"/>
        </w:rPr>
        <w:t xml:space="preserve">finance novatrice et </w:t>
      </w:r>
      <w:r w:rsidR="00C37975">
        <w:rPr>
          <w:rFonts w:ascii="Times New Roman" w:eastAsia="Times New Roman" w:hAnsi="Times New Roman"/>
          <w:sz w:val="24"/>
          <w:szCs w:val="22"/>
          <w:lang w:eastAsia="fr-FR" w:bidi="fr-FR"/>
        </w:rPr>
        <w:t>d</w:t>
      </w:r>
      <w:r w:rsidR="005E48EE" w:rsidRPr="005E48EE">
        <w:rPr>
          <w:rFonts w:ascii="Times New Roman" w:eastAsia="Times New Roman" w:hAnsi="Times New Roman"/>
          <w:sz w:val="24"/>
          <w:szCs w:val="22"/>
          <w:lang w:eastAsia="fr-FR" w:bidi="fr-FR"/>
        </w:rPr>
        <w:t xml:space="preserve">’adaptation communautaire dans les communes autour des réserves naturelles communautaires </w:t>
      </w:r>
      <w:r w:rsidR="00075058" w:rsidRPr="00075058">
        <w:rPr>
          <w:rFonts w:ascii="Times New Roman" w:eastAsia="Times New Roman" w:hAnsi="Times New Roman"/>
          <w:sz w:val="24"/>
          <w:szCs w:val="22"/>
          <w:lang w:eastAsia="fr-FR" w:bidi="fr-FR"/>
        </w:rPr>
        <w:t>" sera mis en œuvre.</w:t>
      </w:r>
    </w:p>
    <w:p w:rsidR="00075058" w:rsidRDefault="00075058">
      <w:pPr>
        <w:spacing w:after="160" w:line="259" w:lineRule="auto"/>
        <w:jc w:val="left"/>
        <w:rPr>
          <w:rFonts w:ascii="Times New Roman" w:eastAsia="Times New Roman" w:hAnsi="Times New Roman"/>
          <w:sz w:val="24"/>
          <w:szCs w:val="22"/>
          <w:lang w:eastAsia="fr-FR" w:bidi="fr-FR"/>
        </w:rPr>
        <w:sectPr w:rsidR="00075058" w:rsidSect="00061010">
          <w:footerReference w:type="default" r:id="rId16"/>
          <w:pgSz w:w="11901" w:h="16817"/>
          <w:pgMar w:top="567" w:right="1021" w:bottom="567" w:left="1021" w:header="709" w:footer="709" w:gutter="0"/>
          <w:cols w:space="708"/>
          <w:docGrid w:linePitch="360"/>
        </w:sectPr>
      </w:pPr>
    </w:p>
    <w:p w:rsidR="00953F4C" w:rsidRDefault="00953F4C">
      <w:pPr>
        <w:spacing w:after="160" w:line="259" w:lineRule="auto"/>
        <w:jc w:val="left"/>
        <w:rPr>
          <w:rFonts w:ascii="Times New Roman" w:eastAsia="Times New Roman" w:hAnsi="Times New Roman"/>
          <w:sz w:val="24"/>
          <w:szCs w:val="22"/>
          <w:lang w:eastAsia="fr-FR" w:bidi="fr-FR"/>
        </w:rPr>
      </w:pPr>
    </w:p>
    <w:p w:rsidR="00183630" w:rsidRDefault="00183630" w:rsidP="00953F4C">
      <w:pPr>
        <w:pStyle w:val="NumberedParas"/>
        <w:numPr>
          <w:ilvl w:val="0"/>
          <w:numId w:val="0"/>
        </w:numPr>
        <w:rPr>
          <w:noProof/>
          <w:lang w:eastAsia="fr-FR" w:bidi="fr-FR"/>
        </w:rPr>
      </w:pPr>
    </w:p>
    <w:p w:rsidR="00953F4C" w:rsidRDefault="00953F4C" w:rsidP="00953F4C">
      <w:pPr>
        <w:pStyle w:val="NumberedParas"/>
        <w:numPr>
          <w:ilvl w:val="0"/>
          <w:numId w:val="0"/>
        </w:numPr>
        <w:rPr>
          <w:lang w:eastAsia="fr-FR" w:bidi="fr-FR"/>
        </w:rPr>
      </w:pPr>
    </w:p>
    <w:tbl>
      <w:tblPr>
        <w:tblStyle w:val="Grilledutableau"/>
        <w:tblW w:w="14599" w:type="dxa"/>
        <w:jc w:val="right"/>
        <w:tblLayout w:type="fixed"/>
        <w:tblLook w:val="04A0" w:firstRow="1" w:lastRow="0" w:firstColumn="1" w:lastColumn="0" w:noHBand="0" w:noVBand="1"/>
      </w:tblPr>
      <w:tblGrid>
        <w:gridCol w:w="1701"/>
        <w:gridCol w:w="3685"/>
        <w:gridCol w:w="2977"/>
        <w:gridCol w:w="3260"/>
        <w:gridCol w:w="2976"/>
      </w:tblGrid>
      <w:tr w:rsidR="00953F4C" w:rsidRPr="00183630" w:rsidTr="00945424">
        <w:trPr>
          <w:jc w:val="right"/>
        </w:trPr>
        <w:tc>
          <w:tcPr>
            <w:tcW w:w="14599" w:type="dxa"/>
            <w:gridSpan w:val="5"/>
            <w:shd w:val="clear" w:color="auto" w:fill="D6E3BC"/>
          </w:tcPr>
          <w:p w:rsidR="00953F4C" w:rsidRPr="00183630" w:rsidRDefault="00953F4C" w:rsidP="00945424">
            <w:pPr>
              <w:spacing w:after="0"/>
              <w:jc w:val="center"/>
              <w:rPr>
                <w:sz w:val="22"/>
                <w:szCs w:val="22"/>
                <w:lang w:bidi="fr-FR"/>
              </w:rPr>
            </w:pPr>
            <w:r w:rsidRPr="00183630">
              <w:rPr>
                <w:rFonts w:ascii="Times New Roman" w:hAnsi="Times New Roman"/>
                <w:b/>
                <w:noProof/>
                <w:sz w:val="22"/>
                <w:szCs w:val="22"/>
                <w:lang w:bidi="fr-FR"/>
              </w:rPr>
              <w:t>Tableau </w:t>
            </w:r>
            <w:r w:rsidR="00DD457B" w:rsidRPr="00183630">
              <w:rPr>
                <w:rFonts w:ascii="Times New Roman" w:hAnsi="Times New Roman"/>
                <w:b/>
                <w:noProof/>
                <w:sz w:val="22"/>
                <w:szCs w:val="22"/>
                <w:lang w:bidi="fr-FR"/>
              </w:rPr>
              <w:fldChar w:fldCharType="begin"/>
            </w:r>
            <w:r w:rsidRPr="00183630">
              <w:rPr>
                <w:rFonts w:ascii="Times New Roman" w:hAnsi="Times New Roman"/>
                <w:b/>
                <w:noProof/>
                <w:sz w:val="22"/>
                <w:szCs w:val="22"/>
                <w:lang w:bidi="fr-FR"/>
              </w:rPr>
              <w:instrText xml:space="preserve"> SEQ Table \* ARABIC </w:instrText>
            </w:r>
            <w:r w:rsidR="00DD457B" w:rsidRPr="00183630">
              <w:rPr>
                <w:rFonts w:ascii="Times New Roman" w:hAnsi="Times New Roman"/>
                <w:b/>
                <w:noProof/>
                <w:sz w:val="22"/>
                <w:szCs w:val="22"/>
                <w:lang w:bidi="fr-FR"/>
              </w:rPr>
              <w:fldChar w:fldCharType="separate"/>
            </w:r>
            <w:r w:rsidR="009375FA">
              <w:rPr>
                <w:rFonts w:ascii="Times New Roman" w:hAnsi="Times New Roman"/>
                <w:b/>
                <w:noProof/>
                <w:sz w:val="22"/>
                <w:szCs w:val="22"/>
                <w:lang w:bidi="fr-FR"/>
              </w:rPr>
              <w:t>2</w:t>
            </w:r>
            <w:r w:rsidR="00DD457B" w:rsidRPr="00183630">
              <w:rPr>
                <w:rFonts w:ascii="Times New Roman" w:hAnsi="Times New Roman"/>
                <w:b/>
                <w:noProof/>
                <w:sz w:val="22"/>
                <w:szCs w:val="22"/>
                <w:lang w:bidi="fr-FR"/>
              </w:rPr>
              <w:fldChar w:fldCharType="end"/>
            </w:r>
            <w:r w:rsidRPr="00183630">
              <w:rPr>
                <w:rFonts w:ascii="Times New Roman" w:hAnsi="Times New Roman"/>
                <w:b/>
                <w:noProof/>
                <w:sz w:val="22"/>
                <w:szCs w:val="22"/>
                <w:lang w:bidi="fr-FR"/>
              </w:rPr>
              <w:t>. Caractéristiques des sites d'intervention du projet</w:t>
            </w:r>
          </w:p>
        </w:tc>
      </w:tr>
      <w:tr w:rsidR="00953F4C" w:rsidRPr="00183630" w:rsidTr="00945424">
        <w:trPr>
          <w:jc w:val="right"/>
        </w:trPr>
        <w:tc>
          <w:tcPr>
            <w:tcW w:w="1701" w:type="dxa"/>
            <w:shd w:val="clear" w:color="auto" w:fill="FDE9D9"/>
          </w:tcPr>
          <w:p w:rsidR="00953F4C" w:rsidRPr="00183630" w:rsidRDefault="00953F4C" w:rsidP="00945424">
            <w:pPr>
              <w:spacing w:after="0"/>
              <w:rPr>
                <w:rFonts w:ascii="Times New Roman" w:eastAsia="Times New Roman" w:hAnsi="Times New Roman"/>
                <w:sz w:val="22"/>
                <w:szCs w:val="22"/>
                <w:lang w:bidi="fr-FR"/>
              </w:rPr>
            </w:pPr>
          </w:p>
        </w:tc>
        <w:tc>
          <w:tcPr>
            <w:tcW w:w="3685"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Delta du Saloum</w:t>
            </w:r>
          </w:p>
        </w:tc>
        <w:tc>
          <w:tcPr>
            <w:tcW w:w="2977"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Delta du fleuve Sénégal</w:t>
            </w:r>
          </w:p>
        </w:tc>
        <w:tc>
          <w:tcPr>
            <w:tcW w:w="3260"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Ferlo</w:t>
            </w:r>
          </w:p>
        </w:tc>
        <w:tc>
          <w:tcPr>
            <w:tcW w:w="2976"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Niokolo-Koba</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Communes</w:t>
            </w:r>
          </w:p>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(total = 21)</w:t>
            </w:r>
          </w:p>
        </w:tc>
        <w:tc>
          <w:tcPr>
            <w:tcW w:w="3685" w:type="dxa"/>
          </w:tcPr>
          <w:p w:rsidR="00953F4C" w:rsidRPr="00183630" w:rsidRDefault="00953F4C" w:rsidP="00945424">
            <w:pPr>
              <w:contextualSpacing/>
              <w:rPr>
                <w:rFonts w:ascii="Times New Roman" w:hAnsi="Times New Roman"/>
                <w:szCs w:val="22"/>
                <w:lang w:bidi="fr-FR"/>
              </w:rPr>
            </w:pPr>
            <w:r w:rsidRPr="00183630">
              <w:rPr>
                <w:rFonts w:ascii="Times New Roman" w:hAnsi="Times New Roman"/>
                <w:szCs w:val="22"/>
                <w:u w:val="single"/>
                <w:lang w:bidi="fr-FR"/>
              </w:rPr>
              <w:t>3 communes </w:t>
            </w:r>
            <w:r w:rsidRPr="00183630">
              <w:rPr>
                <w:rFonts w:ascii="Times New Roman" w:hAnsi="Times New Roman"/>
                <w:szCs w:val="22"/>
                <w:lang w:bidi="fr-FR"/>
              </w:rPr>
              <w:t>: Toubacouta, Keur Samba Gueye et Sokone</w:t>
            </w:r>
          </w:p>
        </w:tc>
        <w:tc>
          <w:tcPr>
            <w:tcW w:w="2977" w:type="dxa"/>
          </w:tcPr>
          <w:p w:rsidR="00953F4C" w:rsidRPr="00183630" w:rsidRDefault="00953F4C" w:rsidP="00945424">
            <w:pPr>
              <w:autoSpaceDE w:val="0"/>
              <w:autoSpaceDN w:val="0"/>
              <w:adjustRightInd w:val="0"/>
              <w:spacing w:before="120" w:after="120"/>
              <w:contextualSpacing/>
              <w:rPr>
                <w:rFonts w:cs="Calibri"/>
                <w:bCs/>
                <w:color w:val="000000"/>
                <w:szCs w:val="22"/>
                <w:lang w:bidi="fr-FR"/>
              </w:rPr>
            </w:pPr>
            <w:r w:rsidRPr="00183630">
              <w:rPr>
                <w:rFonts w:ascii="Times New Roman" w:hAnsi="Times New Roman"/>
                <w:szCs w:val="22"/>
                <w:u w:val="single"/>
                <w:lang w:bidi="fr-FR"/>
              </w:rPr>
              <w:t>2 communes </w:t>
            </w:r>
            <w:r w:rsidRPr="00183630">
              <w:rPr>
                <w:rFonts w:ascii="Times New Roman" w:hAnsi="Times New Roman"/>
                <w:szCs w:val="22"/>
                <w:lang w:bidi="fr-FR"/>
              </w:rPr>
              <w:t>: Gandon et Ndiébène Gandiole.</w:t>
            </w:r>
          </w:p>
        </w:tc>
        <w:tc>
          <w:tcPr>
            <w:tcW w:w="3260" w:type="dxa"/>
          </w:tcPr>
          <w:p w:rsidR="00953F4C" w:rsidRPr="00183630" w:rsidRDefault="00A15BF5" w:rsidP="00945424">
            <w:pPr>
              <w:autoSpaceDE w:val="0"/>
              <w:autoSpaceDN w:val="0"/>
              <w:adjustRightInd w:val="0"/>
              <w:spacing w:before="120" w:after="120"/>
              <w:contextualSpacing/>
              <w:rPr>
                <w:szCs w:val="22"/>
                <w:lang w:bidi="fr-FR"/>
              </w:rPr>
            </w:pPr>
            <w:r>
              <w:rPr>
                <w:rFonts w:ascii="Times New Roman" w:hAnsi="Times New Roman"/>
                <w:szCs w:val="22"/>
                <w:u w:val="single"/>
                <w:lang w:bidi="fr-FR"/>
              </w:rPr>
              <w:t>4 communes</w:t>
            </w:r>
            <w:r w:rsidR="00953F4C" w:rsidRPr="00183630">
              <w:rPr>
                <w:rFonts w:ascii="Times New Roman" w:hAnsi="Times New Roman"/>
                <w:szCs w:val="22"/>
                <w:u w:val="single"/>
                <w:lang w:bidi="fr-FR"/>
              </w:rPr>
              <w:t> </w:t>
            </w:r>
            <w:r w:rsidR="00953F4C" w:rsidRPr="00183630">
              <w:rPr>
                <w:rFonts w:ascii="Times New Roman" w:hAnsi="Times New Roman"/>
                <w:szCs w:val="22"/>
                <w:lang w:bidi="fr-FR"/>
              </w:rPr>
              <w:t>: Oudalaye, Ouro Sidi, Ndendory et Louguère Thioly.</w:t>
            </w:r>
          </w:p>
        </w:tc>
        <w:tc>
          <w:tcPr>
            <w:tcW w:w="2976" w:type="dxa"/>
          </w:tcPr>
          <w:p w:rsidR="00953F4C" w:rsidRPr="00183630" w:rsidRDefault="00953F4C" w:rsidP="00945424">
            <w:pPr>
              <w:autoSpaceDE w:val="0"/>
              <w:autoSpaceDN w:val="0"/>
              <w:adjustRightInd w:val="0"/>
              <w:spacing w:before="120" w:after="120"/>
              <w:contextualSpacing/>
              <w:rPr>
                <w:rFonts w:ascii="Times New Roman" w:hAnsi="Times New Roman"/>
                <w:bCs/>
                <w:color w:val="000000"/>
                <w:szCs w:val="22"/>
                <w:lang w:bidi="fr-FR"/>
              </w:rPr>
            </w:pPr>
            <w:r w:rsidRPr="00183630">
              <w:rPr>
                <w:rFonts w:ascii="Times New Roman" w:hAnsi="Times New Roman"/>
                <w:color w:val="000000"/>
                <w:szCs w:val="22"/>
                <w:u w:val="single"/>
                <w:lang w:bidi="fr-FR"/>
              </w:rPr>
              <w:t>12 communes </w:t>
            </w:r>
            <w:r w:rsidRPr="00183630">
              <w:rPr>
                <w:rFonts w:ascii="Times New Roman" w:hAnsi="Times New Roman"/>
                <w:color w:val="000000"/>
                <w:szCs w:val="22"/>
                <w:lang w:bidi="fr-FR"/>
              </w:rPr>
              <w:t>: Dialakoto, Missirah, Linkering, Tomboronkoto, Médina Gounass, Salémata, Dakatély, Oubadji, Dar Salam, Kévoye, Ethiolo et Bandafassy.</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Nombres de RNC (total = 35)</w:t>
            </w:r>
          </w:p>
        </w:tc>
        <w:tc>
          <w:tcPr>
            <w:tcW w:w="3685"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8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4 </w:t>
            </w:r>
            <w:r w:rsidR="00953F4C" w:rsidRPr="00183630">
              <w:rPr>
                <w:rFonts w:ascii="Times New Roman" w:hAnsi="Times New Roman"/>
                <w:szCs w:val="22"/>
                <w:lang w:bidi="fr-FR"/>
              </w:rPr>
              <w:t>204 ha au total</w:t>
            </w:r>
          </w:p>
        </w:tc>
        <w:tc>
          <w:tcPr>
            <w:tcW w:w="2977"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2 </w:t>
            </w:r>
            <w:r w:rsidR="00953F4C" w:rsidRPr="00183630">
              <w:rPr>
                <w:rFonts w:ascii="Times New Roman" w:hAnsi="Times New Roman"/>
                <w:szCs w:val="22"/>
                <w:lang w:bidi="fr-FR"/>
              </w:rPr>
              <w:t>000 ha au total</w:t>
            </w:r>
          </w:p>
        </w:tc>
        <w:tc>
          <w:tcPr>
            <w:tcW w:w="3260"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15 UP/RNC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&gt;326 </w:t>
            </w:r>
            <w:r w:rsidR="00953F4C" w:rsidRPr="00183630">
              <w:rPr>
                <w:rFonts w:ascii="Times New Roman" w:hAnsi="Times New Roman"/>
                <w:szCs w:val="22"/>
                <w:lang w:bidi="fr-FR"/>
              </w:rPr>
              <w:t>426 ha au total</w:t>
            </w:r>
          </w:p>
        </w:tc>
        <w:tc>
          <w:tcPr>
            <w:tcW w:w="2976"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11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&gt;236 </w:t>
            </w:r>
            <w:r w:rsidR="00953F4C" w:rsidRPr="00183630">
              <w:rPr>
                <w:rFonts w:ascii="Times New Roman" w:hAnsi="Times New Roman"/>
                <w:szCs w:val="22"/>
                <w:lang w:bidi="fr-FR"/>
              </w:rPr>
              <w:t>494 ha au total</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 xml:space="preserve">Tendances climatiques observées </w:t>
            </w:r>
          </w:p>
        </w:tc>
        <w:tc>
          <w:tcPr>
            <w:tcW w:w="3685"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Augmentation de la température de 1,7</w:t>
            </w:r>
            <w:r w:rsidR="00803B55">
              <w:rPr>
                <w:rFonts w:ascii="Times New Roman" w:hAnsi="Times New Roman"/>
                <w:szCs w:val="22"/>
                <w:lang w:bidi="fr-FR"/>
              </w:rPr>
              <w:t>°C</w:t>
            </w:r>
            <w:r w:rsidRPr="00183630">
              <w:rPr>
                <w:rFonts w:ascii="Times New Roman" w:hAnsi="Times New Roman"/>
                <w:szCs w:val="22"/>
                <w:lang w:bidi="fr-FR"/>
              </w:rPr>
              <w:t xml:space="preserve"> sur les 50 dernières années</w:t>
            </w:r>
            <w:r w:rsidRPr="00183630">
              <w:rPr>
                <w:rFonts w:ascii="Times New Roman" w:hAnsi="Times New Roman"/>
                <w:szCs w:val="22"/>
                <w:vertAlign w:val="superscript"/>
                <w:lang w:bidi="fr-FR"/>
              </w:rPr>
              <w:footnoteReference w:id="24"/>
            </w:r>
          </w:p>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Baisse de 5 à 10 mètres du niveau de la nappe phréatique</w:t>
            </w:r>
            <w:r w:rsidRPr="00183630">
              <w:rPr>
                <w:rFonts w:ascii="Times New Roman" w:hAnsi="Times New Roman"/>
                <w:color w:val="000000"/>
                <w:szCs w:val="22"/>
                <w:vertAlign w:val="superscript"/>
                <w:lang w:bidi="fr-FR"/>
              </w:rPr>
              <w:footnoteReference w:id="25"/>
            </w:r>
          </w:p>
          <w:p w:rsidR="00953F4C" w:rsidRPr="00183630" w:rsidRDefault="00953F4C" w:rsidP="00945424">
            <w:pPr>
              <w:spacing w:after="0"/>
              <w:ind w:left="360"/>
              <w:contextualSpacing/>
              <w:jc w:val="left"/>
              <w:rPr>
                <w:rFonts w:ascii="Times New Roman" w:hAnsi="Times New Roman"/>
                <w:szCs w:val="22"/>
                <w:lang w:bidi="fr-FR"/>
              </w:rPr>
            </w:pPr>
          </w:p>
          <w:p w:rsidR="00953F4C" w:rsidRPr="00183630" w:rsidRDefault="00953F4C" w:rsidP="00945424">
            <w:pPr>
              <w:contextualSpacing/>
              <w:rPr>
                <w:szCs w:val="22"/>
                <w:lang w:bidi="fr-FR"/>
              </w:rPr>
            </w:pPr>
          </w:p>
          <w:p w:rsidR="00953F4C" w:rsidRPr="00183630" w:rsidRDefault="00953F4C" w:rsidP="00945424">
            <w:pPr>
              <w:contextualSpacing/>
              <w:rPr>
                <w:rFonts w:cs="Calibri"/>
                <w:bCs/>
                <w:color w:val="000000"/>
                <w:szCs w:val="22"/>
                <w:lang w:bidi="fr-FR"/>
              </w:rPr>
            </w:pPr>
          </w:p>
          <w:p w:rsidR="00953F4C" w:rsidRPr="00183630" w:rsidRDefault="00953F4C" w:rsidP="00945424">
            <w:pPr>
              <w:spacing w:after="0"/>
              <w:rPr>
                <w:rFonts w:ascii="Times New Roman" w:eastAsia="Times New Roman" w:hAnsi="Times New Roman"/>
                <w:szCs w:val="22"/>
                <w:lang w:bidi="fr-FR"/>
              </w:rPr>
            </w:pPr>
          </w:p>
        </w:tc>
        <w:tc>
          <w:tcPr>
            <w:tcW w:w="2977" w:type="dxa"/>
          </w:tcPr>
          <w:p w:rsidR="00953F4C" w:rsidRPr="00183630" w:rsidRDefault="00953F4C" w:rsidP="00771667">
            <w:pPr>
              <w:numPr>
                <w:ilvl w:val="0"/>
                <w:numId w:val="53"/>
              </w:numPr>
              <w:autoSpaceDE w:val="0"/>
              <w:autoSpaceDN w:val="0"/>
              <w:adjustRightInd w:val="0"/>
              <w:spacing w:after="0"/>
              <w:ind w:left="113" w:hanging="113"/>
              <w:contextualSpacing/>
              <w:jc w:val="left"/>
              <w:rPr>
                <w:rFonts w:cs="Calibri"/>
                <w:bCs/>
                <w:color w:val="000000"/>
                <w:szCs w:val="22"/>
                <w:lang w:bidi="fr-FR"/>
              </w:rPr>
            </w:pPr>
            <w:r w:rsidRPr="00183630">
              <w:rPr>
                <w:rFonts w:ascii="Times New Roman" w:hAnsi="Times New Roman"/>
                <w:color w:val="000000"/>
                <w:szCs w:val="22"/>
                <w:lang w:bidi="fr-FR"/>
              </w:rPr>
              <w:t xml:space="preserve">Les précipitations annuelles ont diminué de 200 mètres et grandes fluctuations </w:t>
            </w:r>
          </w:p>
          <w:p w:rsidR="00953F4C" w:rsidRPr="00183630" w:rsidRDefault="00953F4C" w:rsidP="00771667">
            <w:pPr>
              <w:widowControl w:val="0"/>
              <w:numPr>
                <w:ilvl w:val="0"/>
                <w:numId w:val="53"/>
              </w:numPr>
              <w:autoSpaceDE w:val="0"/>
              <w:autoSpaceDN w:val="0"/>
              <w:adjustRightInd w:val="0"/>
              <w:spacing w:before="120" w:after="0"/>
              <w:ind w:left="115" w:hanging="115"/>
              <w:contextualSpacing/>
              <w:jc w:val="left"/>
              <w:rPr>
                <w:rFonts w:ascii="Times New Roman" w:eastAsia="Times New Roman" w:hAnsi="Times New Roman"/>
                <w:szCs w:val="22"/>
                <w:lang w:bidi="fr-FR"/>
              </w:rPr>
            </w:pPr>
            <w:r w:rsidRPr="00183630">
              <w:rPr>
                <w:rFonts w:ascii="Times New Roman" w:hAnsi="Times New Roman"/>
                <w:color w:val="000000"/>
                <w:szCs w:val="22"/>
                <w:lang w:bidi="fr-FR"/>
              </w:rPr>
              <w:t>Forte évotranspiration</w:t>
            </w:r>
          </w:p>
          <w:p w:rsidR="00953F4C" w:rsidRPr="00183630" w:rsidRDefault="00953F4C" w:rsidP="00771667">
            <w:pPr>
              <w:widowControl w:val="0"/>
              <w:numPr>
                <w:ilvl w:val="0"/>
                <w:numId w:val="53"/>
              </w:numPr>
              <w:autoSpaceDE w:val="0"/>
              <w:autoSpaceDN w:val="0"/>
              <w:adjustRightInd w:val="0"/>
              <w:spacing w:before="120" w:after="0"/>
              <w:ind w:left="115" w:hanging="115"/>
              <w:contextualSpacing/>
              <w:jc w:val="left"/>
              <w:rPr>
                <w:rFonts w:ascii="Times New Roman" w:eastAsia="Times New Roman" w:hAnsi="Times New Roman"/>
                <w:szCs w:val="22"/>
                <w:lang w:bidi="fr-FR"/>
              </w:rPr>
            </w:pPr>
            <w:r w:rsidRPr="00183630">
              <w:rPr>
                <w:rFonts w:ascii="Times New Roman" w:hAnsi="Times New Roman"/>
                <w:color w:val="000000"/>
                <w:szCs w:val="22"/>
                <w:lang w:bidi="fr-FR"/>
              </w:rPr>
              <w:t>Recul du littoral de 1 à 2 mètres</w:t>
            </w:r>
            <w:r w:rsidRPr="00183630">
              <w:rPr>
                <w:rFonts w:ascii="Times New Roman" w:hAnsi="Times New Roman"/>
                <w:color w:val="000000"/>
                <w:szCs w:val="22"/>
                <w:vertAlign w:val="superscript"/>
                <w:lang w:bidi="fr-FR"/>
              </w:rPr>
              <w:footnoteReference w:id="26"/>
            </w:r>
            <w:r w:rsidRPr="00183630">
              <w:rPr>
                <w:rFonts w:ascii="Times New Roman" w:hAnsi="Times New Roman"/>
                <w:color w:val="000000"/>
                <w:szCs w:val="22"/>
                <w:lang w:bidi="fr-FR"/>
              </w:rPr>
              <w:t xml:space="preserve"> </w:t>
            </w:r>
          </w:p>
          <w:p w:rsidR="00953F4C" w:rsidRPr="00183630" w:rsidRDefault="00953F4C" w:rsidP="00945424">
            <w:pPr>
              <w:autoSpaceDE w:val="0"/>
              <w:autoSpaceDN w:val="0"/>
              <w:adjustRightInd w:val="0"/>
              <w:spacing w:before="120" w:after="120"/>
              <w:contextualSpacing/>
              <w:rPr>
                <w:szCs w:val="22"/>
                <w:lang w:bidi="fr-FR"/>
              </w:rPr>
            </w:pPr>
          </w:p>
        </w:tc>
        <w:tc>
          <w:tcPr>
            <w:tcW w:w="3260" w:type="dxa"/>
          </w:tcPr>
          <w:p w:rsidR="00953F4C" w:rsidRPr="00183630" w:rsidRDefault="00953F4C" w:rsidP="00771667">
            <w:pPr>
              <w:numPr>
                <w:ilvl w:val="0"/>
                <w:numId w:val="51"/>
              </w:numPr>
              <w:autoSpaceDE w:val="0"/>
              <w:autoSpaceDN w:val="0"/>
              <w:adjustRightInd w:val="0"/>
              <w:spacing w:after="0"/>
              <w:ind w:left="136" w:hanging="136"/>
              <w:contextualSpacing/>
              <w:jc w:val="left"/>
              <w:rPr>
                <w:rFonts w:ascii="Times New Roman" w:hAnsi="Times New Roman"/>
                <w:szCs w:val="22"/>
                <w:lang w:bidi="fr-FR"/>
              </w:rPr>
            </w:pPr>
            <w:r w:rsidRPr="00183630">
              <w:rPr>
                <w:rFonts w:ascii="Times New Roman" w:hAnsi="Times New Roman"/>
                <w:szCs w:val="22"/>
                <w:lang w:bidi="fr-FR"/>
              </w:rPr>
              <w:t>Augmentat</w:t>
            </w:r>
            <w:r w:rsidR="004628C7">
              <w:rPr>
                <w:rFonts w:ascii="Times New Roman" w:hAnsi="Times New Roman"/>
                <w:szCs w:val="22"/>
                <w:lang w:bidi="fr-FR"/>
              </w:rPr>
              <w:t>ion des fluctuations de précipit</w:t>
            </w:r>
            <w:r w:rsidRPr="00183630">
              <w:rPr>
                <w:rFonts w:ascii="Times New Roman" w:hAnsi="Times New Roman"/>
                <w:szCs w:val="22"/>
                <w:lang w:bidi="fr-FR"/>
              </w:rPr>
              <w:t>ation avec une alternance entre des années humides et des années sèches</w:t>
            </w:r>
            <w:r w:rsidRPr="00183630">
              <w:rPr>
                <w:rFonts w:ascii="Times New Roman" w:hAnsi="Times New Roman"/>
                <w:szCs w:val="22"/>
                <w:vertAlign w:val="superscript"/>
                <w:lang w:bidi="fr-FR"/>
              </w:rPr>
              <w:footnoteReference w:id="27"/>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szCs w:val="22"/>
                <w:lang w:bidi="fr-FR"/>
              </w:rPr>
              <w:t>Saisons des pluies plus courtes et retardée</w:t>
            </w:r>
            <w:r w:rsidR="00C50A2D">
              <w:rPr>
                <w:rFonts w:ascii="Times New Roman" w:hAnsi="Times New Roman"/>
                <w:szCs w:val="22"/>
                <w:lang w:bidi="fr-FR"/>
              </w:rPr>
              <w:t xml:space="preserve">s </w:t>
            </w:r>
            <w:r w:rsidRPr="00183630">
              <w:rPr>
                <w:rFonts w:ascii="Times New Roman" w:hAnsi="Times New Roman"/>
                <w:szCs w:val="22"/>
                <w:lang w:bidi="fr-FR"/>
              </w:rPr>
              <w:t>de 10 à 20 jours</w:t>
            </w:r>
            <w:r w:rsidRPr="00183630">
              <w:rPr>
                <w:rFonts w:ascii="Times New Roman" w:hAnsi="Times New Roman"/>
                <w:szCs w:val="22"/>
                <w:vertAlign w:val="superscript"/>
                <w:lang w:bidi="fr-FR"/>
              </w:rPr>
              <w:footnoteReference w:id="28"/>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szCs w:val="22"/>
                <w:lang w:bidi="fr-FR"/>
              </w:rPr>
              <w:t>Une augmentation de la température et un pourcentage sensiblement plus élevé de journées et de nuits chaudes</w:t>
            </w:r>
            <w:r w:rsidRPr="00183630">
              <w:rPr>
                <w:rFonts w:ascii="Times New Roman" w:hAnsi="Times New Roman"/>
                <w:szCs w:val="22"/>
                <w:vertAlign w:val="superscript"/>
                <w:lang w:bidi="fr-FR"/>
              </w:rPr>
              <w:footnoteReference w:id="29"/>
            </w:r>
            <w:r w:rsidRPr="00183630">
              <w:rPr>
                <w:rFonts w:ascii="Times New Roman" w:hAnsi="Times New Roman"/>
                <w:szCs w:val="22"/>
                <w:lang w:bidi="fr-FR"/>
              </w:rPr>
              <w:t xml:space="preserve"> </w:t>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t xml:space="preserve">Augmentation de l'évapotranspiration </w:t>
            </w:r>
          </w:p>
        </w:tc>
        <w:tc>
          <w:tcPr>
            <w:tcW w:w="2976" w:type="dxa"/>
          </w:tcPr>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color w:val="000000"/>
                <w:szCs w:val="22"/>
                <w:lang w:bidi="fr-FR"/>
              </w:rPr>
              <w:t>Diminution des précipitations annuelles de 400 mm</w:t>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color w:val="000000"/>
                <w:szCs w:val="22"/>
                <w:lang w:bidi="fr-FR"/>
              </w:rPr>
              <w:t xml:space="preserve">Augmentation de l'évapotranspiration </w:t>
            </w:r>
          </w:p>
          <w:p w:rsidR="00953F4C" w:rsidRPr="00183630" w:rsidRDefault="00953F4C" w:rsidP="00945424">
            <w:pPr>
              <w:autoSpaceDE w:val="0"/>
              <w:autoSpaceDN w:val="0"/>
              <w:adjustRightInd w:val="0"/>
              <w:spacing w:before="120" w:after="120"/>
              <w:ind w:left="360"/>
              <w:contextualSpacing/>
              <w:jc w:val="left"/>
              <w:rPr>
                <w:rFonts w:ascii="Times New Roman" w:hAnsi="Times New Roman"/>
                <w:szCs w:val="22"/>
                <w:lang w:bidi="fr-FR"/>
              </w:rPr>
            </w:pP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Incidences sur les socioécosystèmes</w:t>
            </w:r>
          </w:p>
        </w:tc>
        <w:tc>
          <w:tcPr>
            <w:tcW w:w="3685" w:type="dxa"/>
          </w:tcPr>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Augmentation de la salinité des eaux souterraines du fait de la montée du niveau de la mer.</w:t>
            </w:r>
          </w:p>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 xml:space="preserve">Diminution de 50 % du débit fluvial </w:t>
            </w:r>
          </w:p>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Salinisation des terres</w:t>
            </w:r>
          </w:p>
          <w:p w:rsidR="00953F4C" w:rsidRPr="00183630" w:rsidRDefault="00953F4C" w:rsidP="00771667">
            <w:pPr>
              <w:numPr>
                <w:ilvl w:val="0"/>
                <w:numId w:val="54"/>
              </w:numPr>
              <w:spacing w:after="0"/>
              <w:ind w:left="116" w:hanging="116"/>
              <w:jc w:val="left"/>
              <w:rPr>
                <w:rFonts w:ascii="Times New Roman" w:eastAsia="Times New Roman" w:hAnsi="Times New Roman"/>
                <w:szCs w:val="22"/>
                <w:lang w:bidi="fr-FR"/>
              </w:rPr>
            </w:pPr>
            <w:r w:rsidRPr="00183630">
              <w:rPr>
                <w:rFonts w:ascii="Times New Roman" w:eastAsia="Times New Roman" w:hAnsi="Times New Roman"/>
                <w:szCs w:val="22"/>
                <w:lang w:bidi="fr-FR"/>
              </w:rPr>
              <w:lastRenderedPageBreak/>
              <w:t>Fragilisation des terres humides</w:t>
            </w:r>
            <w:r w:rsidRPr="00183630">
              <w:rPr>
                <w:rFonts w:ascii="Times New Roman" w:eastAsia="Times New Roman" w:hAnsi="Times New Roman"/>
                <w:szCs w:val="22"/>
                <w:vertAlign w:val="superscript"/>
                <w:lang w:bidi="fr-FR"/>
              </w:rPr>
              <w:footnoteReference w:id="30"/>
            </w:r>
            <w:r w:rsidRPr="00183630">
              <w:rPr>
                <w:rFonts w:ascii="Times New Roman" w:eastAsia="Times New Roman" w:hAnsi="Times New Roman"/>
                <w:szCs w:val="22"/>
                <w:lang w:bidi="fr-FR"/>
              </w:rPr>
              <w:t xml:space="preserve"> (fragmentation et dégradation</w:t>
            </w:r>
            <w:r w:rsidR="00A05600">
              <w:rPr>
                <w:rFonts w:ascii="Times New Roman" w:eastAsia="Times New Roman" w:hAnsi="Times New Roman"/>
                <w:szCs w:val="22"/>
                <w:lang w:bidi="fr-FR"/>
              </w:rPr>
              <w:t xml:space="preserve"> d</w:t>
            </w:r>
            <w:r w:rsidRPr="00183630">
              <w:rPr>
                <w:rFonts w:ascii="Times New Roman" w:eastAsia="Times New Roman" w:hAnsi="Times New Roman"/>
                <w:szCs w:val="22"/>
                <w:lang w:bidi="fr-FR"/>
              </w:rPr>
              <w:t>es habitats)</w:t>
            </w:r>
          </w:p>
          <w:p w:rsidR="00953F4C" w:rsidRPr="00183630" w:rsidRDefault="00953F4C" w:rsidP="00771667">
            <w:pPr>
              <w:numPr>
                <w:ilvl w:val="0"/>
                <w:numId w:val="54"/>
              </w:numPr>
              <w:spacing w:after="0"/>
              <w:ind w:left="116" w:hanging="116"/>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Réduction de la couverture végétale provoquant l'érosion par l'eau et le vent. </w:t>
            </w:r>
          </w:p>
        </w:tc>
        <w:tc>
          <w:tcPr>
            <w:tcW w:w="2977" w:type="dxa"/>
          </w:tcPr>
          <w:p w:rsidR="00953F4C" w:rsidRPr="00183630" w:rsidRDefault="00953F4C" w:rsidP="00771667">
            <w:pPr>
              <w:numPr>
                <w:ilvl w:val="0"/>
                <w:numId w:val="54"/>
              </w:numPr>
              <w:autoSpaceDE w:val="0"/>
              <w:autoSpaceDN w:val="0"/>
              <w:adjustRightInd w:val="0"/>
              <w:spacing w:after="0"/>
              <w:ind w:left="113" w:hanging="113"/>
              <w:contextualSpacing/>
              <w:jc w:val="left"/>
              <w:rPr>
                <w:rFonts w:ascii="Times New Roman" w:hAnsi="Times New Roman"/>
                <w:szCs w:val="22"/>
                <w:lang w:bidi="fr-FR"/>
              </w:rPr>
            </w:pPr>
            <w:r w:rsidRPr="00183630">
              <w:rPr>
                <w:rFonts w:ascii="Times New Roman" w:hAnsi="Times New Roman"/>
                <w:szCs w:val="22"/>
                <w:lang w:bidi="fr-FR"/>
              </w:rPr>
              <w:lastRenderedPageBreak/>
              <w:t>Baisse du niveau des eaux souterraines dans les nappes phréatiques</w:t>
            </w:r>
            <w:r w:rsidRPr="00183630">
              <w:rPr>
                <w:rFonts w:ascii="Times New Roman" w:hAnsi="Times New Roman"/>
                <w:szCs w:val="22"/>
                <w:vertAlign w:val="superscript"/>
                <w:lang w:bidi="fr-FR"/>
              </w:rPr>
              <w:footnoteReference w:id="31"/>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color w:val="000000"/>
                <w:szCs w:val="22"/>
                <w:lang w:bidi="fr-FR"/>
              </w:rPr>
              <w:t>Salinisation des terres et des eaux souterraines</w:t>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szCs w:val="22"/>
                <w:lang w:bidi="fr-FR"/>
              </w:rPr>
              <w:lastRenderedPageBreak/>
              <w:t>Vent desséchant</w:t>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color w:val="000000"/>
                <w:szCs w:val="22"/>
                <w:lang w:bidi="fr-FR"/>
              </w:rPr>
              <w:t xml:space="preserve">Désertification </w:t>
            </w:r>
          </w:p>
        </w:tc>
        <w:tc>
          <w:tcPr>
            <w:tcW w:w="3260" w:type="dxa"/>
          </w:tcPr>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lastRenderedPageBreak/>
              <w:t>Faible disponibilité des ressources en eau</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t xml:space="preserve">Manque de ressources ligneuses et de fourrage </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lastRenderedPageBreak/>
              <w:t>Dégradation des terres et de la couverture végétale</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t>Érosion par le vent</w:t>
            </w:r>
            <w:r w:rsidRPr="00183630">
              <w:rPr>
                <w:color w:val="000000"/>
                <w:szCs w:val="22"/>
                <w:lang w:bidi="fr-FR"/>
              </w:rPr>
              <w:t xml:space="preserve"> </w:t>
            </w:r>
          </w:p>
        </w:tc>
        <w:tc>
          <w:tcPr>
            <w:tcW w:w="2976" w:type="dxa"/>
          </w:tcPr>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lastRenderedPageBreak/>
              <w:t>Diminution de la couverture végétale</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t xml:space="preserve">Dégradation des terres du fait de la déforestation, de l'érosion par </w:t>
            </w:r>
            <w:r w:rsidRPr="00183630">
              <w:rPr>
                <w:rFonts w:ascii="Times New Roman" w:hAnsi="Times New Roman"/>
                <w:color w:val="000000"/>
                <w:szCs w:val="22"/>
                <w:lang w:bidi="fr-FR"/>
              </w:rPr>
              <w:lastRenderedPageBreak/>
              <w:t>le vent et du ruissellement de l'eau.</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lastRenderedPageBreak/>
              <w:t>Principales incidences du changement climatique</w:t>
            </w:r>
          </w:p>
        </w:tc>
        <w:tc>
          <w:tcPr>
            <w:tcW w:w="3685"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Infiltration de l'eau de mer et salinisation des sols et des eaux souterraines </w:t>
            </w:r>
          </w:p>
        </w:tc>
        <w:tc>
          <w:tcPr>
            <w:tcW w:w="2977"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Désertification et érosion des côtes</w:t>
            </w:r>
          </w:p>
        </w:tc>
        <w:tc>
          <w:tcPr>
            <w:tcW w:w="3260"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Accroissement de la vulnérabilité de la couverture végétale et de l'accès à l'eau.</w:t>
            </w:r>
          </w:p>
        </w:tc>
        <w:tc>
          <w:tcPr>
            <w:tcW w:w="2976"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Accroissement de la vulnérabilité de la couverture végétale </w:t>
            </w:r>
          </w:p>
        </w:tc>
      </w:tr>
    </w:tbl>
    <w:p w:rsidR="00953F4C" w:rsidRPr="00183630" w:rsidRDefault="00953F4C" w:rsidP="00953F4C">
      <w:pPr>
        <w:spacing w:after="0"/>
        <w:jc w:val="left"/>
        <w:rPr>
          <w:rFonts w:ascii="Times New Roman" w:hAnsi="Times New Roman"/>
          <w:b/>
          <w:sz w:val="24"/>
          <w:lang w:eastAsia="fr-FR" w:bidi="fr-FR"/>
        </w:rPr>
        <w:sectPr w:rsidR="00953F4C" w:rsidRPr="00183630" w:rsidSect="00183630">
          <w:pgSz w:w="16817" w:h="11901" w:orient="landscape"/>
          <w:pgMar w:top="1021" w:right="1021" w:bottom="1021" w:left="1021" w:header="709" w:footer="709" w:gutter="0"/>
          <w:cols w:space="708"/>
          <w:docGrid w:linePitch="360"/>
        </w:sectPr>
      </w:pPr>
    </w:p>
    <w:p w:rsidR="00953F4C" w:rsidRPr="00953F4C" w:rsidRDefault="00953F4C" w:rsidP="00953F4C">
      <w:pPr>
        <w:rPr>
          <w:sz w:val="24"/>
          <w:lang w:eastAsia="fr-FR" w:bidi="fr-FR"/>
        </w:rPr>
      </w:pPr>
      <w:r w:rsidRPr="00183630">
        <w:rPr>
          <w:rFonts w:ascii="Times New Roman" w:hAnsi="Times New Roman"/>
          <w:b/>
          <w:sz w:val="24"/>
          <w:lang w:eastAsia="fr-FR" w:bidi="fr-FR"/>
        </w:rPr>
        <w:lastRenderedPageBreak/>
        <w:t xml:space="preserve">Solutions à long terme et </w:t>
      </w:r>
      <w:r w:rsidR="00B002A8">
        <w:rPr>
          <w:rFonts w:ascii="Times New Roman" w:hAnsi="Times New Roman"/>
          <w:b/>
          <w:sz w:val="24"/>
          <w:lang w:eastAsia="fr-FR" w:bidi="fr-FR"/>
        </w:rPr>
        <w:t>barrières</w:t>
      </w:r>
      <w:r w:rsidR="00B002A8" w:rsidRPr="00183630">
        <w:rPr>
          <w:rFonts w:ascii="Times New Roman" w:hAnsi="Times New Roman"/>
          <w:b/>
          <w:sz w:val="24"/>
          <w:lang w:eastAsia="fr-FR" w:bidi="fr-FR"/>
        </w:rPr>
        <w:t xml:space="preserve"> </w:t>
      </w:r>
      <w:r w:rsidRPr="00183630">
        <w:rPr>
          <w:rFonts w:ascii="Times New Roman" w:hAnsi="Times New Roman"/>
          <w:b/>
          <w:sz w:val="24"/>
          <w:lang w:eastAsia="fr-FR" w:bidi="fr-FR"/>
        </w:rPr>
        <w:t xml:space="preserve">à </w:t>
      </w:r>
      <w:r w:rsidR="00305E03">
        <w:rPr>
          <w:rFonts w:ascii="Times New Roman" w:hAnsi="Times New Roman"/>
          <w:b/>
          <w:sz w:val="24"/>
          <w:lang w:eastAsia="fr-FR" w:bidi="fr-FR"/>
        </w:rPr>
        <w:t>lever</w:t>
      </w:r>
      <w:r w:rsidR="00B002A8" w:rsidRPr="00183630">
        <w:rPr>
          <w:sz w:val="24"/>
          <w:lang w:eastAsia="fr-FR" w:bidi="fr-FR"/>
        </w:rPr>
        <w:t xml:space="preserve"> </w:t>
      </w:r>
    </w:p>
    <w:p w:rsidR="00953F4C" w:rsidRDefault="00953F4C" w:rsidP="00953F4C">
      <w:pPr>
        <w:pStyle w:val="NumberedParas"/>
        <w:numPr>
          <w:ilvl w:val="0"/>
          <w:numId w:val="0"/>
        </w:numPr>
        <w:rPr>
          <w:noProof/>
          <w:lang w:eastAsia="fr-FR" w:bidi="fr-FR"/>
        </w:rPr>
      </w:pPr>
    </w:p>
    <w:p w:rsidR="00183630" w:rsidRPr="00B002A8" w:rsidRDefault="00183630" w:rsidP="00FB2FBE">
      <w:pPr>
        <w:pStyle w:val="NumberedParas"/>
        <w:ind w:left="0" w:firstLine="0"/>
        <w:rPr>
          <w:noProof/>
          <w:lang w:eastAsia="fr-FR" w:bidi="fr-FR"/>
        </w:rPr>
      </w:pPr>
      <w:r w:rsidRPr="00B002A8">
        <w:rPr>
          <w:lang w:eastAsia="fr-FR" w:bidi="fr-FR"/>
        </w:rPr>
        <w:t xml:space="preserve">Alors qu'il existe de nombreux défis auxquels le Sénégal doit faire face concernant l'adaptation aux changements climatiques, la solution à long terme sera de mettre en œuvre des pratiques </w:t>
      </w:r>
      <w:r w:rsidR="00B002A8">
        <w:rPr>
          <w:lang w:eastAsia="fr-FR" w:bidi="fr-FR"/>
        </w:rPr>
        <w:t>résilientes</w:t>
      </w:r>
      <w:r w:rsidR="00B002A8" w:rsidRPr="00B002A8">
        <w:rPr>
          <w:lang w:eastAsia="fr-FR" w:bidi="fr-FR"/>
        </w:rPr>
        <w:t xml:space="preserve"> </w:t>
      </w:r>
      <w:r w:rsidRPr="00B002A8">
        <w:rPr>
          <w:lang w:eastAsia="fr-FR" w:bidi="fr-FR"/>
        </w:rPr>
        <w:t>au</w:t>
      </w:r>
      <w:r w:rsidR="00B002A8">
        <w:rPr>
          <w:lang w:eastAsia="fr-FR" w:bidi="fr-FR"/>
        </w:rPr>
        <w:t>x changements</w:t>
      </w:r>
      <w:r w:rsidRPr="00B002A8">
        <w:rPr>
          <w:lang w:eastAsia="fr-FR" w:bidi="fr-FR"/>
        </w:rPr>
        <w:t xml:space="preserve"> climat</w:t>
      </w:r>
      <w:r w:rsidR="00B002A8">
        <w:rPr>
          <w:lang w:eastAsia="fr-FR" w:bidi="fr-FR"/>
        </w:rPr>
        <w:t>iques</w:t>
      </w:r>
      <w:r w:rsidRPr="00B002A8">
        <w:rPr>
          <w:lang w:eastAsia="fr-FR" w:bidi="fr-FR"/>
        </w:rPr>
        <w:t xml:space="preserve"> pour les communautés vulnérables dans les 21 communes tout en améliorant l'accès </w:t>
      </w:r>
      <w:r w:rsidR="00B002A8">
        <w:rPr>
          <w:lang w:eastAsia="fr-FR" w:bidi="fr-FR"/>
        </w:rPr>
        <w:t>au financement</w:t>
      </w:r>
      <w:r w:rsidRPr="00B002A8">
        <w:rPr>
          <w:lang w:eastAsia="fr-FR" w:bidi="fr-FR"/>
        </w:rPr>
        <w:t xml:space="preserve"> pour les activités </w:t>
      </w:r>
      <w:r w:rsidR="00B002A8">
        <w:rPr>
          <w:lang w:eastAsia="fr-FR" w:bidi="fr-FR"/>
        </w:rPr>
        <w:t>résilientes</w:t>
      </w:r>
      <w:r w:rsidR="00B002A8" w:rsidRPr="00B002A8">
        <w:rPr>
          <w:lang w:eastAsia="fr-FR" w:bidi="fr-FR"/>
        </w:rPr>
        <w:t xml:space="preserve"> </w:t>
      </w:r>
      <w:r w:rsidRPr="00B002A8">
        <w:rPr>
          <w:lang w:eastAsia="fr-FR" w:bidi="fr-FR"/>
        </w:rPr>
        <w:t xml:space="preserve">au climat afin de garantir </w:t>
      </w:r>
      <w:r w:rsidR="00B002A8" w:rsidRPr="00B002A8">
        <w:rPr>
          <w:lang w:eastAsia="fr-FR" w:bidi="fr-FR"/>
        </w:rPr>
        <w:t xml:space="preserve">la durabilité </w:t>
      </w:r>
      <w:r w:rsidRPr="00B002A8">
        <w:rPr>
          <w:lang w:eastAsia="fr-FR" w:bidi="fr-FR"/>
        </w:rPr>
        <w:t xml:space="preserve">ainsi </w:t>
      </w:r>
      <w:r w:rsidR="00D22B1B" w:rsidRPr="00B002A8">
        <w:rPr>
          <w:lang w:eastAsia="fr-FR" w:bidi="fr-FR"/>
        </w:rPr>
        <w:t xml:space="preserve">que </w:t>
      </w:r>
      <w:r w:rsidR="00D22B1B">
        <w:rPr>
          <w:lang w:eastAsia="fr-FR" w:bidi="fr-FR"/>
        </w:rPr>
        <w:t>l’appropriation</w:t>
      </w:r>
      <w:r w:rsidR="00B002A8">
        <w:rPr>
          <w:lang w:eastAsia="fr-FR" w:bidi="fr-FR"/>
        </w:rPr>
        <w:t xml:space="preserve"> </w:t>
      </w:r>
      <w:r w:rsidRPr="00B002A8">
        <w:rPr>
          <w:lang w:eastAsia="fr-FR" w:bidi="fr-FR"/>
        </w:rPr>
        <w:t xml:space="preserve">des interventions. En améliorant l'accès à d'autres moyens de subsistance </w:t>
      </w:r>
      <w:r w:rsidR="009D471A">
        <w:rPr>
          <w:lang w:eastAsia="fr-FR" w:bidi="fr-FR"/>
        </w:rPr>
        <w:t>résilients</w:t>
      </w:r>
      <w:r w:rsidR="009D471A" w:rsidRPr="00B002A8">
        <w:rPr>
          <w:lang w:eastAsia="fr-FR" w:bidi="fr-FR"/>
        </w:rPr>
        <w:t xml:space="preserve"> </w:t>
      </w:r>
      <w:r w:rsidRPr="00B002A8">
        <w:rPr>
          <w:lang w:eastAsia="fr-FR" w:bidi="fr-FR"/>
        </w:rPr>
        <w:t xml:space="preserve">et aux ressources naturelles (par exemple l'eau, les semences améliorées), les </w:t>
      </w:r>
      <w:r w:rsidR="009D471A">
        <w:rPr>
          <w:lang w:eastAsia="fr-FR" w:bidi="fr-FR"/>
        </w:rPr>
        <w:t xml:space="preserve">actions menées sous le </w:t>
      </w:r>
      <w:r w:rsidRPr="00B002A8">
        <w:rPr>
          <w:lang w:eastAsia="fr-FR" w:bidi="fr-FR"/>
        </w:rPr>
        <w:t xml:space="preserve">Résultat 2 </w:t>
      </w:r>
      <w:r w:rsidR="009D471A">
        <w:rPr>
          <w:lang w:eastAsia="fr-FR" w:bidi="fr-FR"/>
        </w:rPr>
        <w:t>apporteront</w:t>
      </w:r>
      <w:r w:rsidR="009D471A" w:rsidRPr="00B002A8">
        <w:rPr>
          <w:lang w:eastAsia="fr-FR" w:bidi="fr-FR"/>
        </w:rPr>
        <w:t xml:space="preserve"> </w:t>
      </w:r>
      <w:r w:rsidRPr="00B002A8">
        <w:rPr>
          <w:lang w:eastAsia="fr-FR" w:bidi="fr-FR"/>
        </w:rPr>
        <w:t xml:space="preserve">une réponse directe aux pénuries d'eau, à la salinisation ou à la dégradation </w:t>
      </w:r>
      <w:r w:rsidR="009D471A">
        <w:rPr>
          <w:lang w:eastAsia="fr-FR" w:bidi="fr-FR"/>
        </w:rPr>
        <w:t>du couvert</w:t>
      </w:r>
      <w:r w:rsidRPr="00B002A8">
        <w:rPr>
          <w:lang w:eastAsia="fr-FR" w:bidi="fr-FR"/>
        </w:rPr>
        <w:t xml:space="preserve"> végétal </w:t>
      </w:r>
      <w:r w:rsidR="009D471A">
        <w:rPr>
          <w:lang w:eastAsia="fr-FR" w:bidi="fr-FR"/>
        </w:rPr>
        <w:t>qui ont un impact</w:t>
      </w:r>
      <w:r w:rsidR="009D471A" w:rsidRPr="00B002A8">
        <w:rPr>
          <w:lang w:eastAsia="fr-FR" w:bidi="fr-FR"/>
        </w:rPr>
        <w:t xml:space="preserve"> </w:t>
      </w:r>
      <w:r w:rsidRPr="00B002A8">
        <w:rPr>
          <w:lang w:eastAsia="fr-FR" w:bidi="fr-FR"/>
        </w:rPr>
        <w:t xml:space="preserve"> direct sur les moyens de subsistance et sur la sécurité alimentaire des communautés ciblées. En outre, la mise en œuvre de mécanismes de finance novateur</w:t>
      </w:r>
      <w:r w:rsidR="00A05600" w:rsidRPr="00B002A8">
        <w:rPr>
          <w:lang w:eastAsia="fr-FR" w:bidi="fr-FR"/>
        </w:rPr>
        <w:t>s au titre du Résultat 1 créera</w:t>
      </w:r>
      <w:r w:rsidRPr="00B002A8">
        <w:rPr>
          <w:lang w:eastAsia="fr-FR" w:bidi="fr-FR"/>
        </w:rPr>
        <w:t xml:space="preserve"> un environnement propice </w:t>
      </w:r>
      <w:r w:rsidR="009D471A">
        <w:rPr>
          <w:lang w:eastAsia="fr-FR" w:bidi="fr-FR"/>
        </w:rPr>
        <w:t>à</w:t>
      </w:r>
      <w:r w:rsidR="009D471A" w:rsidRPr="00B002A8">
        <w:rPr>
          <w:lang w:eastAsia="fr-FR" w:bidi="fr-FR"/>
        </w:rPr>
        <w:t xml:space="preserve"> </w:t>
      </w:r>
      <w:r w:rsidRPr="00B002A8">
        <w:rPr>
          <w:lang w:eastAsia="fr-FR" w:bidi="fr-FR"/>
        </w:rPr>
        <w:t xml:space="preserve">la montée en gamme des pratiques </w:t>
      </w:r>
      <w:r w:rsidR="009D471A">
        <w:rPr>
          <w:lang w:eastAsia="fr-FR" w:bidi="fr-FR"/>
        </w:rPr>
        <w:t>résilientes</w:t>
      </w:r>
      <w:r w:rsidR="009D471A" w:rsidRPr="00B002A8">
        <w:rPr>
          <w:lang w:eastAsia="fr-FR" w:bidi="fr-FR"/>
        </w:rPr>
        <w:t xml:space="preserve"> </w:t>
      </w:r>
      <w:r w:rsidRPr="00B002A8">
        <w:rPr>
          <w:lang w:eastAsia="fr-FR" w:bidi="fr-FR"/>
        </w:rPr>
        <w:t xml:space="preserve">au climat et pour la répartition des avantages et la diffusion </w:t>
      </w:r>
      <w:r w:rsidR="00A05600" w:rsidRPr="00B002A8">
        <w:rPr>
          <w:lang w:eastAsia="fr-FR" w:bidi="fr-FR"/>
        </w:rPr>
        <w:t>de leçons issues</w:t>
      </w:r>
      <w:r w:rsidRPr="00B002A8">
        <w:rPr>
          <w:lang w:eastAsia="fr-FR" w:bidi="fr-FR"/>
        </w:rPr>
        <w:t xml:space="preserve"> du projet au</w:t>
      </w:r>
      <w:r w:rsidR="00C50A2D" w:rsidRPr="00B002A8">
        <w:rPr>
          <w:lang w:eastAsia="fr-FR" w:bidi="fr-FR"/>
        </w:rPr>
        <w:t>-</w:t>
      </w:r>
      <w:r w:rsidRPr="00B002A8">
        <w:rPr>
          <w:lang w:eastAsia="fr-FR" w:bidi="fr-FR"/>
        </w:rPr>
        <w:t>delà des bénéficiaires ciblés. De manière plus spécifique, cela imp</w:t>
      </w:r>
      <w:r w:rsidR="00A15BF5" w:rsidRPr="00B002A8">
        <w:rPr>
          <w:lang w:eastAsia="fr-FR" w:bidi="fr-FR"/>
        </w:rPr>
        <w:t>lique deux principes d'action.</w:t>
      </w:r>
    </w:p>
    <w:p w:rsidR="00953F4C" w:rsidRDefault="00953F4C" w:rsidP="00953F4C">
      <w:pPr>
        <w:pStyle w:val="NumberedParas"/>
        <w:numPr>
          <w:ilvl w:val="0"/>
          <w:numId w:val="0"/>
        </w:numPr>
        <w:rPr>
          <w:noProof/>
          <w:lang w:eastAsia="fr-FR" w:bidi="fr-FR"/>
        </w:rPr>
      </w:pPr>
    </w:p>
    <w:p w:rsidR="00183630" w:rsidRDefault="00183630" w:rsidP="00183630">
      <w:pPr>
        <w:pStyle w:val="NumberedParas"/>
        <w:ind w:left="0" w:firstLine="0"/>
        <w:rPr>
          <w:noProof/>
          <w:lang w:eastAsia="fr-FR" w:bidi="fr-FR"/>
        </w:rPr>
      </w:pPr>
      <w:r w:rsidRPr="00953F4C">
        <w:rPr>
          <w:lang w:eastAsia="fr-FR" w:bidi="fr-FR"/>
        </w:rPr>
        <w:t xml:space="preserve">Premièrement, le projet met en œuvre des mécanismes de financement novateurs apportant des revenus supplémentaires réguliers au niveau local destinés à financer des mesures d'adaptation aux changements climatiques. Cette finance dirigée aux ménages vulnérables aidera à réagir durablement aux défis </w:t>
      </w:r>
      <w:r w:rsidR="00A05600" w:rsidRPr="00953F4C">
        <w:rPr>
          <w:lang w:eastAsia="fr-FR" w:bidi="fr-FR"/>
        </w:rPr>
        <w:t>susmentionnés</w:t>
      </w:r>
      <w:r w:rsidRPr="00953F4C">
        <w:rPr>
          <w:lang w:eastAsia="fr-FR" w:bidi="fr-FR"/>
        </w:rPr>
        <w:t xml:space="preserve"> tout en garantissant </w:t>
      </w:r>
      <w:r w:rsidR="00AB6553">
        <w:rPr>
          <w:lang w:eastAsia="fr-FR" w:bidi="fr-FR"/>
        </w:rPr>
        <w:t>l’appropriation</w:t>
      </w:r>
      <w:r w:rsidRPr="00953F4C">
        <w:rPr>
          <w:lang w:eastAsia="fr-FR" w:bidi="fr-FR"/>
        </w:rPr>
        <w:t xml:space="preserve"> des interventions par les bénéficiaires. Cela est rendu possible grâce au renforcement des c</w:t>
      </w:r>
      <w:r w:rsidR="00A15BF5">
        <w:rPr>
          <w:lang w:eastAsia="fr-FR" w:bidi="fr-FR"/>
        </w:rPr>
        <w:t>apacités à différents niveaux :</w:t>
      </w:r>
      <w:r w:rsidRPr="00953F4C">
        <w:rPr>
          <w:lang w:eastAsia="fr-FR" w:bidi="fr-FR"/>
        </w:rPr>
        <w:t xml:space="preserve"> (i) au niveau des communes, mobiliser des ressources financières supplémentaires en provenance à la fois de sources internes (impôts, PPP, etc.) et externes (subventions, RSE, etc.) pour l'adaptation aux changements climatiques en intégrant ce dernier dans leur Plan de développement communal (PDC) ; (ii) au niveau des institutions financières locales, évaluer et comprendre les opportunités créées par le financement de stratégies d'adaptation aux changements climatiques pour les communautés vulnérables ; (iii) au niveau des associations locales (société civile), accéder et gérer les fonds ; (iv) au niveau du secteur privé, contribuer à l'adaptation des territoires vulnérables. Avec cette composante de renforcement des capacités, l'objectif est d'augmenter les financements à long terme, à la fois au moyen de solutions endogènes (impôts, partage des avantages issus des </w:t>
      </w:r>
      <w:r w:rsidR="007236BE">
        <w:rPr>
          <w:lang w:eastAsia="fr-FR" w:bidi="fr-FR"/>
        </w:rPr>
        <w:t>chaînes de valeur</w:t>
      </w:r>
      <w:r w:rsidRPr="00953F4C">
        <w:rPr>
          <w:lang w:eastAsia="fr-FR" w:bidi="fr-FR"/>
        </w:rPr>
        <w:t>, PPP, etc.) et de solutions exogènes (</w:t>
      </w:r>
      <w:r w:rsidRPr="00953F4C">
        <w:rPr>
          <w:u w:val="single"/>
          <w:lang w:eastAsia="fr-FR" w:bidi="fr-FR"/>
        </w:rPr>
        <w:t>fondation, RSE, levées de fonds pour les subventions, etc.</w:t>
      </w:r>
      <w:r w:rsidRPr="00953F4C">
        <w:rPr>
          <w:lang w:eastAsia="fr-FR" w:bidi="fr-FR"/>
        </w:rPr>
        <w:t xml:space="preserve">) </w:t>
      </w:r>
    </w:p>
    <w:p w:rsidR="00953F4C" w:rsidRDefault="00953F4C" w:rsidP="00953F4C">
      <w:pPr>
        <w:pStyle w:val="NumberedParas"/>
        <w:numPr>
          <w:ilvl w:val="0"/>
          <w:numId w:val="0"/>
        </w:numPr>
        <w:rPr>
          <w:noProof/>
          <w:lang w:eastAsia="fr-FR" w:bidi="fr-FR"/>
        </w:rPr>
      </w:pPr>
    </w:p>
    <w:p w:rsidR="00953F4C" w:rsidRDefault="00183630" w:rsidP="00183630">
      <w:pPr>
        <w:pStyle w:val="NumberedParas"/>
        <w:ind w:left="0" w:firstLine="0"/>
        <w:rPr>
          <w:noProof/>
          <w:lang w:eastAsia="fr-FR" w:bidi="fr-FR"/>
        </w:rPr>
      </w:pPr>
      <w:r w:rsidRPr="00953F4C">
        <w:rPr>
          <w:lang w:eastAsia="fr-FR" w:bidi="fr-FR"/>
        </w:rPr>
        <w:t>Deuxièmement, les solutions à long terme permette</w:t>
      </w:r>
      <w:r w:rsidR="00C50A2D">
        <w:rPr>
          <w:lang w:eastAsia="fr-FR" w:bidi="fr-FR"/>
        </w:rPr>
        <w:t xml:space="preserve">nt </w:t>
      </w:r>
      <w:r w:rsidRPr="00953F4C">
        <w:rPr>
          <w:lang w:eastAsia="fr-FR" w:bidi="fr-FR"/>
        </w:rPr>
        <w:t>un apport d'investissements et une amélioration des capacités des communautés (en particulier pour les femmes et les jeunes) afin de leur donner plus de moyens de s'adapter au</w:t>
      </w:r>
      <w:r w:rsidR="00AB6553">
        <w:rPr>
          <w:lang w:eastAsia="fr-FR" w:bidi="fr-FR"/>
        </w:rPr>
        <w:t>x</w:t>
      </w:r>
      <w:r w:rsidRPr="00953F4C">
        <w:rPr>
          <w:lang w:eastAsia="fr-FR" w:bidi="fr-FR"/>
        </w:rPr>
        <w:t xml:space="preserve"> changement</w:t>
      </w:r>
      <w:r w:rsidR="00AB6553">
        <w:rPr>
          <w:lang w:eastAsia="fr-FR" w:bidi="fr-FR"/>
        </w:rPr>
        <w:t>s</w:t>
      </w:r>
      <w:r w:rsidRPr="00953F4C">
        <w:rPr>
          <w:lang w:eastAsia="fr-FR" w:bidi="fr-FR"/>
        </w:rPr>
        <w:t xml:space="preserve"> climatique</w:t>
      </w:r>
      <w:r w:rsidR="00AB6553">
        <w:rPr>
          <w:lang w:eastAsia="fr-FR" w:bidi="fr-FR"/>
        </w:rPr>
        <w:t>s</w:t>
      </w:r>
      <w:r w:rsidRPr="00953F4C">
        <w:rPr>
          <w:lang w:eastAsia="fr-FR" w:bidi="fr-FR"/>
        </w:rPr>
        <w:t xml:space="preserve"> et </w:t>
      </w:r>
      <w:r w:rsidR="00106951">
        <w:rPr>
          <w:lang w:eastAsia="fr-FR" w:bidi="fr-FR"/>
        </w:rPr>
        <w:t>à</w:t>
      </w:r>
      <w:r w:rsidR="00106951" w:rsidRPr="00953F4C">
        <w:rPr>
          <w:lang w:eastAsia="fr-FR" w:bidi="fr-FR"/>
        </w:rPr>
        <w:t xml:space="preserve"> </w:t>
      </w:r>
      <w:r w:rsidR="00106951">
        <w:rPr>
          <w:lang w:eastAsia="fr-FR" w:bidi="fr-FR"/>
        </w:rPr>
        <w:t>leur variabilité</w:t>
      </w:r>
      <w:r w:rsidR="00106951" w:rsidRPr="00953F4C">
        <w:rPr>
          <w:lang w:eastAsia="fr-FR" w:bidi="fr-FR"/>
        </w:rPr>
        <w:t xml:space="preserve"> </w:t>
      </w:r>
      <w:r w:rsidRPr="00953F4C">
        <w:rPr>
          <w:lang w:eastAsia="fr-FR" w:bidi="fr-FR"/>
        </w:rPr>
        <w:t xml:space="preserve">en fournissant d'autres moyens de subsistance moins vulnérables aux pressions climatiques dont chaque commune fait face. Ces solutions sont basées sur la stratégie du Gouvernement, sur les résultats des précédents projets mis en œuvre ou des projets en cours et sur les besoins de la population. Elles comprennent des interventions spécifiques aux communes afin de fournir un meilleur accès aux infrastructures et aux technologies </w:t>
      </w:r>
      <w:r w:rsidR="00106951">
        <w:rPr>
          <w:lang w:eastAsia="fr-FR" w:bidi="fr-FR"/>
        </w:rPr>
        <w:t>résilientes</w:t>
      </w:r>
      <w:r w:rsidR="00106951" w:rsidRPr="00953F4C">
        <w:rPr>
          <w:lang w:eastAsia="fr-FR" w:bidi="fr-FR"/>
        </w:rPr>
        <w:t xml:space="preserve"> </w:t>
      </w:r>
      <w:r w:rsidRPr="00953F4C">
        <w:rPr>
          <w:lang w:eastAsia="fr-FR" w:bidi="fr-FR"/>
        </w:rPr>
        <w:t xml:space="preserve">et aux formations techniques et de gestion, d'améliorer les conditions économiques au moyen d'activités résistantes au climat et de donner accès à des ressources naturelles </w:t>
      </w:r>
      <w:r w:rsidR="00106951">
        <w:rPr>
          <w:lang w:eastAsia="fr-FR" w:bidi="fr-FR"/>
        </w:rPr>
        <w:t>sécurisées</w:t>
      </w:r>
      <w:r w:rsidR="00106951" w:rsidRPr="00953F4C">
        <w:rPr>
          <w:lang w:eastAsia="fr-FR" w:bidi="fr-FR"/>
        </w:rPr>
        <w:t xml:space="preserve"> </w:t>
      </w:r>
      <w:r w:rsidRPr="00953F4C">
        <w:rPr>
          <w:lang w:eastAsia="fr-FR" w:bidi="fr-FR"/>
        </w:rPr>
        <w:t xml:space="preserve">pour l'agroforesterie (par exemple l'eau et les semences résistantes). Elles comprennent également une participation au </w:t>
      </w:r>
      <w:r w:rsidR="00106951" w:rsidRPr="00953F4C">
        <w:rPr>
          <w:lang w:eastAsia="fr-FR" w:bidi="fr-FR"/>
        </w:rPr>
        <w:t xml:space="preserve">processus de prise de décision </w:t>
      </w:r>
      <w:r w:rsidR="00106951">
        <w:rPr>
          <w:lang w:eastAsia="fr-FR" w:bidi="fr-FR"/>
        </w:rPr>
        <w:t xml:space="preserve">au </w:t>
      </w:r>
      <w:r w:rsidRPr="00953F4C">
        <w:rPr>
          <w:lang w:eastAsia="fr-FR" w:bidi="fr-FR"/>
        </w:rPr>
        <w:t xml:space="preserve">niveau </w:t>
      </w:r>
      <w:r w:rsidR="00D22B1B" w:rsidRPr="00953F4C">
        <w:rPr>
          <w:lang w:eastAsia="fr-FR" w:bidi="fr-FR"/>
        </w:rPr>
        <w:t>local.</w:t>
      </w:r>
    </w:p>
    <w:p w:rsidR="00953F4C" w:rsidRDefault="00953F4C" w:rsidP="00953F4C">
      <w:pPr>
        <w:pStyle w:val="NumberedParas"/>
        <w:numPr>
          <w:ilvl w:val="0"/>
          <w:numId w:val="0"/>
        </w:numPr>
        <w:rPr>
          <w:noProof/>
          <w:lang w:eastAsia="fr-FR" w:bidi="fr-FR"/>
        </w:rPr>
      </w:pPr>
    </w:p>
    <w:p w:rsidR="00183630" w:rsidRDefault="00183630" w:rsidP="00183630">
      <w:pPr>
        <w:pStyle w:val="NumberedParas"/>
        <w:ind w:left="0" w:firstLine="0"/>
        <w:rPr>
          <w:noProof/>
          <w:lang w:eastAsia="fr-FR" w:bidi="fr-FR"/>
        </w:rPr>
      </w:pPr>
      <w:r w:rsidRPr="00953F4C">
        <w:rPr>
          <w:lang w:eastAsia="fr-FR" w:bidi="fr-FR"/>
        </w:rPr>
        <w:lastRenderedPageBreak/>
        <w:t xml:space="preserve"> Les solution</w:t>
      </w:r>
      <w:r w:rsidR="00A05600">
        <w:rPr>
          <w:lang w:eastAsia="fr-FR" w:bidi="fr-FR"/>
        </w:rPr>
        <w:t>s</w:t>
      </w:r>
      <w:r w:rsidRPr="00953F4C">
        <w:rPr>
          <w:lang w:eastAsia="fr-FR" w:bidi="fr-FR"/>
        </w:rPr>
        <w:t xml:space="preserve"> privilégiées consistent à accroître la </w:t>
      </w:r>
      <w:r w:rsidR="00106951">
        <w:rPr>
          <w:lang w:eastAsia="fr-FR" w:bidi="fr-FR"/>
        </w:rPr>
        <w:t>résilience</w:t>
      </w:r>
      <w:r w:rsidR="00106951" w:rsidRPr="00953F4C">
        <w:rPr>
          <w:lang w:eastAsia="fr-FR" w:bidi="fr-FR"/>
        </w:rPr>
        <w:t xml:space="preserve"> </w:t>
      </w:r>
      <w:r w:rsidRPr="00953F4C">
        <w:rPr>
          <w:lang w:eastAsia="fr-FR" w:bidi="fr-FR"/>
        </w:rPr>
        <w:t>des communautés locales aux incidences du changement climatique dans les quatre sites du Sénégal et compren</w:t>
      </w:r>
      <w:r w:rsidR="00C50A2D">
        <w:rPr>
          <w:lang w:eastAsia="fr-FR" w:bidi="fr-FR"/>
        </w:rPr>
        <w:t>nent</w:t>
      </w:r>
      <w:r w:rsidRPr="00953F4C">
        <w:rPr>
          <w:lang w:eastAsia="fr-FR" w:bidi="fr-FR"/>
        </w:rPr>
        <w:t xml:space="preserve"> les éléments suivants :</w:t>
      </w: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budget supplémentaire destiné à l'adaptation aux changements climatiques au niveau local.</w:t>
      </w:r>
      <w:r w:rsidRPr="00183630">
        <w:rPr>
          <w:rFonts w:ascii="Times New Roman" w:eastAsia="Times New Roman" w:hAnsi="Times New Roman"/>
          <w:sz w:val="24"/>
          <w:szCs w:val="22"/>
          <w:lang w:eastAsia="fr-FR" w:bidi="fr-FR"/>
        </w:rPr>
        <w:t xml:space="preserve"> La solution privilégiée comprendrait un renforcement de la capacité des acteurs locaux concernés au Sénégal (tels que les communes, mais aussi la société civile locale) à identifier, attirer et gérer des fonds supplémentaires afin de pouvoir mettre en œuvre et </w:t>
      </w:r>
      <w:r w:rsidR="00970BE8">
        <w:rPr>
          <w:rFonts w:ascii="Times New Roman" w:eastAsia="Times New Roman" w:hAnsi="Times New Roman"/>
          <w:sz w:val="24"/>
          <w:szCs w:val="22"/>
          <w:lang w:eastAsia="fr-FR" w:bidi="fr-FR"/>
        </w:rPr>
        <w:t>suivre</w:t>
      </w:r>
      <w:r w:rsidR="00970BE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les mesures d'adaptation sur le territoire des communes. D'après le Plan de développement communal (PDC) de chaque commune, les plans stratégiques et d'action seront mis en œuvre par les autorités municipales (et villageoises) pour l'adaptation aux changements climatiques. Ces mesures seront </w:t>
      </w:r>
      <w:r w:rsidR="00BD0111" w:rsidRPr="00183630">
        <w:rPr>
          <w:rFonts w:ascii="Times New Roman" w:eastAsia="Times New Roman" w:hAnsi="Times New Roman"/>
          <w:sz w:val="24"/>
          <w:szCs w:val="22"/>
          <w:lang w:eastAsia="fr-FR" w:bidi="fr-FR"/>
        </w:rPr>
        <w:t>intégrées</w:t>
      </w:r>
      <w:r w:rsidRPr="00183630">
        <w:rPr>
          <w:rFonts w:ascii="Times New Roman" w:eastAsia="Times New Roman" w:hAnsi="Times New Roman"/>
          <w:sz w:val="24"/>
          <w:szCs w:val="22"/>
          <w:lang w:eastAsia="fr-FR" w:bidi="fr-FR"/>
        </w:rPr>
        <w:t xml:space="preserve"> au budget annuel des communes et montreront clairement le cofinancement potentiel d'autres</w:t>
      </w:r>
      <w:r w:rsidR="00970BE8">
        <w:rPr>
          <w:rFonts w:ascii="Times New Roman" w:eastAsia="Times New Roman" w:hAnsi="Times New Roman"/>
          <w:sz w:val="24"/>
          <w:szCs w:val="22"/>
          <w:lang w:eastAsia="fr-FR" w:bidi="fr-FR"/>
        </w:rPr>
        <w:t xml:space="preserve"> actions</w:t>
      </w:r>
      <w:r w:rsidRPr="00183630">
        <w:rPr>
          <w:rFonts w:ascii="Times New Roman" w:eastAsia="Times New Roman" w:hAnsi="Times New Roman"/>
          <w:sz w:val="24"/>
          <w:szCs w:val="22"/>
          <w:lang w:eastAsia="fr-FR" w:bidi="fr-FR"/>
        </w:rPr>
        <w:t xml:space="preserve"> /</w:t>
      </w:r>
      <w:r w:rsidR="00970BE8" w:rsidRPr="00970BE8">
        <w:rPr>
          <w:rFonts w:ascii="Times New Roman" w:eastAsia="Times New Roman" w:hAnsi="Times New Roman"/>
          <w:sz w:val="24"/>
          <w:szCs w:val="22"/>
          <w:lang w:eastAsia="fr-FR" w:bidi="fr-FR"/>
        </w:rPr>
        <w:t xml:space="preserve"> </w:t>
      </w:r>
      <w:r w:rsidR="00970BE8" w:rsidRPr="00183630">
        <w:rPr>
          <w:rFonts w:ascii="Times New Roman" w:eastAsia="Times New Roman" w:hAnsi="Times New Roman"/>
          <w:sz w:val="24"/>
          <w:szCs w:val="22"/>
          <w:lang w:eastAsia="fr-FR" w:bidi="fr-FR"/>
        </w:rPr>
        <w:t xml:space="preserve">projets </w:t>
      </w:r>
      <w:r w:rsidRPr="00183630">
        <w:rPr>
          <w:rFonts w:ascii="Times New Roman" w:eastAsia="Times New Roman" w:hAnsi="Times New Roman"/>
          <w:sz w:val="24"/>
          <w:szCs w:val="22"/>
          <w:lang w:eastAsia="fr-FR" w:bidi="fr-FR"/>
        </w:rPr>
        <w:t>exécutés dans la commune. Par conséquent, ces plans prendraient en considération et comprendraient (avec un ordre de priorité) des actions à mener pour : (i) le secteur de l'agriculture et de l'élevage bovin ; (ii) une meilleure gestion des RNC (y compris la plantation d'espèces adaptées) ; (iii) la gestion des eaux (y compris l'amélioration de son accessibilité et de sa qualité) ; (iv) la diffusion d'informations (campagnes de sensibilisation). Le rôle des femmes et des jeunes sera clairemen</w:t>
      </w:r>
      <w:r w:rsidR="004533D6">
        <w:rPr>
          <w:rFonts w:ascii="Times New Roman" w:eastAsia="Times New Roman" w:hAnsi="Times New Roman"/>
          <w:sz w:val="24"/>
          <w:szCs w:val="22"/>
          <w:lang w:eastAsia="fr-FR" w:bidi="fr-FR"/>
        </w:rPr>
        <w:t>t décri</w:t>
      </w:r>
      <w:r w:rsidR="00C50A2D">
        <w:rPr>
          <w:rFonts w:ascii="Times New Roman" w:eastAsia="Times New Roman" w:hAnsi="Times New Roman"/>
          <w:sz w:val="24"/>
          <w:szCs w:val="22"/>
          <w:lang w:eastAsia="fr-FR" w:bidi="fr-FR"/>
        </w:rPr>
        <w:t>t</w:t>
      </w:r>
      <w:r w:rsidR="004533D6">
        <w:rPr>
          <w:rFonts w:ascii="Times New Roman" w:eastAsia="Times New Roman" w:hAnsi="Times New Roman"/>
          <w:sz w:val="24"/>
          <w:szCs w:val="22"/>
          <w:lang w:eastAsia="fr-FR" w:bidi="fr-FR"/>
        </w:rPr>
        <w:t xml:space="preserve"> dans ces plans.</w:t>
      </w:r>
    </w:p>
    <w:p w:rsidR="00E45CCD" w:rsidRPr="00183630" w:rsidRDefault="00E45CCD" w:rsidP="00E45CCD">
      <w:pPr>
        <w:spacing w:after="0"/>
        <w:ind w:left="720"/>
        <w:rPr>
          <w:rFonts w:ascii="Times New Roman" w:eastAsia="Calibri" w:hAnsi="Times New Roman"/>
          <w:noProof/>
          <w:sz w:val="24"/>
          <w:szCs w:val="20"/>
          <w:lang w:eastAsia="fr-FR" w:bidi="fr-FR"/>
        </w:rPr>
      </w:pPr>
      <w:r w:rsidRPr="00183630">
        <w:rPr>
          <w:rFonts w:ascii="Times New Roman" w:hAnsi="Times New Roman"/>
          <w:sz w:val="24"/>
          <w:lang w:eastAsia="fr-FR" w:bidi="fr-FR"/>
        </w:rPr>
        <w:t xml:space="preserve">Sur la base de ces plans, les équipes techniques communales, la société civile et les comités de développement des villages (CDV) recevront une formation en matière de levée de fonds ainsi qu'une assistance pour écrire des notes conceptuelles et </w:t>
      </w:r>
      <w:r w:rsidR="00970BE8">
        <w:rPr>
          <w:rFonts w:ascii="Times New Roman" w:hAnsi="Times New Roman"/>
          <w:sz w:val="24"/>
          <w:lang w:eastAsia="fr-FR" w:bidi="fr-FR"/>
        </w:rPr>
        <w:t>soumettre</w:t>
      </w:r>
      <w:r w:rsidR="00970BE8" w:rsidRPr="00183630">
        <w:rPr>
          <w:rFonts w:ascii="Times New Roman" w:hAnsi="Times New Roman"/>
          <w:sz w:val="24"/>
          <w:lang w:eastAsia="fr-FR" w:bidi="fr-FR"/>
        </w:rPr>
        <w:t xml:space="preserve"> </w:t>
      </w:r>
      <w:r w:rsidR="00970BE8">
        <w:rPr>
          <w:rFonts w:ascii="Times New Roman" w:hAnsi="Times New Roman"/>
          <w:sz w:val="24"/>
          <w:lang w:eastAsia="fr-FR" w:bidi="fr-FR"/>
        </w:rPr>
        <w:t>des</w:t>
      </w:r>
      <w:r w:rsidR="00970BE8" w:rsidRPr="00183630">
        <w:rPr>
          <w:rFonts w:ascii="Times New Roman" w:hAnsi="Times New Roman"/>
          <w:sz w:val="24"/>
          <w:lang w:eastAsia="fr-FR" w:bidi="fr-FR"/>
        </w:rPr>
        <w:t xml:space="preserve"> </w:t>
      </w:r>
      <w:r w:rsidRPr="00183630">
        <w:rPr>
          <w:rFonts w:ascii="Times New Roman" w:hAnsi="Times New Roman"/>
          <w:sz w:val="24"/>
          <w:lang w:eastAsia="fr-FR" w:bidi="fr-FR"/>
        </w:rPr>
        <w:t xml:space="preserve">propositions de projet aux bailleurs de fonds (voir Annexe F pour plus de détails). Les </w:t>
      </w:r>
      <w:r w:rsidR="00680A0D">
        <w:rPr>
          <w:rFonts w:ascii="Times New Roman" w:hAnsi="Times New Roman"/>
          <w:sz w:val="24"/>
          <w:lang w:eastAsia="fr-FR" w:bidi="fr-FR"/>
        </w:rPr>
        <w:t>CVD</w:t>
      </w:r>
      <w:r w:rsidR="00680A0D" w:rsidRPr="00183630">
        <w:rPr>
          <w:rFonts w:ascii="Times New Roman" w:hAnsi="Times New Roman"/>
          <w:sz w:val="24"/>
          <w:lang w:eastAsia="fr-FR" w:bidi="fr-FR"/>
        </w:rPr>
        <w:t xml:space="preserve"> </w:t>
      </w:r>
      <w:r w:rsidRPr="00183630">
        <w:rPr>
          <w:rFonts w:ascii="Times New Roman" w:hAnsi="Times New Roman"/>
          <w:sz w:val="24"/>
          <w:lang w:eastAsia="fr-FR" w:bidi="fr-FR"/>
        </w:rPr>
        <w:t>seront particulièrement formés pour lever des fonds par le biais de plateformes de financement participatif (en partenariat avec les communes et la société civile). Un point focal (basé sur chacune des communes ou sur les groupe</w:t>
      </w:r>
      <w:r w:rsidR="00970BE8">
        <w:rPr>
          <w:rFonts w:ascii="Times New Roman" w:hAnsi="Times New Roman"/>
          <w:sz w:val="24"/>
          <w:lang w:eastAsia="fr-FR" w:bidi="fr-FR"/>
        </w:rPr>
        <w:t>ments d’intérêt communautaire</w:t>
      </w:r>
      <w:r w:rsidRPr="00183630">
        <w:rPr>
          <w:rFonts w:ascii="Times New Roman" w:hAnsi="Times New Roman"/>
          <w:sz w:val="24"/>
          <w:lang w:eastAsia="fr-FR" w:bidi="fr-FR"/>
        </w:rPr>
        <w:t>) apportera une assistance aux développeurs de projets (communes, mais aussi société civile) afin de lever des fonds et de les gérer.</w:t>
      </w:r>
    </w:p>
    <w:p w:rsidR="00E45CCD" w:rsidRPr="00183630" w:rsidRDefault="00E45CCD" w:rsidP="00E45CCD">
      <w:pPr>
        <w:spacing w:after="0"/>
        <w:ind w:left="720"/>
        <w:rPr>
          <w:rFonts w:ascii="Times New Roman" w:eastAsia="Calibri" w:hAnsi="Times New Roman"/>
          <w:noProof/>
          <w:sz w:val="24"/>
          <w:szCs w:val="20"/>
          <w:lang w:eastAsia="fr-FR" w:bidi="fr-FR"/>
        </w:rPr>
      </w:pPr>
      <w:r w:rsidRPr="00183630">
        <w:rPr>
          <w:rFonts w:ascii="Times New Roman" w:hAnsi="Times New Roman"/>
          <w:sz w:val="24"/>
          <w:lang w:eastAsia="fr-FR" w:bidi="fr-FR"/>
        </w:rPr>
        <w:t>Les réussites exemplaires de levées de fonds concluantes, telles que le Téléthon orga</w:t>
      </w:r>
      <w:r w:rsidR="003B7D35">
        <w:rPr>
          <w:rFonts w:ascii="Times New Roman" w:hAnsi="Times New Roman"/>
          <w:sz w:val="24"/>
          <w:lang w:eastAsia="fr-FR" w:bidi="fr-FR"/>
        </w:rPr>
        <w:t>nisé par le maire de Sokone (60 </w:t>
      </w:r>
      <w:r w:rsidRPr="00183630">
        <w:rPr>
          <w:rFonts w:ascii="Times New Roman" w:hAnsi="Times New Roman"/>
          <w:sz w:val="24"/>
          <w:lang w:eastAsia="fr-FR" w:bidi="fr-FR"/>
        </w:rPr>
        <w:t xml:space="preserve">000 USD levés pour le cofinancement de dragage du littoral) seront </w:t>
      </w:r>
      <w:r w:rsidR="00A15BF5" w:rsidRPr="00183630">
        <w:rPr>
          <w:rFonts w:ascii="Times New Roman" w:hAnsi="Times New Roman"/>
          <w:sz w:val="24"/>
          <w:lang w:eastAsia="fr-FR" w:bidi="fr-FR"/>
        </w:rPr>
        <w:t>encouragées</w:t>
      </w:r>
      <w:r w:rsidRPr="00183630">
        <w:rPr>
          <w:rFonts w:ascii="Times New Roman" w:hAnsi="Times New Roman"/>
          <w:sz w:val="24"/>
          <w:lang w:eastAsia="fr-FR" w:bidi="fr-FR"/>
        </w:rPr>
        <w:t xml:space="preserve"> et reproduits dans d'autres communes. Grâce </w:t>
      </w:r>
      <w:r w:rsidR="00970BE8">
        <w:rPr>
          <w:rFonts w:ascii="Times New Roman" w:hAnsi="Times New Roman"/>
          <w:sz w:val="24"/>
          <w:lang w:eastAsia="fr-FR" w:bidi="fr-FR"/>
        </w:rPr>
        <w:t>au</w:t>
      </w:r>
      <w:r w:rsidRPr="00183630">
        <w:rPr>
          <w:rFonts w:ascii="Times New Roman" w:hAnsi="Times New Roman"/>
          <w:sz w:val="24"/>
          <w:lang w:eastAsia="fr-FR" w:bidi="fr-FR"/>
        </w:rPr>
        <w:t xml:space="preserve"> </w:t>
      </w:r>
      <w:r w:rsidR="00970BE8">
        <w:rPr>
          <w:rFonts w:ascii="Times New Roman" w:hAnsi="Times New Roman"/>
          <w:sz w:val="24"/>
          <w:lang w:eastAsia="fr-FR" w:bidi="fr-FR"/>
        </w:rPr>
        <w:t>leadership</w:t>
      </w:r>
      <w:r w:rsidR="00970BE8" w:rsidRPr="00D8296A">
        <w:rPr>
          <w:rFonts w:ascii="Times New Roman" w:hAnsi="Times New Roman"/>
          <w:sz w:val="24"/>
          <w:lang w:eastAsia="fr-FR" w:bidi="fr-FR"/>
        </w:rPr>
        <w:t xml:space="preserve"> </w:t>
      </w:r>
      <w:r w:rsidRPr="00D8296A">
        <w:rPr>
          <w:rFonts w:ascii="Times New Roman" w:hAnsi="Times New Roman"/>
          <w:sz w:val="24"/>
          <w:lang w:eastAsia="fr-FR" w:bidi="fr-FR"/>
        </w:rPr>
        <w:t>du ma</w:t>
      </w:r>
      <w:r w:rsidR="00D8296A" w:rsidRPr="00D8296A">
        <w:rPr>
          <w:rFonts w:ascii="Times New Roman" w:hAnsi="Times New Roman"/>
          <w:sz w:val="24"/>
          <w:lang w:eastAsia="fr-FR" w:bidi="fr-FR"/>
        </w:rPr>
        <w:t>i</w:t>
      </w:r>
      <w:r w:rsidRPr="00D8296A">
        <w:rPr>
          <w:rFonts w:ascii="Times New Roman" w:hAnsi="Times New Roman"/>
          <w:sz w:val="24"/>
          <w:lang w:eastAsia="fr-FR" w:bidi="fr-FR"/>
        </w:rPr>
        <w:t>re et</w:t>
      </w:r>
      <w:r w:rsidRPr="00183630">
        <w:rPr>
          <w:rFonts w:ascii="Times New Roman" w:hAnsi="Times New Roman"/>
          <w:sz w:val="24"/>
          <w:lang w:eastAsia="fr-FR" w:bidi="fr-FR"/>
        </w:rPr>
        <w:t xml:space="preserve"> à la collaboration active </w:t>
      </w:r>
      <w:r w:rsidR="00315ACF">
        <w:rPr>
          <w:rFonts w:ascii="Times New Roman" w:hAnsi="Times New Roman"/>
          <w:sz w:val="24"/>
          <w:lang w:eastAsia="fr-FR" w:bidi="fr-FR"/>
        </w:rPr>
        <w:t>de</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la société civile, la comm</w:t>
      </w:r>
      <w:r w:rsidR="00970BE8">
        <w:rPr>
          <w:rFonts w:ascii="Times New Roman" w:hAnsi="Times New Roman"/>
          <w:sz w:val="24"/>
          <w:lang w:eastAsia="fr-FR" w:bidi="fr-FR"/>
        </w:rPr>
        <w:t>un</w:t>
      </w:r>
      <w:r w:rsidRPr="00183630">
        <w:rPr>
          <w:rFonts w:ascii="Times New Roman" w:hAnsi="Times New Roman"/>
          <w:sz w:val="24"/>
          <w:lang w:eastAsia="fr-FR" w:bidi="fr-FR"/>
        </w:rPr>
        <w:t>e a vendu des billets de tombola aux habitants tout en les sensibilisant sur le "Projet Sokone émergent" faisant état d'un scénario d'avenir souhaitable pour la commune.</w:t>
      </w:r>
      <w:r w:rsidR="004533D6">
        <w:rPr>
          <w:rFonts w:ascii="Times New Roman" w:hAnsi="Times New Roman"/>
          <w:sz w:val="24"/>
          <w:lang w:eastAsia="fr-FR" w:bidi="fr-FR"/>
        </w:rPr>
        <w:t xml:space="preserve"> </w:t>
      </w:r>
      <w:r w:rsidRPr="00183630">
        <w:rPr>
          <w:rFonts w:ascii="Times New Roman" w:hAnsi="Times New Roman"/>
          <w:sz w:val="24"/>
          <w:lang w:eastAsia="fr-FR" w:bidi="fr-FR"/>
        </w:rPr>
        <w:t xml:space="preserve">La commune a organisé des Jeux olympiques locaux afin de sensibiliser la population au Téléthon et de fédérer la population locale autour du projet de la ville. La population locale a fortement contribué à ce Téléthon. </w:t>
      </w:r>
      <w:r w:rsidR="00315ACF">
        <w:rPr>
          <w:rFonts w:ascii="Times New Roman" w:hAnsi="Times New Roman"/>
          <w:sz w:val="24"/>
          <w:lang w:eastAsia="fr-FR" w:bidi="fr-FR"/>
        </w:rPr>
        <w:t>Ceci est</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 xml:space="preserve">un exemple de levée de fonds internes en vue d'investir dans la commune. Cette solution à bas coût peut être reproduite dans d'autres communes étant donné que la condition principale pour sa bonne exécution est une bonne capacité de </w:t>
      </w:r>
      <w:r w:rsidR="00315ACF">
        <w:rPr>
          <w:rFonts w:ascii="Times New Roman" w:hAnsi="Times New Roman"/>
          <w:sz w:val="24"/>
          <w:lang w:eastAsia="fr-FR" w:bidi="fr-FR"/>
        </w:rPr>
        <w:t>leadership</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du maire et de la société civile</w:t>
      </w:r>
      <w:r w:rsidR="004533D6">
        <w:rPr>
          <w:rFonts w:ascii="Times New Roman" w:hAnsi="Times New Roman"/>
          <w:sz w:val="24"/>
          <w:lang w:eastAsia="fr-FR" w:bidi="fr-FR"/>
        </w:rPr>
        <w:t>.</w:t>
      </w:r>
    </w:p>
    <w:p w:rsidR="00E45CCD" w:rsidRPr="00183630" w:rsidRDefault="00E45CCD" w:rsidP="00E45CCD">
      <w:pPr>
        <w:spacing w:after="0"/>
        <w:ind w:left="720"/>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 xml:space="preserve">une mise en </w:t>
      </w:r>
      <w:r w:rsidR="00315ACF">
        <w:rPr>
          <w:rFonts w:ascii="Times New Roman" w:eastAsia="Times New Roman" w:hAnsi="Times New Roman"/>
          <w:sz w:val="24"/>
          <w:szCs w:val="22"/>
          <w:u w:val="single"/>
          <w:lang w:eastAsia="fr-FR" w:bidi="fr-FR"/>
        </w:rPr>
        <w:t>place</w:t>
      </w:r>
      <w:r w:rsidR="00315ACF" w:rsidRPr="00183630">
        <w:rPr>
          <w:rFonts w:ascii="Times New Roman" w:eastAsia="Times New Roman" w:hAnsi="Times New Roman"/>
          <w:sz w:val="24"/>
          <w:szCs w:val="22"/>
          <w:u w:val="single"/>
          <w:lang w:eastAsia="fr-FR" w:bidi="fr-FR"/>
        </w:rPr>
        <w:t xml:space="preserve"> </w:t>
      </w:r>
      <w:r w:rsidRPr="00183630">
        <w:rPr>
          <w:rFonts w:ascii="Times New Roman" w:eastAsia="Times New Roman" w:hAnsi="Times New Roman"/>
          <w:sz w:val="24"/>
          <w:szCs w:val="22"/>
          <w:u w:val="single"/>
          <w:lang w:eastAsia="fr-FR" w:bidi="fr-FR"/>
        </w:rPr>
        <w:t>de mécanismes novateurs apportant des financements supplémentaires à long terme.</w:t>
      </w:r>
      <w:r w:rsidRPr="00183630">
        <w:rPr>
          <w:rFonts w:ascii="Times New Roman" w:eastAsia="Times New Roman" w:hAnsi="Times New Roman"/>
          <w:sz w:val="24"/>
          <w:szCs w:val="22"/>
          <w:lang w:eastAsia="fr-FR" w:bidi="fr-FR"/>
        </w:rPr>
        <w:t xml:space="preserve"> La solution privilégiée serait d'inclure la conception </w:t>
      </w:r>
      <w:r w:rsidR="00315ACF" w:rsidRPr="00183630">
        <w:rPr>
          <w:rFonts w:ascii="Times New Roman" w:eastAsia="Times New Roman" w:hAnsi="Times New Roman"/>
          <w:sz w:val="24"/>
          <w:szCs w:val="22"/>
          <w:lang w:eastAsia="fr-FR" w:bidi="fr-FR"/>
        </w:rPr>
        <w:t>et la mise en œuvre</w:t>
      </w:r>
      <w:r w:rsidR="00315ACF">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participative</w:t>
      </w:r>
      <w:r w:rsidR="00315ACF">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de mécanismes novateurs (</w:t>
      </w:r>
      <w:r w:rsidRPr="00183630">
        <w:rPr>
          <w:rFonts w:ascii="Times New Roman" w:eastAsia="Times New Roman" w:hAnsi="Times New Roman"/>
          <w:sz w:val="24"/>
          <w:szCs w:val="22"/>
          <w:lang w:eastAsia="fr-FR" w:bidi="fr-FR"/>
        </w:rPr>
        <w:t xml:space="preserve">comme ceux identifiés dans le cadre des </w:t>
      </w:r>
      <w:r w:rsidR="00315ACF">
        <w:rPr>
          <w:rFonts w:ascii="Times New Roman" w:eastAsia="Times New Roman" w:hAnsi="Times New Roman"/>
          <w:sz w:val="24"/>
          <w:szCs w:val="22"/>
          <w:lang w:eastAsia="fr-FR" w:bidi="fr-FR"/>
        </w:rPr>
        <w:t>PPG</w:t>
      </w:r>
      <w:r w:rsidRPr="00183630">
        <w:rPr>
          <w:rFonts w:ascii="Times New Roman" w:eastAsia="Times New Roman" w:hAnsi="Times New Roman"/>
          <w:sz w:val="24"/>
          <w:szCs w:val="22"/>
          <w:lang w:eastAsia="fr-FR" w:bidi="fr-FR"/>
        </w:rPr>
        <w:t>), en particulier : (i) la mise en œuvre de partenariats entre secteur public et secteur privé concernant les industries de l'anacarde, de la mangue et du tourisme dans le delta du Saloum ; (ii) </w:t>
      </w:r>
      <w:r w:rsidR="00315ACF">
        <w:rPr>
          <w:rFonts w:ascii="Times New Roman" w:eastAsia="Times New Roman" w:hAnsi="Times New Roman"/>
          <w:sz w:val="24"/>
          <w:szCs w:val="22"/>
          <w:lang w:eastAsia="fr-FR" w:bidi="fr-FR"/>
        </w:rPr>
        <w:t>un</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fonds de solidarité (basés sur le principe du bénéficiaire-payeur) pour </w:t>
      </w:r>
      <w:r w:rsidRPr="00183630">
        <w:rPr>
          <w:rFonts w:ascii="Times New Roman" w:eastAsia="Times New Roman" w:hAnsi="Times New Roman"/>
          <w:sz w:val="24"/>
          <w:szCs w:val="22"/>
          <w:lang w:eastAsia="fr-FR" w:bidi="fr-FR"/>
        </w:rPr>
        <w:lastRenderedPageBreak/>
        <w:t>l'adaptation de la population des communes de Gandon et de Gandiol à la salinisation et à l'érosion des côtes ; (iii) les partenariats de compensation avec les indu</w:t>
      </w:r>
      <w:r w:rsidR="003011BE">
        <w:rPr>
          <w:rFonts w:ascii="Times New Roman" w:eastAsia="Times New Roman" w:hAnsi="Times New Roman"/>
          <w:sz w:val="24"/>
          <w:szCs w:val="22"/>
          <w:lang w:eastAsia="fr-FR" w:bidi="fr-FR"/>
        </w:rPr>
        <w:t>stries minières sur les sites du</w:t>
      </w:r>
      <w:r w:rsidRPr="00183630">
        <w:rPr>
          <w:rFonts w:ascii="Times New Roman" w:eastAsia="Times New Roman" w:hAnsi="Times New Roman"/>
          <w:sz w:val="24"/>
          <w:szCs w:val="22"/>
          <w:lang w:eastAsia="fr-FR" w:bidi="fr-FR"/>
        </w:rPr>
        <w:t xml:space="preserve"> Niokolo-Koba ; (iv) pour chaque site du projet, la mise en </w:t>
      </w:r>
      <w:r w:rsidR="00315ACF">
        <w:rPr>
          <w:rFonts w:ascii="Times New Roman" w:eastAsia="Times New Roman" w:hAnsi="Times New Roman"/>
          <w:sz w:val="24"/>
          <w:szCs w:val="22"/>
          <w:lang w:eastAsia="fr-FR" w:bidi="fr-FR"/>
        </w:rPr>
        <w:t>place</w:t>
      </w:r>
      <w:r w:rsidR="00315ACF"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d’un</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mécanismes de partage des </w:t>
      </w:r>
      <w:r w:rsidR="00315ACF">
        <w:rPr>
          <w:rFonts w:ascii="Times New Roman" w:eastAsia="Times New Roman" w:hAnsi="Times New Roman"/>
          <w:sz w:val="24"/>
          <w:szCs w:val="22"/>
          <w:lang w:eastAsia="fr-FR" w:bidi="fr-FR"/>
        </w:rPr>
        <w:t>bénéfices</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pour les </w:t>
      </w:r>
      <w:r w:rsidR="007236BE">
        <w:rPr>
          <w:rFonts w:ascii="Times New Roman" w:eastAsia="Times New Roman" w:hAnsi="Times New Roman"/>
          <w:sz w:val="24"/>
          <w:szCs w:val="22"/>
          <w:lang w:eastAsia="fr-FR" w:bidi="fr-FR"/>
        </w:rPr>
        <w:t>chaînes de valeur</w:t>
      </w:r>
      <w:r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clé</w:t>
      </w:r>
      <w:r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résilientes</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et productives (sel et huitres pour le delta du fleuve Sénégal, gomme arabique et foin/fourrage pour le Ferlo, etc.). Ces mécanismes novateurs pilote</w:t>
      </w:r>
      <w:r w:rsidR="00C50A2D">
        <w:rPr>
          <w:rFonts w:ascii="Times New Roman" w:eastAsia="Times New Roman" w:hAnsi="Times New Roman"/>
          <w:sz w:val="24"/>
          <w:szCs w:val="22"/>
          <w:lang w:eastAsia="fr-FR" w:bidi="fr-FR"/>
        </w:rPr>
        <w:t xml:space="preserve">s </w:t>
      </w:r>
      <w:r w:rsidRPr="00183630">
        <w:rPr>
          <w:rFonts w:ascii="Times New Roman" w:eastAsia="Times New Roman" w:hAnsi="Times New Roman"/>
          <w:sz w:val="24"/>
          <w:szCs w:val="22"/>
          <w:lang w:eastAsia="fr-FR" w:bidi="fr-FR"/>
        </w:rPr>
        <w:t xml:space="preserve">seront testés </w:t>
      </w:r>
      <w:r w:rsidR="00315ACF">
        <w:rPr>
          <w:rFonts w:ascii="Times New Roman" w:eastAsia="Times New Roman" w:hAnsi="Times New Roman"/>
          <w:sz w:val="24"/>
          <w:szCs w:val="22"/>
          <w:lang w:eastAsia="fr-FR" w:bidi="fr-FR"/>
        </w:rPr>
        <w:t>avec comme</w:t>
      </w:r>
      <w:r w:rsidRPr="00183630">
        <w:rPr>
          <w:rFonts w:ascii="Times New Roman" w:eastAsia="Times New Roman" w:hAnsi="Times New Roman"/>
          <w:sz w:val="24"/>
          <w:szCs w:val="22"/>
          <w:lang w:eastAsia="fr-FR" w:bidi="fr-FR"/>
        </w:rPr>
        <w:t xml:space="preserve"> objectif de diffuser les principaux enseignements tirés afin de </w:t>
      </w:r>
      <w:r w:rsidR="00031FB4">
        <w:rPr>
          <w:rFonts w:ascii="Times New Roman" w:eastAsia="Times New Roman" w:hAnsi="Times New Roman"/>
          <w:sz w:val="24"/>
          <w:szCs w:val="22"/>
          <w:lang w:eastAsia="fr-FR" w:bidi="fr-FR"/>
        </w:rPr>
        <w:t>répliquer</w:t>
      </w:r>
      <w:r w:rsidR="00031FB4"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les mécanismes concluants. Les capacités du Ministère </w:t>
      </w:r>
      <w:r w:rsidRPr="00D8296A">
        <w:rPr>
          <w:rFonts w:ascii="Times New Roman" w:eastAsia="Times New Roman" w:hAnsi="Times New Roman"/>
          <w:sz w:val="24"/>
          <w:szCs w:val="22"/>
          <w:lang w:eastAsia="fr-FR" w:bidi="fr-FR"/>
        </w:rPr>
        <w:t>(Direction du financement vert et novateur) et au niveau local (communes et société civile</w:t>
      </w:r>
      <w:r w:rsidRPr="00183630">
        <w:rPr>
          <w:rFonts w:ascii="Times New Roman" w:eastAsia="Times New Roman" w:hAnsi="Times New Roman"/>
          <w:sz w:val="24"/>
          <w:szCs w:val="22"/>
          <w:lang w:eastAsia="fr-FR" w:bidi="fr-FR"/>
        </w:rPr>
        <w:t>) seront accrues au moyen de formations et d'assistance technique fournie par des experts.</w:t>
      </w:r>
    </w:p>
    <w:p w:rsidR="00E45CCD" w:rsidRPr="00183630" w:rsidRDefault="00E45CCD" w:rsidP="00E45CCD">
      <w:pPr>
        <w:spacing w:after="0"/>
        <w:ind w:left="720"/>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accès amélioré aux crédits agricoles</w:t>
      </w:r>
      <w:r w:rsidRPr="00183630">
        <w:rPr>
          <w:rFonts w:ascii="Times New Roman" w:eastAsia="Times New Roman" w:hAnsi="Times New Roman"/>
          <w:sz w:val="24"/>
          <w:szCs w:val="22"/>
          <w:lang w:eastAsia="fr-FR" w:bidi="fr-FR"/>
        </w:rPr>
        <w:t xml:space="preserve">. La solution privilégiée comprendrait un renforcement des mutuelles de crédit et d'épargne pour le delta du Saloum : une assistance technique pour les membres du personnel à Toubacouta (y compris </w:t>
      </w:r>
      <w:r w:rsidR="00A57845">
        <w:rPr>
          <w:rFonts w:ascii="Times New Roman" w:eastAsia="Times New Roman" w:hAnsi="Times New Roman"/>
          <w:sz w:val="24"/>
          <w:szCs w:val="22"/>
          <w:lang w:eastAsia="fr-FR" w:bidi="fr-FR"/>
        </w:rPr>
        <w:t>d</w:t>
      </w:r>
      <w:r w:rsidRPr="00183630">
        <w:rPr>
          <w:rFonts w:ascii="Times New Roman" w:eastAsia="Times New Roman" w:hAnsi="Times New Roman"/>
          <w:sz w:val="24"/>
          <w:szCs w:val="22"/>
          <w:lang w:eastAsia="fr-FR" w:bidi="fr-FR"/>
        </w:rPr>
        <w:t xml:space="preserve">es équipements </w:t>
      </w:r>
      <w:r w:rsidR="00A57845">
        <w:rPr>
          <w:rFonts w:ascii="Times New Roman" w:eastAsia="Times New Roman" w:hAnsi="Times New Roman"/>
          <w:sz w:val="24"/>
          <w:szCs w:val="22"/>
          <w:lang w:eastAsia="fr-FR" w:bidi="fr-FR"/>
        </w:rPr>
        <w:t>appropriés</w:t>
      </w:r>
      <w:r w:rsidRPr="00183630">
        <w:rPr>
          <w:rFonts w:ascii="Times New Roman" w:eastAsia="Times New Roman" w:hAnsi="Times New Roman"/>
          <w:sz w:val="24"/>
          <w:szCs w:val="22"/>
          <w:lang w:eastAsia="fr-FR" w:bidi="fr-FR"/>
        </w:rPr>
        <w:t xml:space="preserve">), pour la mise en </w:t>
      </w:r>
      <w:r w:rsidR="00A05600" w:rsidRPr="00183630">
        <w:rPr>
          <w:rFonts w:ascii="Times New Roman" w:eastAsia="Times New Roman" w:hAnsi="Times New Roman"/>
          <w:sz w:val="24"/>
          <w:szCs w:val="22"/>
          <w:lang w:eastAsia="fr-FR" w:bidi="fr-FR"/>
        </w:rPr>
        <w:t>œuvre</w:t>
      </w:r>
      <w:r w:rsidRPr="00183630">
        <w:rPr>
          <w:rFonts w:ascii="Times New Roman" w:eastAsia="Times New Roman" w:hAnsi="Times New Roman"/>
          <w:sz w:val="24"/>
          <w:szCs w:val="22"/>
          <w:lang w:eastAsia="fr-FR" w:bidi="fr-FR"/>
        </w:rPr>
        <w:t xml:space="preserve"> de produits financiers adaptés et pour l'ouverture de trois </w:t>
      </w:r>
      <w:r w:rsidR="00A57845">
        <w:rPr>
          <w:rFonts w:ascii="Times New Roman" w:eastAsia="Times New Roman" w:hAnsi="Times New Roman"/>
          <w:sz w:val="24"/>
          <w:szCs w:val="22"/>
          <w:lang w:eastAsia="fr-FR" w:bidi="fr-FR"/>
        </w:rPr>
        <w:t>filiales</w:t>
      </w:r>
      <w:r w:rsidRPr="00183630">
        <w:rPr>
          <w:rFonts w:ascii="Times New Roman" w:eastAsia="Times New Roman" w:hAnsi="Times New Roman"/>
          <w:sz w:val="24"/>
          <w:szCs w:val="22"/>
          <w:lang w:eastAsia="fr-FR" w:bidi="fr-FR"/>
        </w:rPr>
        <w:t xml:space="preserve"> (à Gandon, Ranérou et Koar-Linkering-Mansadala). Sur la base de bon</w:t>
      </w:r>
      <w:r w:rsidR="00C50A2D">
        <w:rPr>
          <w:rFonts w:ascii="Times New Roman" w:eastAsia="Times New Roman" w:hAnsi="Times New Roman"/>
          <w:sz w:val="24"/>
          <w:szCs w:val="22"/>
          <w:lang w:eastAsia="fr-FR" w:bidi="fr-FR"/>
        </w:rPr>
        <w:t xml:space="preserve">s </w:t>
      </w:r>
      <w:r w:rsidRPr="00183630">
        <w:rPr>
          <w:rFonts w:ascii="Times New Roman" w:eastAsia="Times New Roman" w:hAnsi="Times New Roman"/>
          <w:sz w:val="24"/>
          <w:szCs w:val="22"/>
          <w:lang w:eastAsia="fr-FR" w:bidi="fr-FR"/>
        </w:rPr>
        <w:t xml:space="preserve">résultats financiers et au moyen d'intenses efforts de renforcement des capacités, les activités </w:t>
      </w:r>
      <w:r w:rsidR="00A57845">
        <w:rPr>
          <w:rFonts w:ascii="Times New Roman" w:eastAsia="Times New Roman" w:hAnsi="Times New Roman"/>
          <w:sz w:val="24"/>
          <w:szCs w:val="22"/>
          <w:lang w:eastAsia="fr-FR" w:bidi="fr-FR"/>
        </w:rPr>
        <w:t>de la</w:t>
      </w:r>
      <w:r w:rsidR="00A57845"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MEC </w:t>
      </w:r>
      <w:r w:rsidR="00A57845">
        <w:rPr>
          <w:rFonts w:ascii="Times New Roman" w:eastAsia="Times New Roman" w:hAnsi="Times New Roman"/>
          <w:sz w:val="24"/>
          <w:szCs w:val="22"/>
          <w:lang w:eastAsia="fr-FR" w:bidi="fr-FR"/>
        </w:rPr>
        <w:t>du</w:t>
      </w:r>
      <w:r w:rsidRPr="00183630">
        <w:rPr>
          <w:rFonts w:ascii="Times New Roman" w:eastAsia="Times New Roman" w:hAnsi="Times New Roman"/>
          <w:sz w:val="24"/>
          <w:szCs w:val="22"/>
          <w:lang w:eastAsia="fr-FR" w:bidi="fr-FR"/>
        </w:rPr>
        <w:t xml:space="preserve"> delta du Saloum seront étendues </w:t>
      </w:r>
      <w:r w:rsidR="00A57845">
        <w:rPr>
          <w:rFonts w:ascii="Times New Roman" w:eastAsia="Times New Roman" w:hAnsi="Times New Roman"/>
          <w:sz w:val="24"/>
          <w:szCs w:val="22"/>
          <w:lang w:eastAsia="fr-FR" w:bidi="fr-FR"/>
        </w:rPr>
        <w:t>aux</w:t>
      </w:r>
      <w:r w:rsidR="00A57845"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trois autres sites du projet. Des partenariats seront mis en œuvre avec d'autres institutions financières (l'U-IMCEC, l'URMECS et la CAURIE-MF ont exprimé leur intérêt dans le cadre </w:t>
      </w:r>
      <w:r w:rsidR="00A57845">
        <w:rPr>
          <w:rFonts w:ascii="Times New Roman" w:eastAsia="Times New Roman" w:hAnsi="Times New Roman"/>
          <w:sz w:val="24"/>
          <w:szCs w:val="22"/>
          <w:lang w:eastAsia="fr-FR" w:bidi="fr-FR"/>
        </w:rPr>
        <w:t>du PPG</w:t>
      </w:r>
      <w:r w:rsidRPr="00183630">
        <w:rPr>
          <w:rFonts w:ascii="Times New Roman" w:eastAsia="Times New Roman" w:hAnsi="Times New Roman"/>
          <w:sz w:val="24"/>
          <w:szCs w:val="22"/>
          <w:lang w:eastAsia="fr-FR" w:bidi="fr-FR"/>
        </w:rPr>
        <w:t xml:space="preserve">) et auront </w:t>
      </w:r>
      <w:r w:rsidR="00A57845">
        <w:rPr>
          <w:rFonts w:ascii="Times New Roman" w:eastAsia="Times New Roman" w:hAnsi="Times New Roman"/>
          <w:sz w:val="24"/>
          <w:szCs w:val="22"/>
          <w:lang w:eastAsia="fr-FR" w:bidi="fr-FR"/>
        </w:rPr>
        <w:t xml:space="preserve"> pour</w:t>
      </w:r>
      <w:r w:rsidR="00D22B1B">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objectif d'améliorer l'accès aux crédits agricoles pour la population locale. </w:t>
      </w:r>
    </w:p>
    <w:p w:rsidR="00E45CCD" w:rsidRPr="00183630" w:rsidRDefault="00E45CCD" w:rsidP="00E45CCD">
      <w:pPr>
        <w:rPr>
          <w:rFonts w:eastAsia="Calibri"/>
          <w:noProof/>
          <w:szCs w:val="20"/>
          <w:lang w:eastAsia="fr-FR" w:bidi="fr-FR"/>
        </w:rPr>
      </w:pPr>
    </w:p>
    <w:p w:rsidR="00E45CCD" w:rsidRPr="00183630" w:rsidRDefault="000C686E" w:rsidP="00771667">
      <w:pPr>
        <w:numPr>
          <w:ilvl w:val="0"/>
          <w:numId w:val="58"/>
        </w:numPr>
        <w:spacing w:after="0"/>
        <w:rPr>
          <w:rFonts w:ascii="Times New Roman" w:eastAsia="Calibri" w:hAnsi="Times New Roman"/>
          <w:noProof/>
          <w:sz w:val="24"/>
          <w:szCs w:val="20"/>
          <w:lang w:eastAsia="fr-FR" w:bidi="fr-FR"/>
        </w:rPr>
      </w:pPr>
      <w:r>
        <w:rPr>
          <w:rFonts w:ascii="Times New Roman" w:eastAsia="Times New Roman" w:hAnsi="Times New Roman"/>
          <w:sz w:val="24"/>
          <w:szCs w:val="22"/>
          <w:u w:val="single"/>
          <w:lang w:eastAsia="fr-FR" w:bidi="fr-FR"/>
        </w:rPr>
        <w:t xml:space="preserve">un </w:t>
      </w:r>
      <w:r w:rsidR="00852033">
        <w:rPr>
          <w:rFonts w:ascii="Times New Roman" w:eastAsia="Times New Roman" w:hAnsi="Times New Roman"/>
          <w:sz w:val="24"/>
          <w:szCs w:val="22"/>
          <w:u w:val="single"/>
          <w:lang w:eastAsia="fr-FR" w:bidi="fr-FR"/>
        </w:rPr>
        <w:t xml:space="preserve">renforcement des capacités pour développer des </w:t>
      </w:r>
      <w:r w:rsidR="00E45CCD" w:rsidRPr="00183630">
        <w:rPr>
          <w:rFonts w:ascii="Times New Roman" w:eastAsia="Times New Roman" w:hAnsi="Times New Roman"/>
          <w:sz w:val="24"/>
          <w:szCs w:val="22"/>
          <w:u w:val="single"/>
          <w:lang w:eastAsia="fr-FR" w:bidi="fr-FR"/>
        </w:rPr>
        <w:t xml:space="preserve">activités productives </w:t>
      </w:r>
      <w:r w:rsidR="00852033">
        <w:rPr>
          <w:rFonts w:ascii="Times New Roman" w:eastAsia="Times New Roman" w:hAnsi="Times New Roman"/>
          <w:sz w:val="24"/>
          <w:szCs w:val="22"/>
          <w:u w:val="single"/>
          <w:lang w:eastAsia="fr-FR" w:bidi="fr-FR"/>
        </w:rPr>
        <w:t>résilientes</w:t>
      </w:r>
      <w:r w:rsidR="00E45CCD" w:rsidRPr="00183630">
        <w:rPr>
          <w:rFonts w:ascii="Times New Roman" w:eastAsia="Times New Roman" w:hAnsi="Times New Roman"/>
          <w:sz w:val="24"/>
          <w:szCs w:val="22"/>
          <w:u w:val="single"/>
          <w:lang w:eastAsia="fr-FR" w:bidi="fr-FR"/>
        </w:rPr>
        <w:t>.</w:t>
      </w:r>
      <w:r w:rsidR="00E45CCD" w:rsidRPr="00183630">
        <w:rPr>
          <w:rFonts w:ascii="Times New Roman" w:eastAsia="Times New Roman" w:hAnsi="Times New Roman"/>
          <w:sz w:val="24"/>
          <w:szCs w:val="22"/>
          <w:lang w:eastAsia="fr-FR" w:bidi="fr-FR"/>
        </w:rPr>
        <w:t xml:space="preserve"> La solution privilégiée </w:t>
      </w:r>
      <w:r w:rsidR="00852033">
        <w:rPr>
          <w:rFonts w:ascii="Times New Roman" w:eastAsia="Times New Roman" w:hAnsi="Times New Roman"/>
          <w:sz w:val="24"/>
          <w:szCs w:val="22"/>
          <w:lang w:eastAsia="fr-FR" w:bidi="fr-FR"/>
        </w:rPr>
        <w:t>consisterait</w:t>
      </w:r>
      <w:r w:rsidR="00852033" w:rsidRPr="00183630">
        <w:rPr>
          <w:rFonts w:ascii="Times New Roman" w:eastAsia="Times New Roman" w:hAnsi="Times New Roman"/>
          <w:sz w:val="24"/>
          <w:szCs w:val="22"/>
          <w:lang w:eastAsia="fr-FR" w:bidi="fr-FR"/>
        </w:rPr>
        <w:t xml:space="preserve"> </w:t>
      </w:r>
      <w:r w:rsidR="00852033">
        <w:rPr>
          <w:rFonts w:ascii="Times New Roman" w:eastAsia="Times New Roman" w:hAnsi="Times New Roman"/>
          <w:sz w:val="24"/>
          <w:szCs w:val="22"/>
          <w:lang w:eastAsia="fr-FR" w:bidi="fr-FR"/>
        </w:rPr>
        <w:t>à</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renforce</w:t>
      </w:r>
      <w:r w:rsidR="00852033">
        <w:rPr>
          <w:rFonts w:ascii="Times New Roman" w:eastAsia="Times New Roman" w:hAnsi="Times New Roman"/>
          <w:sz w:val="24"/>
          <w:szCs w:val="22"/>
          <w:lang w:eastAsia="fr-FR" w:bidi="fr-FR"/>
        </w:rPr>
        <w:t>r</w:t>
      </w:r>
      <w:r w:rsidR="00E45CCD" w:rsidRPr="00183630">
        <w:rPr>
          <w:rFonts w:ascii="Times New Roman" w:eastAsia="Times New Roman" w:hAnsi="Times New Roman"/>
          <w:sz w:val="24"/>
          <w:szCs w:val="22"/>
          <w:lang w:eastAsia="fr-FR" w:bidi="fr-FR"/>
        </w:rPr>
        <w:t xml:space="preserve"> </w:t>
      </w:r>
      <w:r w:rsidR="00852033">
        <w:rPr>
          <w:rFonts w:ascii="Times New Roman" w:eastAsia="Times New Roman" w:hAnsi="Times New Roman"/>
          <w:sz w:val="24"/>
          <w:szCs w:val="22"/>
          <w:lang w:eastAsia="fr-FR" w:bidi="fr-FR"/>
        </w:rPr>
        <w:t>l</w:t>
      </w:r>
      <w:r w:rsidR="00E45CCD" w:rsidRPr="00183630">
        <w:rPr>
          <w:rFonts w:ascii="Times New Roman" w:eastAsia="Times New Roman" w:hAnsi="Times New Roman"/>
          <w:sz w:val="24"/>
          <w:szCs w:val="22"/>
          <w:lang w:eastAsia="fr-FR" w:bidi="fr-FR"/>
        </w:rPr>
        <w:t>es capacités de</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population</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locale</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(particulièrement les femmes et les jeunes) à adopter des pratiques diversifiées et </w:t>
      </w:r>
      <w:r w:rsidR="00852033">
        <w:rPr>
          <w:rFonts w:ascii="Times New Roman" w:eastAsia="Times New Roman" w:hAnsi="Times New Roman"/>
          <w:sz w:val="24"/>
          <w:szCs w:val="22"/>
          <w:lang w:eastAsia="fr-FR" w:bidi="fr-FR"/>
        </w:rPr>
        <w:t>résilientes</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telles que : (i)</w:t>
      </w:r>
      <w:r w:rsidR="002575A2">
        <w:rPr>
          <w:rFonts w:ascii="Times New Roman" w:eastAsia="Times New Roman" w:hAnsi="Times New Roman"/>
          <w:sz w:val="24"/>
          <w:szCs w:val="22"/>
          <w:lang w:eastAsia="fr-FR" w:bidi="fr-FR"/>
        </w:rPr>
        <w:t> </w:t>
      </w:r>
      <w:r w:rsidR="00E45CCD" w:rsidRPr="00183630">
        <w:rPr>
          <w:rFonts w:ascii="Times New Roman" w:eastAsia="Times New Roman" w:hAnsi="Times New Roman"/>
          <w:sz w:val="24"/>
          <w:szCs w:val="22"/>
          <w:lang w:eastAsia="fr-FR" w:bidi="fr-FR"/>
        </w:rPr>
        <w:t xml:space="preserve">l'utilisation de semences adaptées et une bonne gestion des sols pour l'agriculture ; (ii) la collecte des eaux pour le </w:t>
      </w:r>
      <w:r w:rsidR="00852033">
        <w:rPr>
          <w:rFonts w:ascii="Times New Roman" w:eastAsia="Times New Roman" w:hAnsi="Times New Roman"/>
          <w:sz w:val="24"/>
          <w:szCs w:val="22"/>
          <w:lang w:eastAsia="fr-FR" w:bidi="fr-FR"/>
        </w:rPr>
        <w:t>maraichage</w:t>
      </w:r>
      <w:r w:rsidR="00852033" w:rsidRPr="00183630">
        <w:rPr>
          <w:rFonts w:ascii="Times New Roman" w:eastAsia="Times New Roman" w:hAnsi="Times New Roman"/>
          <w:sz w:val="24"/>
          <w:szCs w:val="22"/>
          <w:lang w:eastAsia="fr-FR" w:bidi="fr-FR"/>
        </w:rPr>
        <w:t> </w:t>
      </w:r>
      <w:r w:rsidR="00E45CCD" w:rsidRPr="00183630">
        <w:rPr>
          <w:rFonts w:ascii="Times New Roman" w:eastAsia="Times New Roman" w:hAnsi="Times New Roman"/>
          <w:sz w:val="24"/>
          <w:szCs w:val="22"/>
          <w:lang w:eastAsia="fr-FR" w:bidi="fr-FR"/>
        </w:rPr>
        <w:t xml:space="preserve">; (iii) la </w:t>
      </w:r>
      <w:r w:rsidR="00852033">
        <w:rPr>
          <w:rFonts w:ascii="Times New Roman" w:eastAsia="Times New Roman" w:hAnsi="Times New Roman"/>
          <w:sz w:val="24"/>
          <w:szCs w:val="22"/>
          <w:lang w:eastAsia="fr-FR" w:bidi="fr-FR"/>
        </w:rPr>
        <w:t>restauration</w:t>
      </w:r>
      <w:r w:rsidR="00E45CCD" w:rsidRPr="00183630">
        <w:rPr>
          <w:rFonts w:ascii="Times New Roman" w:eastAsia="Times New Roman" w:hAnsi="Times New Roman"/>
          <w:sz w:val="24"/>
          <w:szCs w:val="22"/>
          <w:lang w:eastAsia="fr-FR" w:bidi="fr-FR"/>
        </w:rPr>
        <w:t xml:space="preserve"> des terres basses qui ont une meilleure humidité du sol ; (iv) </w:t>
      </w:r>
      <w:r w:rsidR="00852033">
        <w:rPr>
          <w:rFonts w:ascii="Times New Roman" w:eastAsia="Times New Roman" w:hAnsi="Times New Roman"/>
          <w:sz w:val="24"/>
          <w:szCs w:val="22"/>
          <w:lang w:eastAsia="fr-FR" w:bidi="fr-FR"/>
        </w:rPr>
        <w:t xml:space="preserve">le développement </w:t>
      </w:r>
      <w:r w:rsidR="00E45CCD" w:rsidRPr="00183630">
        <w:rPr>
          <w:rFonts w:ascii="Times New Roman" w:eastAsia="Times New Roman" w:hAnsi="Times New Roman"/>
          <w:sz w:val="24"/>
          <w:szCs w:val="22"/>
          <w:lang w:eastAsia="fr-FR" w:bidi="fr-FR"/>
        </w:rPr>
        <w:t xml:space="preserve"> de </w:t>
      </w:r>
      <w:r w:rsidR="007236BE">
        <w:rPr>
          <w:rFonts w:ascii="Times New Roman" w:eastAsia="Times New Roman" w:hAnsi="Times New Roman"/>
          <w:sz w:val="24"/>
          <w:szCs w:val="22"/>
          <w:lang w:eastAsia="fr-FR" w:bidi="fr-FR"/>
        </w:rPr>
        <w:t>chaînes de valeur</w:t>
      </w:r>
      <w:r w:rsidR="00E45CCD" w:rsidRPr="00183630">
        <w:rPr>
          <w:rFonts w:ascii="Times New Roman" w:eastAsia="Times New Roman" w:hAnsi="Times New Roman"/>
          <w:sz w:val="24"/>
          <w:szCs w:val="22"/>
          <w:lang w:eastAsia="fr-FR" w:bidi="fr-FR"/>
        </w:rPr>
        <w:t xml:space="preserve">s diversifiées et </w:t>
      </w:r>
      <w:r w:rsidR="00852033">
        <w:rPr>
          <w:rFonts w:ascii="Times New Roman" w:eastAsia="Times New Roman" w:hAnsi="Times New Roman"/>
          <w:sz w:val="24"/>
          <w:szCs w:val="22"/>
          <w:lang w:eastAsia="fr-FR" w:bidi="fr-FR"/>
        </w:rPr>
        <w:t>résilientes</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telles que la gomme arabique (l'acacia joue un rôle prépondérant pour l'économie rurale</w:t>
      </w:r>
      <w:r w:rsidR="00C50A2D">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car il représente une source immédiate de revenus, particulièrement durant les saisons sèches), le sel (une source de revenus prometteuse et alternative générant des activités pour les habitants de Gando</w:t>
      </w:r>
      <w:r w:rsidR="00852033">
        <w:rPr>
          <w:rFonts w:ascii="Times New Roman" w:eastAsia="Times New Roman" w:hAnsi="Times New Roman"/>
          <w:sz w:val="24"/>
          <w:szCs w:val="22"/>
          <w:lang w:eastAsia="fr-FR" w:bidi="fr-FR"/>
        </w:rPr>
        <w:t>n</w:t>
      </w:r>
      <w:r w:rsidR="00E45CCD" w:rsidRPr="00183630">
        <w:rPr>
          <w:rFonts w:ascii="Times New Roman" w:eastAsia="Times New Roman" w:hAnsi="Times New Roman"/>
          <w:sz w:val="24"/>
          <w:szCs w:val="22"/>
          <w:lang w:eastAsia="fr-FR" w:bidi="fr-FR"/>
        </w:rPr>
        <w:t xml:space="preserve"> et de Gandiol qui ne peuvent pas cultiver les sols à cause de la salinisation), etc. Afin de garantir la mise en œuvre et la durabilité de ces activités, le renforcement des capacités et les formations (particulièrement en matière de gestion, de marketing et de finance) </w:t>
      </w:r>
      <w:r w:rsidR="00E45CCD" w:rsidRPr="00D22B1B">
        <w:rPr>
          <w:rFonts w:ascii="Times New Roman" w:eastAsia="Times New Roman" w:hAnsi="Times New Roman"/>
          <w:sz w:val="24"/>
          <w:szCs w:val="22"/>
          <w:lang w:eastAsia="fr-FR" w:bidi="fr-FR"/>
        </w:rPr>
        <w:t xml:space="preserve">seront </w:t>
      </w:r>
      <w:r w:rsidRPr="00D22B1B">
        <w:rPr>
          <w:rFonts w:ascii="Times New Roman" w:eastAsia="Times New Roman" w:hAnsi="Times New Roman"/>
          <w:sz w:val="24"/>
          <w:szCs w:val="22"/>
          <w:lang w:eastAsia="fr-FR" w:bidi="fr-FR"/>
        </w:rPr>
        <w:t>fournis aux</w:t>
      </w:r>
      <w:r w:rsidR="00E45CCD" w:rsidRPr="00D22B1B">
        <w:rPr>
          <w:rFonts w:ascii="Times New Roman" w:eastAsia="Times New Roman" w:hAnsi="Times New Roman"/>
          <w:sz w:val="24"/>
          <w:szCs w:val="22"/>
          <w:lang w:eastAsia="fr-FR" w:bidi="fr-FR"/>
        </w:rPr>
        <w:t xml:space="preserve"> entrepreneurs locaux.</w:t>
      </w:r>
      <w:r w:rsidR="00E45CCD" w:rsidRPr="00183630">
        <w:rPr>
          <w:rFonts w:ascii="Times New Roman" w:eastAsia="Times New Roman" w:hAnsi="Times New Roman"/>
          <w:sz w:val="24"/>
          <w:szCs w:val="22"/>
          <w:lang w:eastAsia="fr-FR" w:bidi="fr-FR"/>
        </w:rPr>
        <w:t xml:space="preserve"> </w:t>
      </w:r>
      <w:r>
        <w:rPr>
          <w:rFonts w:ascii="Times New Roman" w:eastAsia="Times New Roman" w:hAnsi="Times New Roman"/>
          <w:sz w:val="24"/>
          <w:szCs w:val="22"/>
          <w:lang w:eastAsia="fr-FR" w:bidi="fr-FR"/>
        </w:rPr>
        <w:t>C</w:t>
      </w:r>
      <w:r w:rsidR="00E45CCD" w:rsidRPr="00183630">
        <w:rPr>
          <w:rFonts w:ascii="Times New Roman" w:eastAsia="Times New Roman" w:hAnsi="Times New Roman"/>
          <w:sz w:val="24"/>
          <w:szCs w:val="22"/>
          <w:lang w:eastAsia="fr-FR" w:bidi="fr-FR"/>
        </w:rPr>
        <w:t>es activités bénéficieront également</w:t>
      </w:r>
      <w:r>
        <w:rPr>
          <w:rFonts w:ascii="Times New Roman" w:eastAsia="Times New Roman" w:hAnsi="Times New Roman"/>
          <w:sz w:val="24"/>
          <w:szCs w:val="22"/>
          <w:lang w:eastAsia="fr-FR" w:bidi="fr-FR"/>
        </w:rPr>
        <w:t>,</w:t>
      </w:r>
      <w:r w:rsidR="00E45CCD" w:rsidRPr="00183630">
        <w:rPr>
          <w:rFonts w:ascii="Times New Roman" w:eastAsia="Times New Roman" w:hAnsi="Times New Roman"/>
          <w:sz w:val="24"/>
          <w:szCs w:val="22"/>
          <w:lang w:eastAsia="fr-FR" w:bidi="fr-FR"/>
        </w:rPr>
        <w:t xml:space="preserve"> </w:t>
      </w:r>
      <w:r>
        <w:rPr>
          <w:rFonts w:ascii="Times New Roman" w:eastAsia="Times New Roman" w:hAnsi="Times New Roman"/>
          <w:sz w:val="24"/>
          <w:szCs w:val="22"/>
          <w:lang w:eastAsia="fr-FR" w:bidi="fr-FR"/>
        </w:rPr>
        <w:t xml:space="preserve">de préférence, </w:t>
      </w:r>
      <w:r w:rsidR="00E45CCD" w:rsidRPr="00183630">
        <w:rPr>
          <w:rFonts w:ascii="Times New Roman" w:eastAsia="Times New Roman" w:hAnsi="Times New Roman"/>
          <w:sz w:val="24"/>
          <w:szCs w:val="22"/>
          <w:lang w:eastAsia="fr-FR" w:bidi="fr-FR"/>
        </w:rPr>
        <w:t>de l'accès au crédit.</w:t>
      </w:r>
    </w:p>
    <w:p w:rsidR="00E45CCD" w:rsidRPr="00183630" w:rsidRDefault="00E45CCD" w:rsidP="00E45CCD">
      <w:pPr>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accroissement des investissements pour l'adaptation aux changements climatiques.</w:t>
      </w:r>
      <w:r w:rsidRPr="00183630">
        <w:rPr>
          <w:rFonts w:ascii="Times New Roman" w:eastAsia="Times New Roman" w:hAnsi="Times New Roman"/>
          <w:sz w:val="24"/>
          <w:szCs w:val="22"/>
          <w:lang w:eastAsia="fr-FR" w:bidi="fr-FR"/>
        </w:rPr>
        <w:t xml:space="preserve"> La solution privilégiée comprendrait un investissement dans les infrastructures qui réduit la vulnérabilité de la population locale, tel que : la </w:t>
      </w:r>
      <w:r w:rsidR="000C686E">
        <w:rPr>
          <w:rFonts w:ascii="Times New Roman" w:eastAsia="Times New Roman" w:hAnsi="Times New Roman"/>
          <w:sz w:val="24"/>
          <w:szCs w:val="22"/>
          <w:lang w:eastAsia="fr-FR" w:bidi="fr-FR"/>
        </w:rPr>
        <w:t>réhabilitation</w:t>
      </w:r>
      <w:r w:rsidRPr="00183630">
        <w:rPr>
          <w:rFonts w:ascii="Times New Roman" w:eastAsia="Times New Roman" w:hAnsi="Times New Roman"/>
          <w:sz w:val="24"/>
          <w:szCs w:val="22"/>
          <w:lang w:eastAsia="fr-FR" w:bidi="fr-FR"/>
        </w:rPr>
        <w:t xml:space="preserve"> des terres basses, </w:t>
      </w:r>
      <w:r w:rsidR="000C686E">
        <w:rPr>
          <w:rFonts w:ascii="Times New Roman" w:eastAsia="Times New Roman" w:hAnsi="Times New Roman"/>
          <w:sz w:val="24"/>
          <w:szCs w:val="22"/>
          <w:lang w:eastAsia="fr-FR" w:bidi="fr-FR"/>
        </w:rPr>
        <w:t>l’ouverture</w:t>
      </w:r>
      <w:r w:rsidRPr="00183630">
        <w:rPr>
          <w:rFonts w:ascii="Times New Roman" w:eastAsia="Times New Roman" w:hAnsi="Times New Roman"/>
          <w:sz w:val="24"/>
          <w:szCs w:val="22"/>
          <w:lang w:eastAsia="fr-FR" w:bidi="fr-FR"/>
        </w:rPr>
        <w:t xml:space="preserve"> et l'entretien de</w:t>
      </w:r>
      <w:r w:rsidR="000C686E">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w:t>
      </w:r>
      <w:r w:rsidR="000C686E">
        <w:rPr>
          <w:rFonts w:ascii="Times New Roman" w:eastAsia="Times New Roman" w:hAnsi="Times New Roman"/>
          <w:sz w:val="24"/>
          <w:szCs w:val="22"/>
          <w:lang w:eastAsia="fr-FR" w:bidi="fr-FR"/>
        </w:rPr>
        <w:t>pare-feu et une meilleure</w:t>
      </w:r>
      <w:r w:rsidRPr="00183630">
        <w:rPr>
          <w:rFonts w:ascii="Times New Roman" w:eastAsia="Times New Roman" w:hAnsi="Times New Roman"/>
          <w:sz w:val="24"/>
          <w:szCs w:val="22"/>
          <w:lang w:eastAsia="fr-FR" w:bidi="fr-FR"/>
        </w:rPr>
        <w:t xml:space="preserve"> gestion des RNC, la collecte des eaux, </w:t>
      </w:r>
      <w:r w:rsidR="000C686E">
        <w:rPr>
          <w:rFonts w:ascii="Times New Roman" w:eastAsia="Times New Roman" w:hAnsi="Times New Roman"/>
          <w:sz w:val="24"/>
          <w:szCs w:val="22"/>
          <w:lang w:eastAsia="fr-FR" w:bidi="fr-FR"/>
        </w:rPr>
        <w:t>l’aménagement des mares</w:t>
      </w:r>
      <w:r w:rsidRPr="00183630">
        <w:rPr>
          <w:rFonts w:ascii="Times New Roman" w:eastAsia="Times New Roman" w:hAnsi="Times New Roman"/>
          <w:sz w:val="24"/>
          <w:szCs w:val="22"/>
          <w:lang w:eastAsia="fr-FR" w:bidi="fr-FR"/>
        </w:rPr>
        <w:t xml:space="preserve"> pour l'élevage</w:t>
      </w:r>
      <w:r w:rsidR="000C686E">
        <w:rPr>
          <w:rFonts w:ascii="Times New Roman" w:eastAsia="Times New Roman" w:hAnsi="Times New Roman"/>
          <w:sz w:val="24"/>
          <w:szCs w:val="22"/>
          <w:lang w:eastAsia="fr-FR" w:bidi="fr-FR"/>
        </w:rPr>
        <w:t xml:space="preserve"> des </w:t>
      </w:r>
      <w:r w:rsidRPr="00183630">
        <w:rPr>
          <w:rFonts w:ascii="Times New Roman" w:eastAsia="Times New Roman" w:hAnsi="Times New Roman"/>
          <w:sz w:val="24"/>
          <w:szCs w:val="22"/>
          <w:lang w:eastAsia="fr-FR" w:bidi="fr-FR"/>
        </w:rPr>
        <w:t xml:space="preserve">bovin et l'accès à l'eau, etc. </w:t>
      </w:r>
    </w:p>
    <w:p w:rsidR="00E45CCD" w:rsidRPr="00183630" w:rsidRDefault="00E45CCD" w:rsidP="00E45CCD">
      <w:pPr>
        <w:rPr>
          <w:rFonts w:eastAsia="Calibri"/>
          <w:noProof/>
          <w:szCs w:val="20"/>
          <w:lang w:eastAsia="fr-FR" w:bidi="fr-FR"/>
        </w:rPr>
      </w:pPr>
    </w:p>
    <w:p w:rsidR="00E45CCD" w:rsidRDefault="00E45CCD" w:rsidP="00771667">
      <w:pPr>
        <w:numPr>
          <w:ilvl w:val="0"/>
          <w:numId w:val="58"/>
        </w:numPr>
        <w:spacing w:after="0"/>
        <w:rPr>
          <w:rFonts w:ascii="Times New Roman" w:eastAsia="Times New Roman" w:hAnsi="Times New Roman"/>
          <w:b/>
          <w:sz w:val="24"/>
          <w:szCs w:val="22"/>
          <w:lang w:eastAsia="fr-FR" w:bidi="fr-FR"/>
        </w:rPr>
      </w:pPr>
      <w:r w:rsidRPr="00183630">
        <w:rPr>
          <w:rFonts w:ascii="Times New Roman" w:eastAsia="Times New Roman" w:hAnsi="Times New Roman"/>
          <w:sz w:val="24"/>
          <w:szCs w:val="22"/>
          <w:u w:val="single"/>
          <w:lang w:eastAsia="fr-FR" w:bidi="fr-FR"/>
        </w:rPr>
        <w:t xml:space="preserve">une </w:t>
      </w:r>
      <w:r w:rsidR="00192122">
        <w:rPr>
          <w:rFonts w:ascii="Times New Roman" w:eastAsia="Times New Roman" w:hAnsi="Times New Roman"/>
          <w:sz w:val="24"/>
          <w:szCs w:val="22"/>
          <w:u w:val="single"/>
          <w:lang w:eastAsia="fr-FR" w:bidi="fr-FR"/>
        </w:rPr>
        <w:t xml:space="preserve">amélioration de la </w:t>
      </w:r>
      <w:r w:rsidRPr="00183630">
        <w:rPr>
          <w:rFonts w:ascii="Times New Roman" w:eastAsia="Times New Roman" w:hAnsi="Times New Roman"/>
          <w:sz w:val="24"/>
          <w:szCs w:val="22"/>
          <w:u w:val="single"/>
          <w:lang w:eastAsia="fr-FR" w:bidi="fr-FR"/>
        </w:rPr>
        <w:t xml:space="preserve">transmission </w:t>
      </w:r>
      <w:r w:rsidR="00192122">
        <w:rPr>
          <w:rFonts w:ascii="Times New Roman" w:eastAsia="Times New Roman" w:hAnsi="Times New Roman"/>
          <w:sz w:val="24"/>
          <w:szCs w:val="22"/>
          <w:u w:val="single"/>
          <w:lang w:eastAsia="fr-FR" w:bidi="fr-FR"/>
        </w:rPr>
        <w:t xml:space="preserve"> de l’information </w:t>
      </w:r>
      <w:r w:rsidRPr="00183630">
        <w:rPr>
          <w:rFonts w:ascii="Times New Roman" w:eastAsia="Times New Roman" w:hAnsi="Times New Roman"/>
          <w:sz w:val="24"/>
          <w:szCs w:val="22"/>
          <w:u w:val="single"/>
          <w:lang w:eastAsia="fr-FR" w:bidi="fr-FR"/>
        </w:rPr>
        <w:t>sur le climat et sur les bonnes pratiques.</w:t>
      </w:r>
      <w:r w:rsidRPr="00183630">
        <w:rPr>
          <w:rFonts w:ascii="Times New Roman" w:eastAsia="Times New Roman" w:hAnsi="Times New Roman"/>
          <w:sz w:val="24"/>
          <w:szCs w:val="22"/>
          <w:lang w:eastAsia="fr-FR" w:bidi="fr-FR"/>
        </w:rPr>
        <w:t xml:space="preserve"> La solution privilégiée comprendrait un niveau </w:t>
      </w:r>
      <w:r w:rsidR="00192122">
        <w:rPr>
          <w:rFonts w:ascii="Times New Roman" w:eastAsia="Times New Roman" w:hAnsi="Times New Roman"/>
          <w:sz w:val="24"/>
          <w:szCs w:val="22"/>
          <w:lang w:eastAsia="fr-FR" w:bidi="fr-FR"/>
        </w:rPr>
        <w:t>accru</w:t>
      </w:r>
      <w:r w:rsidR="00192122"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de sensibilisation des communautés </w:t>
      </w:r>
      <w:r w:rsidR="00192122" w:rsidRPr="00183630">
        <w:rPr>
          <w:rFonts w:ascii="Times New Roman" w:eastAsia="Times New Roman" w:hAnsi="Times New Roman"/>
          <w:sz w:val="24"/>
          <w:szCs w:val="22"/>
          <w:lang w:eastAsia="fr-FR" w:bidi="fr-FR"/>
        </w:rPr>
        <w:t xml:space="preserve">rurales </w:t>
      </w:r>
      <w:r w:rsidRPr="00183630">
        <w:rPr>
          <w:rFonts w:ascii="Times New Roman" w:eastAsia="Times New Roman" w:hAnsi="Times New Roman"/>
          <w:sz w:val="24"/>
          <w:szCs w:val="22"/>
          <w:lang w:eastAsia="fr-FR" w:bidi="fr-FR"/>
        </w:rPr>
        <w:t>et des municipalités. L</w:t>
      </w:r>
      <w:r w:rsidR="00192122">
        <w:rPr>
          <w:rFonts w:ascii="Times New Roman" w:eastAsia="Times New Roman" w:hAnsi="Times New Roman"/>
          <w:sz w:val="24"/>
          <w:szCs w:val="22"/>
          <w:lang w:eastAsia="fr-FR" w:bidi="fr-FR"/>
        </w:rPr>
        <w:t>’</w:t>
      </w:r>
      <w:r w:rsidRPr="00183630">
        <w:rPr>
          <w:rFonts w:ascii="Times New Roman" w:eastAsia="Times New Roman" w:hAnsi="Times New Roman"/>
          <w:sz w:val="24"/>
          <w:szCs w:val="22"/>
          <w:lang w:eastAsia="fr-FR" w:bidi="fr-FR"/>
        </w:rPr>
        <w:t>information climatique ser</w:t>
      </w:r>
      <w:r w:rsidR="00192122">
        <w:rPr>
          <w:rFonts w:ascii="Times New Roman" w:eastAsia="Times New Roman" w:hAnsi="Times New Roman"/>
          <w:sz w:val="24"/>
          <w:szCs w:val="22"/>
          <w:lang w:eastAsia="fr-FR" w:bidi="fr-FR"/>
        </w:rPr>
        <w:t>a</w:t>
      </w:r>
      <w:r w:rsidRPr="00183630">
        <w:rPr>
          <w:rFonts w:ascii="Times New Roman" w:eastAsia="Times New Roman" w:hAnsi="Times New Roman"/>
          <w:sz w:val="24"/>
          <w:szCs w:val="22"/>
          <w:lang w:eastAsia="fr-FR" w:bidi="fr-FR"/>
        </w:rPr>
        <w:t xml:space="preserve"> diffusée par </w:t>
      </w:r>
      <w:r w:rsidR="00192122">
        <w:rPr>
          <w:rFonts w:ascii="Times New Roman" w:eastAsia="Times New Roman" w:hAnsi="Times New Roman"/>
          <w:sz w:val="24"/>
          <w:szCs w:val="22"/>
          <w:lang w:eastAsia="fr-FR" w:bidi="fr-FR"/>
        </w:rPr>
        <w:lastRenderedPageBreak/>
        <w:t xml:space="preserve">l’intermédiaire du </w:t>
      </w:r>
      <w:r w:rsidRPr="00183630">
        <w:rPr>
          <w:rFonts w:ascii="Times New Roman" w:eastAsia="Times New Roman" w:hAnsi="Times New Roman"/>
          <w:sz w:val="24"/>
          <w:szCs w:val="22"/>
          <w:lang w:eastAsia="fr-FR" w:bidi="fr-FR"/>
        </w:rPr>
        <w:t xml:space="preserve">point focal municipal et </w:t>
      </w:r>
      <w:r w:rsidR="00192122">
        <w:rPr>
          <w:rFonts w:ascii="Times New Roman" w:eastAsia="Times New Roman" w:hAnsi="Times New Roman"/>
          <w:sz w:val="24"/>
          <w:szCs w:val="22"/>
          <w:lang w:eastAsia="fr-FR" w:bidi="fr-FR"/>
        </w:rPr>
        <w:t>des</w:t>
      </w:r>
      <w:r w:rsidR="00A05600" w:rsidRPr="00183630">
        <w:rPr>
          <w:rFonts w:ascii="Times New Roman" w:eastAsia="Times New Roman" w:hAnsi="Times New Roman"/>
          <w:sz w:val="24"/>
          <w:szCs w:val="22"/>
          <w:lang w:eastAsia="fr-FR" w:bidi="fr-FR"/>
        </w:rPr>
        <w:t xml:space="preserve"> radios locales</w:t>
      </w:r>
      <w:r w:rsidRPr="00183630">
        <w:rPr>
          <w:rFonts w:ascii="Times New Roman" w:eastAsia="Times New Roman" w:hAnsi="Times New Roman"/>
          <w:sz w:val="24"/>
          <w:szCs w:val="22"/>
          <w:lang w:eastAsia="fr-FR" w:bidi="fr-FR"/>
        </w:rPr>
        <w:t xml:space="preserve">. Les activités de renforcement </w:t>
      </w:r>
      <w:r w:rsidR="00A05600" w:rsidRPr="00183630">
        <w:rPr>
          <w:rFonts w:ascii="Times New Roman" w:eastAsia="Times New Roman" w:hAnsi="Times New Roman"/>
          <w:sz w:val="24"/>
          <w:szCs w:val="22"/>
          <w:lang w:eastAsia="fr-FR" w:bidi="fr-FR"/>
        </w:rPr>
        <w:t>des capacités</w:t>
      </w:r>
      <w:r w:rsidRPr="00183630">
        <w:rPr>
          <w:rFonts w:ascii="Times New Roman" w:eastAsia="Times New Roman" w:hAnsi="Times New Roman"/>
          <w:sz w:val="24"/>
          <w:szCs w:val="22"/>
          <w:lang w:eastAsia="fr-FR" w:bidi="fr-FR"/>
        </w:rPr>
        <w:t xml:space="preserve"> comprendront la mise en œuvre de formations pour les autorités locales et nationales sur les pratiques </w:t>
      </w:r>
      <w:r w:rsidR="00192122">
        <w:rPr>
          <w:rFonts w:ascii="Times New Roman" w:eastAsia="Times New Roman" w:hAnsi="Times New Roman"/>
          <w:sz w:val="24"/>
          <w:szCs w:val="22"/>
          <w:lang w:eastAsia="fr-FR" w:bidi="fr-FR"/>
        </w:rPr>
        <w:t>résilientes</w:t>
      </w:r>
      <w:r w:rsidR="00192122"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développées au niveau communal. Un centre sera créé à Ranérou pour </w:t>
      </w:r>
      <w:r w:rsidR="00192122">
        <w:rPr>
          <w:rFonts w:ascii="Times New Roman" w:eastAsia="Times New Roman" w:hAnsi="Times New Roman"/>
          <w:sz w:val="24"/>
          <w:szCs w:val="22"/>
          <w:lang w:eastAsia="fr-FR" w:bidi="fr-FR"/>
        </w:rPr>
        <w:t xml:space="preserve">mieux </w:t>
      </w:r>
      <w:r w:rsidRPr="00183630">
        <w:rPr>
          <w:rFonts w:ascii="Times New Roman" w:eastAsia="Times New Roman" w:hAnsi="Times New Roman"/>
          <w:sz w:val="24"/>
          <w:szCs w:val="22"/>
          <w:lang w:eastAsia="fr-FR" w:bidi="fr-FR"/>
        </w:rPr>
        <w:t>sensibiliser et former les communautés locales. Afin d'éduquer le public et améliorer leurs connaissances sur les incidences d</w:t>
      </w:r>
      <w:r w:rsidR="00192122">
        <w:rPr>
          <w:rFonts w:ascii="Times New Roman" w:eastAsia="Times New Roman" w:hAnsi="Times New Roman"/>
          <w:sz w:val="24"/>
          <w:szCs w:val="22"/>
          <w:lang w:eastAsia="fr-FR" w:bidi="fr-FR"/>
        </w:rPr>
        <w:t>es</w:t>
      </w:r>
      <w:r w:rsidRPr="00183630">
        <w:rPr>
          <w:rFonts w:ascii="Times New Roman" w:eastAsia="Times New Roman" w:hAnsi="Times New Roman"/>
          <w:sz w:val="24"/>
          <w:szCs w:val="22"/>
          <w:lang w:eastAsia="fr-FR" w:bidi="fr-FR"/>
        </w:rPr>
        <w:t xml:space="preserve"> changement</w:t>
      </w:r>
      <w:r w:rsidR="00192122">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climatique</w:t>
      </w:r>
      <w:r w:rsidR="00192122">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diverses formes de communication seront </w:t>
      </w:r>
      <w:r w:rsidR="00A05600" w:rsidRPr="00183630">
        <w:rPr>
          <w:rFonts w:ascii="Times New Roman" w:eastAsia="Times New Roman" w:hAnsi="Times New Roman"/>
          <w:sz w:val="24"/>
          <w:szCs w:val="22"/>
          <w:lang w:eastAsia="fr-FR" w:bidi="fr-FR"/>
        </w:rPr>
        <w:t>utilisées</w:t>
      </w:r>
      <w:r w:rsidRPr="00183630">
        <w:rPr>
          <w:rFonts w:ascii="Times New Roman" w:eastAsia="Times New Roman" w:hAnsi="Times New Roman"/>
          <w:sz w:val="24"/>
          <w:szCs w:val="22"/>
          <w:lang w:eastAsia="fr-FR" w:bidi="fr-FR"/>
        </w:rPr>
        <w:t xml:space="preserve">, y compris </w:t>
      </w:r>
      <w:r w:rsidR="00192122">
        <w:rPr>
          <w:rFonts w:ascii="Times New Roman" w:eastAsia="Times New Roman" w:hAnsi="Times New Roman"/>
          <w:sz w:val="24"/>
          <w:szCs w:val="22"/>
          <w:lang w:eastAsia="fr-FR" w:bidi="fr-FR"/>
        </w:rPr>
        <w:t>l</w:t>
      </w:r>
      <w:r w:rsidRPr="00183630">
        <w:rPr>
          <w:rFonts w:ascii="Times New Roman" w:eastAsia="Times New Roman" w:hAnsi="Times New Roman"/>
          <w:sz w:val="24"/>
          <w:szCs w:val="22"/>
          <w:lang w:eastAsia="fr-FR" w:bidi="fr-FR"/>
        </w:rPr>
        <w:t xml:space="preserve">es affiches et </w:t>
      </w:r>
      <w:r w:rsidR="00192122">
        <w:rPr>
          <w:rFonts w:ascii="Times New Roman" w:eastAsia="Times New Roman" w:hAnsi="Times New Roman"/>
          <w:sz w:val="24"/>
          <w:szCs w:val="22"/>
          <w:lang w:eastAsia="fr-FR" w:bidi="fr-FR"/>
        </w:rPr>
        <w:t>l</w:t>
      </w:r>
      <w:r w:rsidRPr="00183630">
        <w:rPr>
          <w:rFonts w:ascii="Times New Roman" w:eastAsia="Times New Roman" w:hAnsi="Times New Roman"/>
          <w:sz w:val="24"/>
          <w:szCs w:val="22"/>
          <w:lang w:eastAsia="fr-FR" w:bidi="fr-FR"/>
        </w:rPr>
        <w:t>es émissions de radio</w:t>
      </w:r>
      <w:r w:rsidR="00192122">
        <w:rPr>
          <w:rFonts w:ascii="Times New Roman" w:eastAsia="Times New Roman" w:hAnsi="Times New Roman"/>
          <w:sz w:val="24"/>
          <w:szCs w:val="22"/>
          <w:lang w:eastAsia="fr-FR" w:bidi="fr-FR"/>
        </w:rPr>
        <w:t>phoniques</w:t>
      </w:r>
      <w:r w:rsidRPr="00183630">
        <w:rPr>
          <w:rFonts w:ascii="Times New Roman" w:eastAsia="Times New Roman" w:hAnsi="Times New Roman"/>
          <w:sz w:val="24"/>
          <w:szCs w:val="22"/>
          <w:lang w:eastAsia="fr-FR" w:bidi="fr-FR"/>
        </w:rPr>
        <w:t xml:space="preserve">. En outre, les programmes éducatifs seraient mis en </w:t>
      </w:r>
      <w:r w:rsidR="00A05600" w:rsidRPr="00183630">
        <w:rPr>
          <w:rFonts w:ascii="Times New Roman" w:eastAsia="Times New Roman" w:hAnsi="Times New Roman"/>
          <w:sz w:val="24"/>
          <w:szCs w:val="22"/>
          <w:lang w:eastAsia="fr-FR" w:bidi="fr-FR"/>
        </w:rPr>
        <w:t>œuvre</w:t>
      </w:r>
      <w:r w:rsidRPr="00183630">
        <w:rPr>
          <w:rFonts w:ascii="Times New Roman" w:eastAsia="Times New Roman" w:hAnsi="Times New Roman"/>
          <w:sz w:val="24"/>
          <w:szCs w:val="22"/>
          <w:lang w:eastAsia="fr-FR" w:bidi="fr-FR"/>
        </w:rPr>
        <w:t xml:space="preserve"> pour les enfants scolarisés, ce qui </w:t>
      </w:r>
      <w:r w:rsidR="00781178">
        <w:rPr>
          <w:rFonts w:ascii="Times New Roman" w:eastAsia="Times New Roman" w:hAnsi="Times New Roman"/>
          <w:sz w:val="24"/>
          <w:szCs w:val="22"/>
          <w:lang w:eastAsia="fr-FR" w:bidi="fr-FR"/>
        </w:rPr>
        <w:t>permettrait</w:t>
      </w:r>
      <w:r w:rsidR="00781178" w:rsidRPr="00183630">
        <w:rPr>
          <w:rFonts w:ascii="Times New Roman" w:eastAsia="Times New Roman" w:hAnsi="Times New Roman"/>
          <w:sz w:val="24"/>
          <w:szCs w:val="22"/>
          <w:lang w:eastAsia="fr-FR" w:bidi="fr-FR"/>
        </w:rPr>
        <w:t xml:space="preserve"> </w:t>
      </w:r>
      <w:r w:rsidR="00781178">
        <w:rPr>
          <w:rFonts w:ascii="Times New Roman" w:eastAsia="Times New Roman" w:hAnsi="Times New Roman"/>
          <w:sz w:val="24"/>
          <w:szCs w:val="22"/>
          <w:lang w:eastAsia="fr-FR" w:bidi="fr-FR"/>
        </w:rPr>
        <w:t>d’accroitre la</w:t>
      </w:r>
      <w:r w:rsidR="0078117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sensibilisation à long terme </w:t>
      </w:r>
      <w:r w:rsidR="00781178">
        <w:rPr>
          <w:rFonts w:ascii="Times New Roman" w:eastAsia="Times New Roman" w:hAnsi="Times New Roman"/>
          <w:sz w:val="24"/>
          <w:szCs w:val="22"/>
          <w:lang w:eastAsia="fr-FR" w:bidi="fr-FR"/>
        </w:rPr>
        <w:t>sur les</w:t>
      </w:r>
      <w:r w:rsidR="0078117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risques liés au</w:t>
      </w:r>
      <w:r w:rsidR="00781178">
        <w:rPr>
          <w:rFonts w:ascii="Times New Roman" w:eastAsia="Times New Roman" w:hAnsi="Times New Roman"/>
          <w:sz w:val="24"/>
          <w:szCs w:val="22"/>
          <w:lang w:eastAsia="fr-FR" w:bidi="fr-FR"/>
        </w:rPr>
        <w:t>x</w:t>
      </w:r>
      <w:r w:rsidRPr="00183630">
        <w:rPr>
          <w:rFonts w:ascii="Times New Roman" w:eastAsia="Times New Roman" w:hAnsi="Times New Roman"/>
          <w:sz w:val="24"/>
          <w:szCs w:val="22"/>
          <w:lang w:eastAsia="fr-FR" w:bidi="fr-FR"/>
        </w:rPr>
        <w:t xml:space="preserve"> changement</w:t>
      </w:r>
      <w:r w:rsidR="00781178">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climatique</w:t>
      </w:r>
      <w:r w:rsidR="00781178">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et l'adoption de pratiques appropriées.</w:t>
      </w:r>
      <w:r>
        <w:rPr>
          <w:rFonts w:ascii="Times New Roman" w:eastAsia="Times New Roman" w:hAnsi="Times New Roman"/>
          <w:b/>
          <w:sz w:val="24"/>
          <w:szCs w:val="22"/>
          <w:lang w:eastAsia="fr-FR" w:bidi="fr-FR"/>
        </w:rPr>
        <w:t xml:space="preserve"> </w:t>
      </w:r>
    </w:p>
    <w:p w:rsidR="00E45CCD" w:rsidRDefault="00E45CCD" w:rsidP="00E45CCD">
      <w:pPr>
        <w:spacing w:after="160" w:line="259" w:lineRule="auto"/>
        <w:jc w:val="left"/>
        <w:rPr>
          <w:rFonts w:ascii="Times New Roman" w:eastAsia="Times New Roman" w:hAnsi="Times New Roman"/>
          <w:b/>
          <w:sz w:val="24"/>
          <w:szCs w:val="22"/>
          <w:lang w:eastAsia="fr-FR" w:bidi="fr-FR"/>
        </w:rPr>
        <w:sectPr w:rsidR="00E45CCD" w:rsidSect="00797888">
          <w:headerReference w:type="even" r:id="rId17"/>
          <w:headerReference w:type="default" r:id="rId18"/>
          <w:footerReference w:type="default" r:id="rId19"/>
          <w:headerReference w:type="first" r:id="rId20"/>
          <w:footerReference w:type="first" r:id="rId21"/>
          <w:pgSz w:w="12242" w:h="15842" w:code="1"/>
          <w:pgMar w:top="1440" w:right="1440" w:bottom="1440" w:left="1440" w:header="720" w:footer="431" w:gutter="0"/>
          <w:cols w:space="708"/>
          <w:titlePg/>
          <w:docGrid w:linePitch="360"/>
        </w:sectPr>
      </w:pPr>
      <w:r>
        <w:rPr>
          <w:rFonts w:ascii="Times New Roman" w:eastAsia="Times New Roman" w:hAnsi="Times New Roman"/>
          <w:b/>
          <w:sz w:val="24"/>
          <w:szCs w:val="22"/>
          <w:lang w:eastAsia="fr-FR" w:bidi="fr-FR"/>
        </w:rPr>
        <w:br w:type="page"/>
      </w:r>
    </w:p>
    <w:p w:rsidR="00E45CCD" w:rsidRPr="007F5D87" w:rsidRDefault="009343F3" w:rsidP="00E45CCD">
      <w:pPr>
        <w:spacing w:after="160" w:line="259" w:lineRule="auto"/>
        <w:jc w:val="left"/>
      </w:pPr>
      <w:r w:rsidRPr="00D364DE">
        <w:rPr>
          <w:noProof/>
          <w:lang w:eastAsia="fr-FR"/>
        </w:rPr>
        <w:lastRenderedPageBreak/>
        <w:drawing>
          <wp:inline distT="0" distB="0" distL="0" distR="0" wp14:anchorId="15847017" wp14:editId="14CCEB0A">
            <wp:extent cx="7254240" cy="5318760"/>
            <wp:effectExtent l="0" t="0" r="381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54914" cy="5319254"/>
                    </a:xfrm>
                    <a:prstGeom prst="rect">
                      <a:avLst/>
                    </a:prstGeom>
                  </pic:spPr>
                </pic:pic>
              </a:graphicData>
            </a:graphic>
          </wp:inline>
        </w:drawing>
      </w:r>
    </w:p>
    <w:p w:rsidR="00E45CCD" w:rsidRPr="007F5D87" w:rsidRDefault="00384043" w:rsidP="00771667">
      <w:pPr>
        <w:pStyle w:val="NumberedParas"/>
        <w:numPr>
          <w:ilvl w:val="0"/>
          <w:numId w:val="58"/>
        </w:numPr>
        <w:jc w:val="center"/>
        <w:rPr>
          <w:b/>
        </w:rPr>
      </w:pPr>
      <w:r>
        <w:rPr>
          <w:b/>
        </w:rPr>
        <w:t>Figure 6 : L</w:t>
      </w:r>
      <w:r w:rsidR="00E45CCD">
        <w:rPr>
          <w:b/>
        </w:rPr>
        <w:t>e concept de la solution à long terme</w:t>
      </w:r>
    </w:p>
    <w:p w:rsidR="00E45CCD" w:rsidRDefault="00E45CCD" w:rsidP="00771667">
      <w:pPr>
        <w:numPr>
          <w:ilvl w:val="0"/>
          <w:numId w:val="58"/>
        </w:numPr>
        <w:spacing w:after="0"/>
        <w:rPr>
          <w:rFonts w:ascii="Times New Roman" w:eastAsia="Times New Roman" w:hAnsi="Times New Roman"/>
          <w:b/>
          <w:sz w:val="24"/>
          <w:szCs w:val="22"/>
          <w:lang w:eastAsia="fr-FR" w:bidi="fr-FR"/>
        </w:rPr>
        <w:sectPr w:rsidR="00E45CCD" w:rsidSect="00E45CCD">
          <w:pgSz w:w="15842" w:h="12242" w:orient="landscape" w:code="1"/>
          <w:pgMar w:top="1440" w:right="1440" w:bottom="1440" w:left="1440" w:header="720" w:footer="431" w:gutter="0"/>
          <w:cols w:space="708"/>
          <w:titlePg/>
          <w:docGrid w:linePitch="360"/>
        </w:sectPr>
      </w:pPr>
    </w:p>
    <w:p w:rsidR="00183630" w:rsidRPr="00945424" w:rsidRDefault="00781178" w:rsidP="00183630">
      <w:pPr>
        <w:pStyle w:val="NumberedParas"/>
        <w:ind w:left="0" w:firstLine="0"/>
        <w:rPr>
          <w:noProof/>
          <w:lang w:eastAsia="fr-FR" w:bidi="fr-FR"/>
        </w:rPr>
      </w:pPr>
      <w:r>
        <w:rPr>
          <w:lang w:eastAsia="fr-FR" w:bidi="fr-FR"/>
        </w:rPr>
        <w:lastRenderedPageBreak/>
        <w:t>C</w:t>
      </w:r>
      <w:r w:rsidRPr="00945424">
        <w:rPr>
          <w:lang w:eastAsia="fr-FR" w:bidi="fr-FR"/>
        </w:rPr>
        <w:t xml:space="preserve">ependant il existe </w:t>
      </w:r>
      <w:r>
        <w:rPr>
          <w:lang w:eastAsia="fr-FR" w:bidi="fr-FR"/>
        </w:rPr>
        <w:t>à</w:t>
      </w:r>
      <w:r w:rsidRPr="00945424">
        <w:rPr>
          <w:lang w:eastAsia="fr-FR" w:bidi="fr-FR"/>
        </w:rPr>
        <w:t xml:space="preserve"> </w:t>
      </w:r>
      <w:r w:rsidR="00183630" w:rsidRPr="00945424">
        <w:rPr>
          <w:lang w:eastAsia="fr-FR" w:bidi="fr-FR"/>
        </w:rPr>
        <w:t>ce jour, un manque de capacités techniques, institutionnelles et financières au niveau communal et national pour l'adoption de pratiques et de mesures d'adaptation. Certain</w:t>
      </w:r>
      <w:r>
        <w:rPr>
          <w:lang w:eastAsia="fr-FR" w:bidi="fr-FR"/>
        </w:rPr>
        <w:t>e</w:t>
      </w:r>
      <w:r w:rsidR="00183630" w:rsidRPr="00945424">
        <w:rPr>
          <w:lang w:eastAsia="fr-FR" w:bidi="fr-FR"/>
        </w:rPr>
        <w:t xml:space="preserve">s des </w:t>
      </w:r>
      <w:r>
        <w:rPr>
          <w:lang w:eastAsia="fr-FR" w:bidi="fr-FR"/>
        </w:rPr>
        <w:t>barrières</w:t>
      </w:r>
      <w:r w:rsidRPr="00945424">
        <w:rPr>
          <w:lang w:eastAsia="fr-FR" w:bidi="fr-FR"/>
        </w:rPr>
        <w:t xml:space="preserve"> </w:t>
      </w:r>
      <w:r w:rsidR="00183630" w:rsidRPr="00945424">
        <w:rPr>
          <w:lang w:eastAsia="fr-FR" w:bidi="fr-FR"/>
        </w:rPr>
        <w:t xml:space="preserve">à </w:t>
      </w:r>
      <w:r>
        <w:rPr>
          <w:lang w:eastAsia="fr-FR" w:bidi="fr-FR"/>
        </w:rPr>
        <w:t>lever</w:t>
      </w:r>
      <w:r w:rsidRPr="00945424">
        <w:rPr>
          <w:lang w:eastAsia="fr-FR" w:bidi="fr-FR"/>
        </w:rPr>
        <w:t xml:space="preserve"> </w:t>
      </w:r>
      <w:r w:rsidR="00183630" w:rsidRPr="00945424">
        <w:rPr>
          <w:lang w:eastAsia="fr-FR" w:bidi="fr-FR"/>
        </w:rPr>
        <w:t>ont été identifié</w:t>
      </w:r>
      <w:r>
        <w:rPr>
          <w:lang w:eastAsia="fr-FR" w:bidi="fr-FR"/>
        </w:rPr>
        <w:t>e</w:t>
      </w:r>
      <w:r w:rsidR="00183630" w:rsidRPr="00945424">
        <w:rPr>
          <w:lang w:eastAsia="fr-FR" w:bidi="fr-FR"/>
        </w:rPr>
        <w:t>s, parmi lesquel</w:t>
      </w:r>
      <w:r>
        <w:rPr>
          <w:lang w:eastAsia="fr-FR" w:bidi="fr-FR"/>
        </w:rPr>
        <w:t>le</w:t>
      </w:r>
      <w:r w:rsidR="00183630" w:rsidRPr="00945424">
        <w:rPr>
          <w:lang w:eastAsia="fr-FR" w:bidi="fr-FR"/>
        </w:rPr>
        <w:t>s on compte :</w:t>
      </w:r>
    </w:p>
    <w:p w:rsidR="007471D2" w:rsidRPr="007471D2" w:rsidRDefault="007471D2" w:rsidP="007471D2">
      <w:pPr>
        <w:rPr>
          <w:rFonts w:ascii="Times New Roman" w:hAnsi="Times New Roman"/>
          <w:sz w:val="24"/>
          <w:lang w:eastAsia="fr-FR" w:bidi="fr-FR"/>
        </w:rPr>
      </w:pPr>
    </w:p>
    <w:p w:rsidR="007471D2" w:rsidRPr="007471D2" w:rsidRDefault="004D7D6F" w:rsidP="007471D2">
      <w:pPr>
        <w:rPr>
          <w:rFonts w:ascii="Times New Roman" w:hAnsi="Times New Roman"/>
          <w:sz w:val="24"/>
          <w:lang w:eastAsia="fr-FR" w:bidi="fr-FR"/>
        </w:rPr>
      </w:pPr>
      <w:r>
        <w:rPr>
          <w:rFonts w:ascii="Times New Roman" w:hAnsi="Times New Roman"/>
          <w:b/>
          <w:sz w:val="24"/>
          <w:lang w:eastAsia="fr-FR" w:bidi="fr-FR"/>
        </w:rPr>
        <w:t>Barrière </w:t>
      </w:r>
      <w:r w:rsidR="003B7D35">
        <w:rPr>
          <w:rFonts w:ascii="Times New Roman" w:hAnsi="Times New Roman"/>
          <w:b/>
          <w:sz w:val="24"/>
          <w:lang w:eastAsia="fr-FR" w:bidi="fr-FR"/>
        </w:rPr>
        <w:t>1) </w:t>
      </w:r>
      <w:r w:rsidR="007471D2" w:rsidRPr="007471D2">
        <w:rPr>
          <w:rFonts w:ascii="Times New Roman" w:hAnsi="Times New Roman"/>
          <w:b/>
          <w:sz w:val="24"/>
          <w:lang w:eastAsia="fr-FR" w:bidi="fr-FR"/>
        </w:rPr>
        <w:t>La capacité limitée des acteurs locaux (communes, institutions financières, société civile et entreprises privées) et nationaux à mobiliser et gérer les financements destinés à l'adaptation aux changements climatiques.</w:t>
      </w:r>
    </w:p>
    <w:p w:rsidR="007471D2" w:rsidRPr="007471D2" w:rsidRDefault="007471D2" w:rsidP="007471D2">
      <w:pPr>
        <w:rPr>
          <w:rFonts w:ascii="Times New Roman" w:hAnsi="Times New Roman"/>
          <w:sz w:val="24"/>
          <w:lang w:eastAsia="fr-FR" w:bidi="fr-FR"/>
        </w:rPr>
      </w:pPr>
    </w:p>
    <w:p w:rsidR="007471D2" w:rsidRPr="007471D2" w:rsidRDefault="007471D2" w:rsidP="007471D2">
      <w:pPr>
        <w:rPr>
          <w:rFonts w:ascii="Times New Roman" w:hAnsi="Times New Roman"/>
          <w:sz w:val="24"/>
          <w:lang w:eastAsia="fr-FR" w:bidi="fr-FR"/>
        </w:rPr>
      </w:pPr>
      <w:r w:rsidRPr="007471D2">
        <w:rPr>
          <w:rFonts w:ascii="Times New Roman" w:hAnsi="Times New Roman"/>
          <w:sz w:val="24"/>
          <w:lang w:eastAsia="fr-FR" w:bidi="fr-FR"/>
        </w:rPr>
        <w:t>Cet</w:t>
      </w:r>
      <w:r w:rsidR="004D7D6F">
        <w:rPr>
          <w:rFonts w:ascii="Times New Roman" w:hAnsi="Times New Roman"/>
          <w:sz w:val="24"/>
          <w:lang w:eastAsia="fr-FR" w:bidi="fr-FR"/>
        </w:rPr>
        <w:t>te</w:t>
      </w:r>
      <w:r w:rsidRPr="007471D2">
        <w:rPr>
          <w:rFonts w:ascii="Times New Roman" w:hAnsi="Times New Roman"/>
          <w:sz w:val="24"/>
          <w:lang w:eastAsia="fr-FR" w:bidi="fr-FR"/>
        </w:rPr>
        <w:t xml:space="preserve"> </w:t>
      </w:r>
      <w:r w:rsidR="004D7D6F">
        <w:rPr>
          <w:rFonts w:ascii="Times New Roman" w:hAnsi="Times New Roman"/>
          <w:sz w:val="24"/>
          <w:lang w:eastAsia="fr-FR" w:bidi="fr-FR"/>
        </w:rPr>
        <w:t>barrière</w:t>
      </w:r>
      <w:r w:rsidR="004D7D6F" w:rsidRPr="007471D2">
        <w:rPr>
          <w:rFonts w:ascii="Times New Roman" w:hAnsi="Times New Roman"/>
          <w:sz w:val="24"/>
          <w:lang w:eastAsia="fr-FR" w:bidi="fr-FR"/>
        </w:rPr>
        <w:t xml:space="preserve"> </w:t>
      </w:r>
      <w:r w:rsidRPr="007471D2">
        <w:rPr>
          <w:rFonts w:ascii="Times New Roman" w:hAnsi="Times New Roman"/>
          <w:sz w:val="24"/>
          <w:lang w:eastAsia="fr-FR" w:bidi="fr-FR"/>
        </w:rPr>
        <w:t>comprend trois sous-composantes :</w:t>
      </w: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des ressources limitées pour le financement de l'adaptation aux changements climatique</w:t>
      </w:r>
      <w:r w:rsidR="002E6C8F">
        <w:rPr>
          <w:rFonts w:ascii="Times New Roman" w:hAnsi="Times New Roman"/>
          <w:sz w:val="24"/>
          <w:u w:val="single"/>
          <w:lang w:eastAsia="fr-FR" w:bidi="fr-FR"/>
        </w:rPr>
        <w:t xml:space="preserve">s </w:t>
      </w:r>
      <w:r w:rsidRPr="007471D2">
        <w:rPr>
          <w:rFonts w:ascii="Times New Roman" w:hAnsi="Times New Roman"/>
          <w:sz w:val="24"/>
          <w:u w:val="single"/>
          <w:lang w:eastAsia="fr-FR" w:bidi="fr-FR"/>
        </w:rPr>
        <w:t>au niveau local.</w:t>
      </w:r>
      <w:r w:rsidRPr="007471D2">
        <w:rPr>
          <w:rFonts w:ascii="Times New Roman" w:hAnsi="Times New Roman"/>
          <w:sz w:val="24"/>
          <w:lang w:eastAsia="fr-FR" w:bidi="fr-FR"/>
        </w:rPr>
        <w:t xml:space="preserve"> Le Ministère de l'</w:t>
      </w:r>
      <w:r w:rsidR="004D7D6F">
        <w:rPr>
          <w:rFonts w:ascii="Times New Roman" w:hAnsi="Times New Roman"/>
          <w:sz w:val="24"/>
          <w:lang w:eastAsia="fr-FR" w:bidi="fr-FR"/>
        </w:rPr>
        <w:t>E</w:t>
      </w:r>
      <w:r w:rsidRPr="007471D2">
        <w:rPr>
          <w:rFonts w:ascii="Times New Roman" w:hAnsi="Times New Roman"/>
          <w:sz w:val="24"/>
          <w:lang w:eastAsia="fr-FR" w:bidi="fr-FR"/>
        </w:rPr>
        <w:t xml:space="preserve">conomie, des </w:t>
      </w:r>
      <w:r w:rsidR="004D7D6F">
        <w:rPr>
          <w:rFonts w:ascii="Times New Roman" w:hAnsi="Times New Roman"/>
          <w:sz w:val="24"/>
          <w:lang w:eastAsia="fr-FR" w:bidi="fr-FR"/>
        </w:rPr>
        <w:t>F</w:t>
      </w:r>
      <w:r w:rsidRPr="007471D2">
        <w:rPr>
          <w:rFonts w:ascii="Times New Roman" w:hAnsi="Times New Roman"/>
          <w:sz w:val="24"/>
          <w:lang w:eastAsia="fr-FR" w:bidi="fr-FR"/>
        </w:rPr>
        <w:t xml:space="preserve">inances et du </w:t>
      </w:r>
      <w:r w:rsidR="004D7D6F">
        <w:rPr>
          <w:rFonts w:ascii="Times New Roman" w:hAnsi="Times New Roman"/>
          <w:sz w:val="24"/>
          <w:lang w:eastAsia="fr-FR" w:bidi="fr-FR"/>
        </w:rPr>
        <w:t>P</w:t>
      </w:r>
      <w:r w:rsidRPr="007471D2">
        <w:rPr>
          <w:rFonts w:ascii="Times New Roman" w:hAnsi="Times New Roman"/>
          <w:sz w:val="24"/>
          <w:lang w:eastAsia="fr-FR" w:bidi="fr-FR"/>
        </w:rPr>
        <w:t>lan reconnait que les ressources issues de fonds de dotation ne représente</w:t>
      </w:r>
      <w:r w:rsidR="00A72504">
        <w:rPr>
          <w:rFonts w:ascii="Times New Roman" w:hAnsi="Times New Roman"/>
          <w:sz w:val="24"/>
          <w:lang w:eastAsia="fr-FR" w:bidi="fr-FR"/>
        </w:rPr>
        <w:t>nt</w:t>
      </w:r>
      <w:r w:rsidRPr="007471D2">
        <w:rPr>
          <w:rFonts w:ascii="Times New Roman" w:hAnsi="Times New Roman"/>
          <w:sz w:val="24"/>
          <w:lang w:eastAsia="fr-FR" w:bidi="fr-FR"/>
        </w:rPr>
        <w:t xml:space="preserve"> que 20 % des besoins des communes. Le budget des communes se révèle être restreint et celui de l'environnement, secteur représentant un élément clé pour les communes, est </w:t>
      </w:r>
      <w:r w:rsidR="00FA2102">
        <w:rPr>
          <w:rFonts w:ascii="Times New Roman" w:hAnsi="Times New Roman"/>
          <w:sz w:val="24"/>
          <w:lang w:eastAsia="fr-FR" w:bidi="fr-FR"/>
        </w:rPr>
        <w:t>piètrement alloué</w:t>
      </w:r>
      <w:r w:rsidRPr="007471D2">
        <w:rPr>
          <w:rFonts w:ascii="Times New Roman" w:hAnsi="Times New Roman"/>
          <w:sz w:val="24"/>
          <w:lang w:eastAsia="fr-FR" w:bidi="fr-FR"/>
        </w:rPr>
        <w:t>. Pour les 15 communes ciblées par le projet, le budget annuel varie entre 90</w:t>
      </w:r>
      <w:r w:rsidR="003B7D35">
        <w:rPr>
          <w:rFonts w:ascii="Times New Roman" w:hAnsi="Times New Roman"/>
          <w:sz w:val="24"/>
          <w:lang w:eastAsia="fr-FR" w:bidi="fr-FR"/>
        </w:rPr>
        <w:t> 000 USD et 400 </w:t>
      </w:r>
      <w:r w:rsidRPr="007471D2">
        <w:rPr>
          <w:rFonts w:ascii="Times New Roman" w:hAnsi="Times New Roman"/>
          <w:sz w:val="24"/>
          <w:lang w:eastAsia="fr-FR" w:bidi="fr-FR"/>
        </w:rPr>
        <w:t xml:space="preserve">000 USD. La part du budget alloué à l'environnement ne dépasse jamais 1 %. </w:t>
      </w:r>
      <w:r w:rsidR="00FA2102">
        <w:rPr>
          <w:rFonts w:ascii="Times New Roman" w:hAnsi="Times New Roman"/>
          <w:sz w:val="24"/>
          <w:lang w:eastAsia="fr-FR" w:bidi="fr-FR"/>
        </w:rPr>
        <w:t>Dans cette part, a</w:t>
      </w:r>
      <w:r w:rsidRPr="007471D2">
        <w:rPr>
          <w:rFonts w:ascii="Times New Roman" w:hAnsi="Times New Roman"/>
          <w:sz w:val="24"/>
          <w:lang w:eastAsia="fr-FR" w:bidi="fr-FR"/>
        </w:rPr>
        <w:t xml:space="preserve">ucun financement </w:t>
      </w:r>
      <w:r w:rsidR="00FA2102">
        <w:rPr>
          <w:rFonts w:ascii="Times New Roman" w:hAnsi="Times New Roman"/>
          <w:sz w:val="24"/>
          <w:lang w:eastAsia="fr-FR" w:bidi="fr-FR"/>
        </w:rPr>
        <w:t>n’a été alloué à</w:t>
      </w:r>
      <w:r w:rsidRPr="007471D2">
        <w:rPr>
          <w:rFonts w:ascii="Times New Roman" w:hAnsi="Times New Roman"/>
          <w:sz w:val="24"/>
          <w:lang w:eastAsia="fr-FR" w:bidi="fr-FR"/>
        </w:rPr>
        <w:t xml:space="preserve"> l'adaptation aux changements climatiques. </w:t>
      </w:r>
      <w:r w:rsidR="00FA2102">
        <w:rPr>
          <w:rFonts w:ascii="Times New Roman" w:hAnsi="Times New Roman"/>
          <w:sz w:val="24"/>
          <w:lang w:eastAsia="fr-FR" w:bidi="fr-FR"/>
        </w:rPr>
        <w:t>Des</w:t>
      </w:r>
      <w:r w:rsidR="00FA2102" w:rsidRPr="007471D2">
        <w:rPr>
          <w:rFonts w:ascii="Times New Roman" w:hAnsi="Times New Roman"/>
          <w:sz w:val="24"/>
          <w:lang w:eastAsia="fr-FR" w:bidi="fr-FR"/>
        </w:rPr>
        <w:t xml:space="preserve"> </w:t>
      </w:r>
      <w:r w:rsidR="00FA2102">
        <w:rPr>
          <w:rFonts w:ascii="Times New Roman" w:hAnsi="Times New Roman"/>
          <w:sz w:val="24"/>
          <w:lang w:eastAsia="fr-FR" w:bidi="fr-FR"/>
        </w:rPr>
        <w:t>financements</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à la fois internes (impôts locaux) et externes doivent être </w:t>
      </w:r>
      <w:r w:rsidR="00FA2102">
        <w:rPr>
          <w:rFonts w:ascii="Times New Roman" w:hAnsi="Times New Roman"/>
          <w:sz w:val="24"/>
          <w:lang w:eastAsia="fr-FR" w:bidi="fr-FR"/>
        </w:rPr>
        <w:t>développés</w:t>
      </w:r>
      <w:r w:rsidRPr="007471D2">
        <w:rPr>
          <w:rFonts w:ascii="Times New Roman" w:hAnsi="Times New Roman"/>
          <w:sz w:val="24"/>
          <w:lang w:eastAsia="fr-FR" w:bidi="fr-FR"/>
        </w:rPr>
        <w:t xml:space="preserve">. Peu de communes ont intégré l'adaptation aux changements climatiques dans leurs plans de développement et aucune d'entre elles ne dispose d'un plan d'activité détaillé. La plupart des bailleurs de fonds exigent un budget et un cofinancement comme condition préalable au financement. </w:t>
      </w:r>
      <w:r w:rsidR="00305E03">
        <w:rPr>
          <w:rFonts w:ascii="Times New Roman" w:hAnsi="Times New Roman"/>
          <w:sz w:val="24"/>
          <w:lang w:eastAsia="fr-FR" w:bidi="fr-FR"/>
        </w:rPr>
        <w:t>L</w:t>
      </w:r>
      <w:r w:rsidR="00FA2102">
        <w:rPr>
          <w:rFonts w:ascii="Times New Roman" w:hAnsi="Times New Roman"/>
          <w:sz w:val="24"/>
          <w:lang w:eastAsia="fr-FR" w:bidi="fr-FR"/>
        </w:rPr>
        <w:t>’existence de</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plans d'action adaptables et de bonne qualité doit être un impératif pour toutes les communes. Ces dernières, conjointement avec la société civile et les comités villageois et intervillageois, ont besoin de renforcer leurs capacités à rédiger des documents de financement, </w:t>
      </w:r>
      <w:r w:rsidR="00FA2102">
        <w:rPr>
          <w:rFonts w:ascii="Times New Roman" w:hAnsi="Times New Roman"/>
          <w:sz w:val="24"/>
          <w:lang w:eastAsia="fr-FR" w:bidi="fr-FR"/>
        </w:rPr>
        <w:t>à</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gérer les financements et </w:t>
      </w:r>
      <w:r w:rsidR="00FA2102">
        <w:rPr>
          <w:rFonts w:ascii="Times New Roman" w:hAnsi="Times New Roman"/>
          <w:sz w:val="24"/>
          <w:lang w:eastAsia="fr-FR" w:bidi="fr-FR"/>
        </w:rPr>
        <w:t>à</w:t>
      </w:r>
      <w:r w:rsidR="00FA2102" w:rsidRPr="007471D2">
        <w:rPr>
          <w:rFonts w:ascii="Times New Roman" w:hAnsi="Times New Roman"/>
          <w:sz w:val="24"/>
          <w:lang w:eastAsia="fr-FR" w:bidi="fr-FR"/>
        </w:rPr>
        <w:t xml:space="preserve"> </w:t>
      </w:r>
      <w:r w:rsidR="00FA2102">
        <w:rPr>
          <w:rFonts w:ascii="Times New Roman" w:hAnsi="Times New Roman"/>
          <w:sz w:val="24"/>
          <w:lang w:eastAsia="fr-FR" w:bidi="fr-FR"/>
        </w:rPr>
        <w:t>suivre</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les résultats </w:t>
      </w:r>
      <w:r w:rsidR="00FA2102">
        <w:rPr>
          <w:rFonts w:ascii="Times New Roman" w:hAnsi="Times New Roman"/>
          <w:sz w:val="24"/>
          <w:lang w:eastAsia="fr-FR" w:bidi="fr-FR"/>
        </w:rPr>
        <w:t xml:space="preserve">et impacts </w:t>
      </w:r>
      <w:r w:rsidRPr="007471D2">
        <w:rPr>
          <w:rFonts w:ascii="Times New Roman" w:hAnsi="Times New Roman"/>
          <w:sz w:val="24"/>
          <w:lang w:eastAsia="fr-FR" w:bidi="fr-FR"/>
        </w:rPr>
        <w:t>du projet.</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Une étape importante </w:t>
      </w:r>
      <w:r w:rsidR="006B6DAC">
        <w:rPr>
          <w:rFonts w:ascii="Times New Roman" w:hAnsi="Times New Roman"/>
          <w:sz w:val="24"/>
          <w:lang w:eastAsia="fr-FR" w:bidi="fr-FR"/>
        </w:rPr>
        <w:t>dans le</w:t>
      </w:r>
      <w:r w:rsidRPr="007471D2">
        <w:rPr>
          <w:rFonts w:ascii="Times New Roman" w:hAnsi="Times New Roman"/>
          <w:sz w:val="24"/>
          <w:lang w:eastAsia="fr-FR" w:bidi="fr-FR"/>
        </w:rPr>
        <w:t xml:space="preserve"> financement </w:t>
      </w:r>
      <w:r w:rsidR="006B6DAC">
        <w:rPr>
          <w:rFonts w:ascii="Times New Roman" w:hAnsi="Times New Roman"/>
          <w:sz w:val="24"/>
          <w:lang w:eastAsia="fr-FR" w:bidi="fr-FR"/>
        </w:rPr>
        <w:t>des actions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contre le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a été franchise en 2015 avec l'é</w:t>
      </w:r>
      <w:r w:rsidR="00A72504">
        <w:rPr>
          <w:rFonts w:ascii="Times New Roman" w:hAnsi="Times New Roman"/>
          <w:sz w:val="24"/>
          <w:lang w:eastAsia="fr-FR" w:bidi="fr-FR"/>
        </w:rPr>
        <w:t>tablissement du Fonds national c</w:t>
      </w:r>
      <w:r w:rsidRPr="007471D2">
        <w:rPr>
          <w:rFonts w:ascii="Times New Roman" w:hAnsi="Times New Roman"/>
          <w:sz w:val="24"/>
          <w:lang w:eastAsia="fr-FR" w:bidi="fr-FR"/>
        </w:rPr>
        <w:t>limat (FNC). Ce fonds est administ</w:t>
      </w:r>
      <w:r w:rsidR="00A72504">
        <w:rPr>
          <w:rFonts w:ascii="Times New Roman" w:hAnsi="Times New Roman"/>
          <w:sz w:val="24"/>
          <w:lang w:eastAsia="fr-FR" w:bidi="fr-FR"/>
        </w:rPr>
        <w:t xml:space="preserve">ré par le Centre de suivi </w:t>
      </w:r>
      <w:r w:rsidR="001519CC" w:rsidRPr="00F82528">
        <w:rPr>
          <w:rFonts w:ascii="Times New Roman" w:hAnsi="Times New Roman"/>
          <w:sz w:val="24"/>
          <w:lang w:eastAsia="fr-FR" w:bidi="fr-FR"/>
        </w:rPr>
        <w:t>Ecologique</w:t>
      </w:r>
      <w:r w:rsidRPr="007471D2">
        <w:rPr>
          <w:rFonts w:ascii="Times New Roman" w:hAnsi="Times New Roman"/>
          <w:sz w:val="24"/>
          <w:lang w:eastAsia="fr-FR" w:bidi="fr-FR"/>
        </w:rPr>
        <w:t xml:space="preserve"> (CSE) et lèvera et gèrera 60 millions de dollars par an afin de lutter contre les </w:t>
      </w:r>
      <w:r w:rsidR="006B6DAC">
        <w:rPr>
          <w:rFonts w:ascii="Times New Roman" w:hAnsi="Times New Roman"/>
          <w:sz w:val="24"/>
          <w:lang w:eastAsia="fr-FR" w:bidi="fr-FR"/>
        </w:rPr>
        <w:t>effets néfastes</w:t>
      </w:r>
      <w:r w:rsidR="006B6DAC" w:rsidRPr="007471D2">
        <w:rPr>
          <w:rFonts w:ascii="Times New Roman" w:hAnsi="Times New Roman"/>
          <w:sz w:val="24"/>
          <w:lang w:eastAsia="fr-FR" w:bidi="fr-FR"/>
        </w:rPr>
        <w:t xml:space="preserve"> </w:t>
      </w:r>
      <w:r w:rsidR="006B6DAC">
        <w:rPr>
          <w:rFonts w:ascii="Times New Roman" w:hAnsi="Times New Roman"/>
          <w:sz w:val="24"/>
          <w:lang w:eastAsia="fr-FR" w:bidi="fr-FR"/>
        </w:rPr>
        <w:t>des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et </w:t>
      </w:r>
      <w:r w:rsidR="006B6DAC">
        <w:rPr>
          <w:rFonts w:ascii="Times New Roman" w:hAnsi="Times New Roman"/>
          <w:sz w:val="24"/>
          <w:lang w:eastAsia="fr-FR" w:bidi="fr-FR"/>
        </w:rPr>
        <w:t>d’assurer un</w:t>
      </w:r>
      <w:r w:rsidRPr="007471D2">
        <w:rPr>
          <w:rFonts w:ascii="Times New Roman" w:hAnsi="Times New Roman"/>
          <w:sz w:val="24"/>
          <w:lang w:eastAsia="fr-FR" w:bidi="fr-FR"/>
        </w:rPr>
        <w:t xml:space="preserve"> développement durable. Cependant, malgré les progrès significatifs en matière de décentralisation, la gestion et l'octroi de fonds pour le climat dépendent toujours d'instances nationales ou d'organisations non gouvernementales (ONG), laissant au gouvernement local ainsi qu'aux communautés locales </w:t>
      </w:r>
      <w:r w:rsidRPr="00F82528">
        <w:rPr>
          <w:rFonts w:ascii="Times New Roman" w:hAnsi="Times New Roman"/>
          <w:sz w:val="24"/>
          <w:lang w:eastAsia="fr-FR" w:bidi="fr-FR"/>
        </w:rPr>
        <w:t>peu</w:t>
      </w:r>
      <w:r w:rsidRPr="007471D2">
        <w:rPr>
          <w:rFonts w:ascii="Times New Roman" w:hAnsi="Times New Roman"/>
          <w:sz w:val="24"/>
          <w:lang w:eastAsia="fr-FR" w:bidi="fr-FR"/>
        </w:rPr>
        <w:t xml:space="preserve"> de contrôle sur les prises de décisions relatives au financement et à la gestion. Leurs préoccupations et leurs priorités ne sont souvent pas suffisamment prises en compte lors de prises de décisions en matière de dépense.</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Au niveau national, il existe un manque de compréhension des </w:t>
      </w:r>
      <w:r w:rsidR="006B6DAC">
        <w:rPr>
          <w:rFonts w:ascii="Times New Roman" w:hAnsi="Times New Roman"/>
          <w:sz w:val="24"/>
          <w:lang w:eastAsia="fr-FR" w:bidi="fr-FR"/>
        </w:rPr>
        <w:t>impacts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d</w:t>
      </w:r>
      <w:r w:rsidR="006B6DAC">
        <w:rPr>
          <w:rFonts w:ascii="Times New Roman" w:hAnsi="Times New Roman"/>
          <w:sz w:val="24"/>
          <w:lang w:eastAsia="fr-FR" w:bidi="fr-FR"/>
        </w:rPr>
        <w:t>es</w:t>
      </w:r>
      <w:r w:rsidRPr="007471D2">
        <w:rPr>
          <w:rFonts w:ascii="Times New Roman" w:hAnsi="Times New Roman"/>
          <w:sz w:val="24"/>
          <w:lang w:eastAsia="fr-FR" w:bidi="fr-FR"/>
        </w:rPr>
        <w:t xml:space="preserve"> 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ce qui entraine une faible implication (du Gouvernement et des entreprises nationales) ainsi qu'une faible priorité accordée au financement et à la mise en œuvre des mesures d'adaptation aux changements climatiques.</w:t>
      </w:r>
    </w:p>
    <w:p w:rsidR="007471D2" w:rsidRPr="007471D2" w:rsidRDefault="007471D2" w:rsidP="007471D2">
      <w:pPr>
        <w:spacing w:after="0"/>
        <w:ind w:left="720"/>
        <w:rPr>
          <w:rFonts w:ascii="Times New Roman" w:hAnsi="Times New Roman"/>
          <w:sz w:val="24"/>
          <w:lang w:eastAsia="fr-FR" w:bidi="fr-FR"/>
        </w:rPr>
      </w:pP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des compétences limitées pour mettre en œuvre des mécanismes de financement novateurs.</w:t>
      </w:r>
      <w:r w:rsidRPr="007471D2">
        <w:rPr>
          <w:rFonts w:ascii="Times New Roman" w:hAnsi="Times New Roman"/>
          <w:sz w:val="24"/>
          <w:lang w:eastAsia="fr-FR" w:bidi="fr-FR"/>
        </w:rPr>
        <w:t xml:space="preserve"> Les communes disposent de l'autorité légale de mettre en œuvre des mécanismes de financement (partena</w:t>
      </w:r>
      <w:r w:rsidR="006B6DAC">
        <w:rPr>
          <w:rFonts w:ascii="Times New Roman" w:hAnsi="Times New Roman"/>
          <w:sz w:val="24"/>
          <w:lang w:eastAsia="fr-FR" w:bidi="fr-FR"/>
        </w:rPr>
        <w:t>riat</w:t>
      </w:r>
      <w:r w:rsidRPr="007471D2">
        <w:rPr>
          <w:rFonts w:ascii="Times New Roman" w:hAnsi="Times New Roman"/>
          <w:sz w:val="24"/>
          <w:lang w:eastAsia="fr-FR" w:bidi="fr-FR"/>
        </w:rPr>
        <w:t xml:space="preserve"> entre secteur public et secteur privé, impôts locaux, etc.) afin </w:t>
      </w:r>
      <w:r w:rsidRPr="007471D2">
        <w:rPr>
          <w:rFonts w:ascii="Times New Roman" w:hAnsi="Times New Roman"/>
          <w:sz w:val="24"/>
          <w:lang w:eastAsia="fr-FR" w:bidi="fr-FR"/>
        </w:rPr>
        <w:lastRenderedPageBreak/>
        <w:t xml:space="preserve">d'appuyer le développement </w:t>
      </w:r>
      <w:r w:rsidR="006B6DAC">
        <w:rPr>
          <w:rFonts w:ascii="Times New Roman" w:hAnsi="Times New Roman"/>
          <w:sz w:val="24"/>
          <w:lang w:eastAsia="fr-FR" w:bidi="fr-FR"/>
        </w:rPr>
        <w:t>résilient</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aux changements climatiques. Cependant, leurs connaissance</w:t>
      </w:r>
      <w:r w:rsidR="005A7A0A">
        <w:rPr>
          <w:rFonts w:ascii="Times New Roman" w:hAnsi="Times New Roman"/>
          <w:sz w:val="24"/>
          <w:lang w:eastAsia="fr-FR" w:bidi="fr-FR"/>
        </w:rPr>
        <w:t>s</w:t>
      </w:r>
      <w:r w:rsidRPr="007471D2">
        <w:rPr>
          <w:rFonts w:ascii="Times New Roman" w:hAnsi="Times New Roman"/>
          <w:sz w:val="24"/>
          <w:lang w:eastAsia="fr-FR" w:bidi="fr-FR"/>
        </w:rPr>
        <w:t xml:space="preserve"> et leur aptitude à faire usage de certains de ces instruments sont limitées.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Par exemple, les RNC (établies au moyen de financement public il y a une décennie), élément</w:t>
      </w:r>
      <w:r w:rsidR="005A7A0A">
        <w:rPr>
          <w:rFonts w:ascii="Times New Roman" w:hAnsi="Times New Roman"/>
          <w:sz w:val="24"/>
          <w:lang w:eastAsia="fr-FR" w:bidi="fr-FR"/>
        </w:rPr>
        <w:t xml:space="preserve">s </w:t>
      </w:r>
      <w:r w:rsidR="00FB009B">
        <w:rPr>
          <w:rFonts w:ascii="Times New Roman" w:hAnsi="Times New Roman"/>
          <w:sz w:val="24"/>
          <w:lang w:eastAsia="fr-FR" w:bidi="fr-FR"/>
        </w:rPr>
        <w:t>clé</w:t>
      </w:r>
      <w:r w:rsidR="00FB009B" w:rsidRPr="007471D2">
        <w:rPr>
          <w:rFonts w:ascii="Times New Roman" w:hAnsi="Times New Roman"/>
          <w:sz w:val="24"/>
          <w:lang w:eastAsia="fr-FR" w:bidi="fr-FR"/>
        </w:rPr>
        <w:t xml:space="preserve"> </w:t>
      </w:r>
      <w:r w:rsidRPr="007471D2">
        <w:rPr>
          <w:rFonts w:ascii="Times New Roman" w:hAnsi="Times New Roman"/>
          <w:sz w:val="24"/>
          <w:lang w:eastAsia="fr-FR" w:bidi="fr-FR"/>
        </w:rPr>
        <w:t>à l'adaptation au</w:t>
      </w:r>
      <w:r w:rsidR="005A7A0A">
        <w:rPr>
          <w:rFonts w:ascii="Times New Roman" w:hAnsi="Times New Roman"/>
          <w:sz w:val="24"/>
          <w:lang w:eastAsia="fr-FR" w:bidi="fr-FR"/>
        </w:rPr>
        <w:t>x changements climatiques, ont</w:t>
      </w:r>
      <w:r w:rsidRPr="007471D2">
        <w:rPr>
          <w:rFonts w:ascii="Times New Roman" w:hAnsi="Times New Roman"/>
          <w:sz w:val="24"/>
          <w:lang w:eastAsia="fr-FR" w:bidi="fr-FR"/>
        </w:rPr>
        <w:t xml:space="preserve"> souffert d'un manque de fonds garantissant leur entretien.</w:t>
      </w:r>
      <w:r w:rsidR="004533D6">
        <w:rPr>
          <w:rFonts w:ascii="Times New Roman" w:hAnsi="Times New Roman"/>
          <w:sz w:val="24"/>
          <w:lang w:eastAsia="fr-FR" w:bidi="fr-FR"/>
        </w:rPr>
        <w:t xml:space="preserve"> </w:t>
      </w:r>
      <w:r w:rsidRPr="007471D2">
        <w:rPr>
          <w:rFonts w:ascii="Times New Roman" w:hAnsi="Times New Roman"/>
          <w:sz w:val="24"/>
          <w:lang w:eastAsia="fr-FR" w:bidi="fr-FR"/>
        </w:rPr>
        <w:t>I</w:t>
      </w:r>
      <w:r w:rsidR="005A7A0A">
        <w:rPr>
          <w:rFonts w:ascii="Times New Roman" w:hAnsi="Times New Roman"/>
          <w:sz w:val="24"/>
          <w:lang w:eastAsia="fr-FR" w:bidi="fr-FR"/>
        </w:rPr>
        <w:t>l est largement considéré que</w:t>
      </w:r>
      <w:r w:rsidRPr="007471D2">
        <w:rPr>
          <w:rFonts w:ascii="Times New Roman" w:hAnsi="Times New Roman"/>
          <w:sz w:val="24"/>
          <w:lang w:eastAsia="fr-FR" w:bidi="fr-FR"/>
        </w:rPr>
        <w:t xml:space="preserve"> les RNC devraient être moins dépendantes du soutien à long terme des bailleurs de fonds que les autres zones protégées. Ces sites devraient être en mesure de générer des revenus à partir de leurs propres ressources naturelles, bien que la majorité de ces revenus soit destinée aux communautés locales. Il existe également une volonté parmi plusieurs communes de collaborer avec des entreprises, ouvrant ainsi </w:t>
      </w:r>
      <w:r w:rsidR="00FB009B">
        <w:rPr>
          <w:rFonts w:ascii="Times New Roman" w:hAnsi="Times New Roman"/>
          <w:sz w:val="24"/>
          <w:lang w:eastAsia="fr-FR" w:bidi="fr-FR"/>
        </w:rPr>
        <w:t>un éventail diversifié d’opportunités</w:t>
      </w:r>
      <w:r w:rsidRPr="007471D2">
        <w:rPr>
          <w:rFonts w:ascii="Times New Roman" w:hAnsi="Times New Roman"/>
          <w:sz w:val="24"/>
          <w:lang w:eastAsia="fr-FR" w:bidi="fr-FR"/>
        </w:rPr>
        <w:t xml:space="preserve"> financières. Parmi les options envisageables figurent les produits certifiés "commerce équitable" ou biologiques tels que la gomme arabique, le sel, la noix de cajou et le </w:t>
      </w:r>
      <w:r w:rsidR="00D8296A">
        <w:rPr>
          <w:rFonts w:ascii="Times New Roman" w:hAnsi="Times New Roman"/>
          <w:sz w:val="24"/>
          <w:lang w:eastAsia="fr-FR" w:bidi="fr-FR"/>
        </w:rPr>
        <w:t>maad</w:t>
      </w:r>
      <w:r w:rsidRPr="007471D2">
        <w:rPr>
          <w:rFonts w:ascii="Times New Roman" w:hAnsi="Times New Roman"/>
          <w:sz w:val="24"/>
          <w:lang w:eastAsia="fr-FR" w:bidi="fr-FR"/>
        </w:rPr>
        <w:t>, l'autorisation de chasse, l'écotourisme et les programmes de responsabilité sociale des entreprises minières, mais jusqu'à présent aucune de ces options n'</w:t>
      </w:r>
      <w:r w:rsidR="00FB009B">
        <w:rPr>
          <w:rFonts w:ascii="Times New Roman" w:hAnsi="Times New Roman"/>
          <w:sz w:val="24"/>
          <w:lang w:eastAsia="fr-FR" w:bidi="fr-FR"/>
        </w:rPr>
        <w:t>a</w:t>
      </w:r>
      <w:r w:rsidRPr="007471D2">
        <w:rPr>
          <w:rFonts w:ascii="Times New Roman" w:hAnsi="Times New Roman"/>
          <w:sz w:val="24"/>
          <w:lang w:eastAsia="fr-FR" w:bidi="fr-FR"/>
        </w:rPr>
        <w:t xml:space="preserve"> été examinée par les communes. Les obstacles actuels sont les suivants : </w:t>
      </w:r>
      <w:r w:rsidR="002E6C8F">
        <w:rPr>
          <w:rFonts w:ascii="Times New Roman" w:hAnsi="Times New Roman"/>
          <w:sz w:val="24"/>
          <w:lang w:eastAsia="fr-FR" w:bidi="fr-FR"/>
        </w:rPr>
        <w:t>l</w:t>
      </w:r>
      <w:r w:rsidRPr="007471D2">
        <w:rPr>
          <w:rFonts w:ascii="Times New Roman" w:hAnsi="Times New Roman"/>
          <w:sz w:val="24"/>
          <w:lang w:eastAsia="fr-FR" w:bidi="fr-FR"/>
        </w:rPr>
        <w:t>es communes ainsi que les ONG ne connaissent généralement pas le monde des entreprises et manquent d'expérience ou de connaissances en matière de création d'opportunités. Elles peuvent être récalcitrantes à l'idée de s'engager dans de nouvelles opportunités commerciales et préfèrent continuer de se concentrer sur l'amélioration de la production de subsistance. Les acheteurs exigent généralement des volumes minimums et une qualité constante. Les années de démarrage se révèlent également problématiques</w:t>
      </w:r>
      <w:r w:rsidR="002E6C8F">
        <w:rPr>
          <w:rFonts w:ascii="Times New Roman" w:hAnsi="Times New Roman"/>
          <w:sz w:val="24"/>
          <w:lang w:eastAsia="fr-FR" w:bidi="fr-FR"/>
        </w:rPr>
        <w:t xml:space="preserve">, </w:t>
      </w:r>
      <w:r w:rsidRPr="007471D2">
        <w:rPr>
          <w:rFonts w:ascii="Times New Roman" w:hAnsi="Times New Roman"/>
          <w:sz w:val="24"/>
          <w:lang w:eastAsia="fr-FR" w:bidi="fr-FR"/>
        </w:rPr>
        <w:t xml:space="preserve">car les producteurs doivent prendre confiance dans leurs produits et peuvent se sentir consternés s'ils n'arrivent pas </w:t>
      </w:r>
      <w:r w:rsidR="001728AE" w:rsidRPr="00F82528">
        <w:rPr>
          <w:rFonts w:ascii="Times New Roman" w:hAnsi="Times New Roman"/>
          <w:sz w:val="24"/>
          <w:lang w:eastAsia="fr-FR" w:bidi="fr-FR"/>
        </w:rPr>
        <w:t>à</w:t>
      </w:r>
      <w:r w:rsidR="001728AE">
        <w:rPr>
          <w:rFonts w:ascii="Times New Roman" w:hAnsi="Times New Roman"/>
          <w:sz w:val="24"/>
          <w:lang w:eastAsia="fr-FR" w:bidi="fr-FR"/>
        </w:rPr>
        <w:t xml:space="preserve"> </w:t>
      </w:r>
      <w:r w:rsidRPr="007471D2">
        <w:rPr>
          <w:rFonts w:ascii="Times New Roman" w:hAnsi="Times New Roman"/>
          <w:sz w:val="24"/>
          <w:lang w:eastAsia="fr-FR" w:bidi="fr-FR"/>
        </w:rPr>
        <w:t>vendre en raison de leur incapacité à respecter les quotas de production.</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D'autres mécanismes de financement novateurs sont disponibles au Sénégal</w:t>
      </w:r>
      <w:r w:rsidR="002E6C8F">
        <w:rPr>
          <w:rFonts w:ascii="Times New Roman" w:hAnsi="Times New Roman"/>
          <w:sz w:val="24"/>
          <w:lang w:eastAsia="fr-FR" w:bidi="fr-FR"/>
        </w:rPr>
        <w:t xml:space="preserve">, </w:t>
      </w:r>
      <w:r w:rsidRPr="007471D2">
        <w:rPr>
          <w:rFonts w:ascii="Times New Roman" w:hAnsi="Times New Roman"/>
          <w:sz w:val="24"/>
          <w:lang w:eastAsia="fr-FR" w:bidi="fr-FR"/>
        </w:rPr>
        <w:t>mais ne sont pas exploités.</w:t>
      </w:r>
      <w:r w:rsidR="004533D6">
        <w:rPr>
          <w:rFonts w:ascii="Times New Roman" w:hAnsi="Times New Roman"/>
          <w:sz w:val="24"/>
          <w:lang w:eastAsia="fr-FR" w:bidi="fr-FR"/>
        </w:rPr>
        <w:t xml:space="preserve"> </w:t>
      </w:r>
      <w:r w:rsidRPr="007471D2">
        <w:rPr>
          <w:rFonts w:ascii="Times New Roman" w:hAnsi="Times New Roman"/>
          <w:sz w:val="24"/>
          <w:lang w:eastAsia="fr-FR" w:bidi="fr-FR"/>
        </w:rPr>
        <w:t xml:space="preserve">Le potentiel de compensation lié à l'exploitation minière est prometteur pour les exploitations aurifères Torogold, Afrigold et Teranga Gold (et sa filiale Sabodala). Alors que le secteur minier est en expansion au Sénégal, l'établissement de compensations pourrait représenter un revenu potentiel de taille pour les acteurs locaux (les communes, les ONG et les comités intervillageois) afin de financer l'adaptation aux changements climatiques dans leur terroir. Plusieurs entreprises de renom se sont engagées à établir des programmes internationaux de RNC (y compris Total et Eiffage, très actifs au Sénégal). En outre, il existe un intérêt grandissant du Gouvernement du Sénégal à identifier les domaines d'amélioration </w:t>
      </w:r>
      <w:r w:rsidR="001F55C9">
        <w:rPr>
          <w:rFonts w:ascii="Times New Roman" w:hAnsi="Times New Roman"/>
          <w:sz w:val="24"/>
          <w:lang w:eastAsia="fr-FR" w:bidi="fr-FR"/>
        </w:rPr>
        <w:t>de</w:t>
      </w:r>
      <w:r w:rsidRPr="007471D2">
        <w:rPr>
          <w:rFonts w:ascii="Times New Roman" w:hAnsi="Times New Roman"/>
          <w:sz w:val="24"/>
          <w:lang w:eastAsia="fr-FR" w:bidi="fr-FR"/>
        </w:rPr>
        <w:t xml:space="preserve"> sa réglementation pour tirer parti de l'industrie des mines, des minéraux et des métaux afin de progresser en matière de développement durable</w:t>
      </w:r>
      <w:r w:rsidRPr="007471D2">
        <w:rPr>
          <w:rFonts w:ascii="Times New Roman" w:hAnsi="Times New Roman"/>
          <w:sz w:val="24"/>
          <w:vertAlign w:val="superscript"/>
          <w:lang w:eastAsia="fr-FR" w:bidi="fr-FR"/>
        </w:rPr>
        <w:footnoteReference w:id="32"/>
      </w:r>
      <w:r w:rsidRPr="007471D2">
        <w:rPr>
          <w:rFonts w:ascii="Times New Roman" w:hAnsi="Times New Roman"/>
          <w:sz w:val="24"/>
          <w:lang w:eastAsia="fr-FR" w:bidi="fr-FR"/>
        </w:rPr>
        <w:t>. Les principa</w:t>
      </w:r>
      <w:r w:rsidR="001F55C9">
        <w:rPr>
          <w:rFonts w:ascii="Times New Roman" w:hAnsi="Times New Roman"/>
          <w:sz w:val="24"/>
          <w:lang w:eastAsia="fr-FR" w:bidi="fr-FR"/>
        </w:rPr>
        <w:t>les</w:t>
      </w:r>
      <w:r w:rsidRPr="007471D2">
        <w:rPr>
          <w:rFonts w:ascii="Times New Roman" w:hAnsi="Times New Roman"/>
          <w:sz w:val="24"/>
          <w:lang w:eastAsia="fr-FR" w:bidi="fr-FR"/>
        </w:rPr>
        <w:t xml:space="preserve"> </w:t>
      </w:r>
      <w:r w:rsidR="001F55C9">
        <w:rPr>
          <w:rFonts w:ascii="Times New Roman" w:hAnsi="Times New Roman"/>
          <w:sz w:val="24"/>
          <w:lang w:eastAsia="fr-FR" w:bidi="fr-FR"/>
        </w:rPr>
        <w:t>barrières</w:t>
      </w:r>
      <w:r w:rsidR="001F55C9" w:rsidRPr="007471D2">
        <w:rPr>
          <w:rFonts w:ascii="Times New Roman" w:hAnsi="Times New Roman"/>
          <w:sz w:val="24"/>
          <w:lang w:eastAsia="fr-FR" w:bidi="fr-FR"/>
        </w:rPr>
        <w:t xml:space="preserve"> </w:t>
      </w:r>
      <w:r w:rsidRPr="007471D2">
        <w:rPr>
          <w:rFonts w:ascii="Times New Roman" w:hAnsi="Times New Roman"/>
          <w:sz w:val="24"/>
          <w:lang w:eastAsia="fr-FR" w:bidi="fr-FR"/>
        </w:rPr>
        <w:t>au Sénégal seront probablement les suivant</w:t>
      </w:r>
      <w:r w:rsidR="001F55C9">
        <w:rPr>
          <w:rFonts w:ascii="Times New Roman" w:hAnsi="Times New Roman"/>
          <w:sz w:val="24"/>
          <w:lang w:eastAsia="fr-FR" w:bidi="fr-FR"/>
        </w:rPr>
        <w:t>e</w:t>
      </w:r>
      <w:r w:rsidR="002E6C8F">
        <w:rPr>
          <w:rFonts w:ascii="Times New Roman" w:hAnsi="Times New Roman"/>
          <w:sz w:val="24"/>
          <w:lang w:eastAsia="fr-FR" w:bidi="fr-FR"/>
        </w:rPr>
        <w:t>s,</w:t>
      </w:r>
      <w:r w:rsidRPr="007471D2">
        <w:rPr>
          <w:rFonts w:ascii="Times New Roman" w:hAnsi="Times New Roman"/>
          <w:sz w:val="24"/>
          <w:lang w:eastAsia="fr-FR" w:bidi="fr-FR"/>
        </w:rPr>
        <w:t xml:space="preserve"> à des degrés </w:t>
      </w:r>
      <w:r w:rsidR="001F55C9">
        <w:rPr>
          <w:rFonts w:ascii="Times New Roman" w:hAnsi="Times New Roman"/>
          <w:sz w:val="24"/>
          <w:lang w:eastAsia="fr-FR" w:bidi="fr-FR"/>
        </w:rPr>
        <w:t>divers</w:t>
      </w:r>
      <w:r w:rsidR="001F55C9" w:rsidRPr="007471D2">
        <w:rPr>
          <w:rFonts w:ascii="Times New Roman" w:hAnsi="Times New Roman"/>
          <w:sz w:val="24"/>
          <w:lang w:eastAsia="fr-FR" w:bidi="fr-FR"/>
        </w:rPr>
        <w:t> </w:t>
      </w:r>
      <w:r w:rsidRPr="007471D2">
        <w:rPr>
          <w:rFonts w:ascii="Times New Roman" w:hAnsi="Times New Roman"/>
          <w:sz w:val="24"/>
          <w:lang w:eastAsia="fr-FR" w:bidi="fr-FR"/>
        </w:rPr>
        <w:t xml:space="preserve">: les ONG craignent que les gisements miniers s'étant avérés rentables n'entrainerait un </w:t>
      </w:r>
      <w:r w:rsidR="001F55C9">
        <w:rPr>
          <w:rFonts w:ascii="Times New Roman" w:hAnsi="Times New Roman"/>
          <w:sz w:val="24"/>
          <w:lang w:eastAsia="fr-FR" w:bidi="fr-FR"/>
        </w:rPr>
        <w:t>revirement</w:t>
      </w:r>
      <w:r w:rsidR="001F55C9"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de la politique du Gouvernement sur ses engagements en matière de conservation en faveur de l'industrie (voir le débat dans la région de Kedougou), et de nombreuses ONG hésitent à s'engager avec les entreprises pour des raisons éthiques ; la plupart des projets restent au stage d'exploration ou de confirmation et les entreprises peuvent raisonnablement refuser les engagements sociaux ainsi que ceux relatifs </w:t>
      </w:r>
      <w:r w:rsidR="00F22AF3">
        <w:rPr>
          <w:rFonts w:ascii="Times New Roman" w:hAnsi="Times New Roman"/>
          <w:sz w:val="24"/>
          <w:lang w:eastAsia="fr-FR" w:bidi="fr-FR"/>
        </w:rPr>
        <w:t>aux changements climatiques</w:t>
      </w:r>
      <w:r w:rsidRPr="007471D2">
        <w:rPr>
          <w:rFonts w:ascii="Times New Roman" w:hAnsi="Times New Roman"/>
          <w:sz w:val="24"/>
          <w:lang w:eastAsia="fr-FR" w:bidi="fr-FR"/>
        </w:rPr>
        <w:t xml:space="preserve"> jusqu'à ce que les décisions de production soient prises ; le secteur de l'industrie extractive attire de plus en plus les entreprises qui n'ont que peu ou pas d'histoire ou d'intérêt à faire plus que leurs exigences contractuelles minimales en matière de compensation et de protection de l'environnement.</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lastRenderedPageBreak/>
        <w:t xml:space="preserve">De plus, le financement participatif possède un fort potentiel pour les projets locaux d'adaptation aux changements climatiques. </w:t>
      </w:r>
      <w:r w:rsidR="002B21FC">
        <w:rPr>
          <w:rFonts w:ascii="Times New Roman" w:hAnsi="Times New Roman"/>
          <w:sz w:val="24"/>
          <w:lang w:eastAsia="fr-FR" w:bidi="fr-FR"/>
        </w:rPr>
        <w:t>les principaux</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obstacles </w:t>
      </w:r>
      <w:r w:rsidR="002B21FC">
        <w:rPr>
          <w:rFonts w:ascii="Times New Roman" w:hAnsi="Times New Roman"/>
          <w:sz w:val="24"/>
          <w:lang w:eastAsia="fr-FR" w:bidi="fr-FR"/>
        </w:rPr>
        <w:t>pour</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les acteurs locaux sont le manque de capacités techniques à mettre en œuvre de tels partenariats grâce à une plateforme de financement participatif.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Enfin, au niveau local, la Direction du financement vert dispose de peu de capacités et a</w:t>
      </w:r>
      <w:r w:rsidR="004533D6">
        <w:rPr>
          <w:rFonts w:ascii="Times New Roman" w:hAnsi="Times New Roman"/>
          <w:sz w:val="24"/>
          <w:lang w:eastAsia="fr-FR" w:bidi="fr-FR"/>
        </w:rPr>
        <w:t xml:space="preserve"> </w:t>
      </w:r>
      <w:r w:rsidRPr="007471D2">
        <w:rPr>
          <w:rFonts w:ascii="Times New Roman" w:hAnsi="Times New Roman"/>
          <w:sz w:val="24"/>
          <w:lang w:eastAsia="fr-FR" w:bidi="fr-FR"/>
        </w:rPr>
        <w:t>très peu de projets concrets en cours d'exécution.</w:t>
      </w:r>
    </w:p>
    <w:p w:rsidR="007471D2" w:rsidRPr="007471D2" w:rsidRDefault="007471D2" w:rsidP="007471D2">
      <w:pPr>
        <w:spacing w:after="0"/>
        <w:ind w:left="720"/>
        <w:rPr>
          <w:rFonts w:ascii="Times New Roman" w:hAnsi="Times New Roman"/>
          <w:sz w:val="24"/>
          <w:lang w:eastAsia="fr-FR" w:bidi="fr-FR"/>
        </w:rPr>
      </w:pP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 xml:space="preserve">un accès limité aux financements pour la population locale afin de diversifier les AGR et de mettre en œuvre des activités </w:t>
      </w:r>
      <w:r w:rsidR="002B21FC">
        <w:rPr>
          <w:rFonts w:ascii="Times New Roman" w:hAnsi="Times New Roman"/>
          <w:sz w:val="24"/>
          <w:u w:val="single"/>
          <w:lang w:eastAsia="fr-FR" w:bidi="fr-FR"/>
        </w:rPr>
        <w:t>résilientes</w:t>
      </w:r>
      <w:r w:rsidRPr="007471D2">
        <w:rPr>
          <w:rFonts w:ascii="Times New Roman" w:hAnsi="Times New Roman"/>
          <w:sz w:val="24"/>
          <w:u w:val="single"/>
          <w:lang w:eastAsia="fr-FR" w:bidi="fr-FR"/>
        </w:rPr>
        <w:t>.</w:t>
      </w:r>
      <w:r w:rsidRPr="007471D2">
        <w:rPr>
          <w:rFonts w:ascii="Times New Roman" w:hAnsi="Times New Roman"/>
          <w:sz w:val="24"/>
          <w:lang w:eastAsia="fr-FR" w:bidi="fr-FR"/>
        </w:rPr>
        <w:t xml:space="preserve"> Le manque généralisé d'accès au crédit agricole est principalement dû à un faible niveau de revenus générés par les activités agricoles. Les établissements de crédit considèrent que les prêts aux petits producteurs sont très risqués. Ce qui est problématique, c'est que la plupart des crédits octroyés sont faibles (environ 100 dollars) et comprennent une période de remboursement très courte (une semaine pour la plupart d'entre eux). Par ailleurs, les taux d'intérêt sont élevés et de nombreux agriculteurs ne sont pas en capacité de rembourser un prêt dans les délais imposés puisque l'activité de leur petite entreprise ne génère pas suffisamment de revenus.</w:t>
      </w:r>
    </w:p>
    <w:p w:rsidR="007471D2" w:rsidRPr="007471D2" w:rsidRDefault="007471D2" w:rsidP="007471D2">
      <w:pPr>
        <w:spacing w:after="0"/>
        <w:ind w:left="720"/>
        <w:contextualSpacing/>
        <w:rPr>
          <w:rFonts w:ascii="Times New Roman" w:hAnsi="Times New Roman"/>
          <w:sz w:val="24"/>
          <w:lang w:eastAsia="fr-FR" w:bidi="fr-FR"/>
        </w:rPr>
      </w:pP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Dans le cadre du PGIES, le Gouvernement a mis en </w:t>
      </w:r>
      <w:r w:rsidR="002B21FC">
        <w:rPr>
          <w:rFonts w:ascii="Times New Roman" w:hAnsi="Times New Roman"/>
          <w:sz w:val="24"/>
          <w:lang w:eastAsia="fr-FR" w:bidi="fr-FR"/>
        </w:rPr>
        <w:t>place</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neuf </w:t>
      </w:r>
      <w:r w:rsidR="002B21FC">
        <w:rPr>
          <w:rFonts w:ascii="Times New Roman" w:hAnsi="Times New Roman"/>
          <w:sz w:val="24"/>
          <w:lang w:eastAsia="fr-FR" w:bidi="fr-FR"/>
        </w:rPr>
        <w:t>institutions</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financi</w:t>
      </w:r>
      <w:r w:rsidR="002B21FC">
        <w:rPr>
          <w:rFonts w:ascii="Times New Roman" w:hAnsi="Times New Roman"/>
          <w:sz w:val="24"/>
          <w:lang w:eastAsia="fr-FR" w:bidi="fr-FR"/>
        </w:rPr>
        <w:t>ères</w:t>
      </w:r>
      <w:r w:rsidRPr="007471D2">
        <w:rPr>
          <w:rFonts w:ascii="Times New Roman" w:hAnsi="Times New Roman"/>
          <w:sz w:val="24"/>
          <w:lang w:eastAsia="fr-FR" w:bidi="fr-FR"/>
        </w:rPr>
        <w:t xml:space="preserve"> (</w:t>
      </w:r>
      <w:r w:rsidRPr="007471D2">
        <w:rPr>
          <w:rFonts w:ascii="Times New Roman" w:hAnsi="Times New Roman"/>
          <w:i/>
          <w:sz w:val="24"/>
          <w:lang w:eastAsia="fr-FR" w:bidi="fr-FR"/>
        </w:rPr>
        <w:t>mutuelle d’épargne et de crédit</w:t>
      </w:r>
      <w:r w:rsidRPr="007471D2">
        <w:rPr>
          <w:rFonts w:ascii="Times New Roman" w:hAnsi="Times New Roman"/>
          <w:sz w:val="24"/>
          <w:lang w:eastAsia="fr-FR" w:bidi="fr-FR"/>
        </w:rPr>
        <w:t xml:space="preserve">, MEC) dans les quatre </w:t>
      </w:r>
      <w:r w:rsidR="002B21FC">
        <w:rPr>
          <w:rFonts w:ascii="Times New Roman" w:hAnsi="Times New Roman"/>
          <w:sz w:val="24"/>
          <w:lang w:eastAsia="fr-FR" w:bidi="fr-FR"/>
        </w:rPr>
        <w:t>sites</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identifiés dans le </w:t>
      </w:r>
      <w:r w:rsidR="002B21FC">
        <w:rPr>
          <w:rFonts w:ascii="Times New Roman" w:hAnsi="Times New Roman"/>
          <w:sz w:val="24"/>
          <w:lang w:eastAsia="fr-FR" w:bidi="fr-FR"/>
        </w:rPr>
        <w:t xml:space="preserve">présent </w:t>
      </w:r>
      <w:r w:rsidRPr="007471D2">
        <w:rPr>
          <w:rFonts w:ascii="Times New Roman" w:hAnsi="Times New Roman"/>
          <w:sz w:val="24"/>
          <w:lang w:eastAsia="fr-FR" w:bidi="fr-FR"/>
        </w:rPr>
        <w:t xml:space="preserve">projet. Alors que </w:t>
      </w:r>
      <w:r w:rsidR="002B21FC">
        <w:rPr>
          <w:rFonts w:ascii="Times New Roman" w:hAnsi="Times New Roman"/>
          <w:sz w:val="24"/>
          <w:lang w:eastAsia="fr-FR" w:bidi="fr-FR"/>
        </w:rPr>
        <w:t>la</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MEC du delta du Saloum obtien</w:t>
      </w:r>
      <w:r w:rsidR="002E6C8F">
        <w:rPr>
          <w:rFonts w:ascii="Times New Roman" w:hAnsi="Times New Roman"/>
          <w:sz w:val="24"/>
          <w:lang w:eastAsia="fr-FR" w:bidi="fr-FR"/>
        </w:rPr>
        <w:t>t</w:t>
      </w:r>
      <w:r w:rsidRPr="007471D2">
        <w:rPr>
          <w:rFonts w:ascii="Times New Roman" w:hAnsi="Times New Roman"/>
          <w:sz w:val="24"/>
          <w:lang w:eastAsia="fr-FR" w:bidi="fr-FR"/>
        </w:rPr>
        <w:t xml:space="preserve"> des r</w:t>
      </w:r>
      <w:r w:rsidR="004533D6">
        <w:rPr>
          <w:rFonts w:ascii="Times New Roman" w:hAnsi="Times New Roman"/>
          <w:sz w:val="24"/>
          <w:lang w:eastAsia="fr-FR" w:bidi="fr-FR"/>
        </w:rPr>
        <w:t>ésultats relativement bons et</w:t>
      </w:r>
      <w:r w:rsidRPr="007471D2">
        <w:rPr>
          <w:rFonts w:ascii="Times New Roman" w:hAnsi="Times New Roman"/>
          <w:sz w:val="24"/>
          <w:lang w:eastAsia="fr-FR" w:bidi="fr-FR"/>
        </w:rPr>
        <w:t xml:space="preserve"> prometteurs, les huit autres MEC ont été confrontées à des obstacles de taille et ne sont pas viables (voir l'annexe F pour plus de détails sur le statut des MEC). Cette situation est expliquée par les éléments suivants : (i) le cadre légal de la microfinance a été renforcé par le Gouvernement dans la mesure où les huit autres MECs ne sont pas enregistrées par la Direction de la régulation et de la supervision (elles n'ont pas obtenu l'approbation officielle du Ministère pour </w:t>
      </w:r>
      <w:r w:rsidR="00FD2EEE">
        <w:rPr>
          <w:rFonts w:ascii="Times New Roman" w:hAnsi="Times New Roman"/>
          <w:sz w:val="24"/>
          <w:lang w:eastAsia="fr-FR" w:bidi="fr-FR"/>
        </w:rPr>
        <w:t>fonctionner</w:t>
      </w:r>
      <w:r w:rsidRPr="007471D2">
        <w:rPr>
          <w:rFonts w:ascii="Times New Roman" w:hAnsi="Times New Roman"/>
          <w:sz w:val="24"/>
          <w:lang w:eastAsia="fr-FR" w:bidi="fr-FR"/>
        </w:rPr>
        <w:t xml:space="preserve">) ; (ii)  les huit MEC souffrent de l'absence d'activités au cours des deux dernières années (aucun mouvement financier n' a été enregistré), par conséquent les MEC se retrouvent aujourd'hui dans une situation financière difficile ; (iii) les MEC opèrent à petite échelle et ne gèrent pas suffisamment d'activités pour être viables. Néanmoins, le diagnostic réalisé dans le cadre </w:t>
      </w:r>
      <w:r w:rsidR="00FD2EEE">
        <w:rPr>
          <w:rFonts w:ascii="Times New Roman" w:hAnsi="Times New Roman"/>
          <w:sz w:val="24"/>
          <w:lang w:eastAsia="fr-FR" w:bidi="fr-FR"/>
        </w:rPr>
        <w:t>du</w:t>
      </w:r>
      <w:r w:rsidR="00FD2EEE" w:rsidRPr="007471D2">
        <w:rPr>
          <w:rFonts w:ascii="Times New Roman" w:hAnsi="Times New Roman"/>
          <w:sz w:val="24"/>
          <w:lang w:eastAsia="fr-FR" w:bidi="fr-FR"/>
        </w:rPr>
        <w:t xml:space="preserve"> </w:t>
      </w:r>
      <w:r w:rsidR="00FD2EEE">
        <w:rPr>
          <w:rFonts w:ascii="Times New Roman" w:hAnsi="Times New Roman"/>
          <w:sz w:val="24"/>
          <w:lang w:eastAsia="fr-FR" w:bidi="fr-FR"/>
        </w:rPr>
        <w:t>PPG</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a montré que la MEC du </w:t>
      </w:r>
      <w:r w:rsidR="00FD2EEE">
        <w:rPr>
          <w:rFonts w:ascii="Times New Roman" w:hAnsi="Times New Roman"/>
          <w:sz w:val="24"/>
          <w:lang w:eastAsia="fr-FR" w:bidi="fr-FR"/>
        </w:rPr>
        <w:t>D</w:t>
      </w:r>
      <w:r w:rsidRPr="007471D2">
        <w:rPr>
          <w:rFonts w:ascii="Times New Roman" w:hAnsi="Times New Roman"/>
          <w:sz w:val="24"/>
          <w:lang w:eastAsia="fr-FR" w:bidi="fr-FR"/>
        </w:rPr>
        <w:t xml:space="preserve">elta du Saloum a été un succès et un puissant outil d'aide à l'accès au crédit pour la population locale. Afin de promouvoir l'accès au crédit agricole, le réseau </w:t>
      </w:r>
      <w:r w:rsidR="00FD2EEE">
        <w:rPr>
          <w:rFonts w:ascii="Times New Roman" w:hAnsi="Times New Roman"/>
          <w:sz w:val="24"/>
          <w:lang w:eastAsia="fr-FR" w:bidi="fr-FR"/>
        </w:rPr>
        <w:t xml:space="preserve">des </w:t>
      </w:r>
      <w:r w:rsidRPr="007471D2">
        <w:rPr>
          <w:rFonts w:ascii="Times New Roman" w:hAnsi="Times New Roman"/>
          <w:sz w:val="24"/>
          <w:lang w:eastAsia="fr-FR" w:bidi="fr-FR"/>
        </w:rPr>
        <w:t xml:space="preserve">MEC devrait être renforcé sur la base de l'expérience réussie du delta du Saloum et </w:t>
      </w:r>
      <w:r w:rsidR="00FD2EEE">
        <w:rPr>
          <w:rFonts w:ascii="Times New Roman" w:hAnsi="Times New Roman"/>
          <w:sz w:val="24"/>
          <w:lang w:eastAsia="fr-FR" w:bidi="fr-FR"/>
        </w:rPr>
        <w:t xml:space="preserve">en établissant </w:t>
      </w:r>
      <w:r w:rsidRPr="007471D2">
        <w:rPr>
          <w:rFonts w:ascii="Times New Roman" w:hAnsi="Times New Roman"/>
          <w:sz w:val="24"/>
          <w:lang w:eastAsia="fr-FR" w:bidi="fr-FR"/>
        </w:rPr>
        <w:t xml:space="preserve">des partenariats avec d'autres institutions financières reconnues. </w:t>
      </w:r>
    </w:p>
    <w:p w:rsidR="007471D2" w:rsidRPr="007471D2" w:rsidRDefault="007471D2" w:rsidP="007471D2">
      <w:pPr>
        <w:rPr>
          <w:rFonts w:ascii="Times New Roman" w:hAnsi="Times New Roman"/>
          <w:sz w:val="24"/>
          <w:lang w:eastAsia="fr-FR" w:bidi="fr-FR"/>
        </w:rPr>
      </w:pPr>
    </w:p>
    <w:p w:rsidR="007471D2" w:rsidRPr="007471D2" w:rsidRDefault="00FD2EEE" w:rsidP="007471D2">
      <w:pPr>
        <w:rPr>
          <w:rFonts w:ascii="Times New Roman" w:hAnsi="Times New Roman"/>
          <w:sz w:val="24"/>
          <w:lang w:eastAsia="fr-FR" w:bidi="fr-FR"/>
        </w:rPr>
      </w:pPr>
      <w:r>
        <w:rPr>
          <w:rFonts w:ascii="Times New Roman" w:hAnsi="Times New Roman"/>
          <w:b/>
          <w:sz w:val="24"/>
          <w:lang w:eastAsia="fr-FR" w:bidi="fr-FR"/>
        </w:rPr>
        <w:t>Barrière</w:t>
      </w:r>
      <w:r w:rsidRPr="007471D2">
        <w:rPr>
          <w:rFonts w:ascii="Times New Roman" w:hAnsi="Times New Roman"/>
          <w:b/>
          <w:sz w:val="24"/>
          <w:lang w:eastAsia="fr-FR" w:bidi="fr-FR"/>
        </w:rPr>
        <w:t> </w:t>
      </w:r>
      <w:r w:rsidR="007471D2" w:rsidRPr="007471D2">
        <w:rPr>
          <w:rFonts w:ascii="Times New Roman" w:hAnsi="Times New Roman"/>
          <w:b/>
          <w:sz w:val="24"/>
          <w:lang w:eastAsia="fr-FR" w:bidi="fr-FR"/>
        </w:rPr>
        <w:t xml:space="preserve">2) La capacité </w:t>
      </w:r>
      <w:r>
        <w:rPr>
          <w:rFonts w:ascii="Times New Roman" w:hAnsi="Times New Roman"/>
          <w:b/>
          <w:sz w:val="24"/>
          <w:lang w:eastAsia="fr-FR" w:bidi="fr-FR"/>
        </w:rPr>
        <w:t>limitée</w:t>
      </w:r>
      <w:r w:rsidRPr="007471D2">
        <w:rPr>
          <w:rFonts w:ascii="Times New Roman" w:hAnsi="Times New Roman"/>
          <w:b/>
          <w:sz w:val="24"/>
          <w:lang w:eastAsia="fr-FR" w:bidi="fr-FR"/>
        </w:rPr>
        <w:t xml:space="preserve"> </w:t>
      </w:r>
      <w:r w:rsidR="007471D2" w:rsidRPr="007471D2">
        <w:rPr>
          <w:rFonts w:ascii="Times New Roman" w:hAnsi="Times New Roman"/>
          <w:b/>
          <w:sz w:val="24"/>
          <w:lang w:eastAsia="fr-FR" w:bidi="fr-FR"/>
        </w:rPr>
        <w:t>des communautés (en particulier les femmes) et des autorités à comprendre l</w:t>
      </w:r>
      <w:r>
        <w:rPr>
          <w:rFonts w:ascii="Times New Roman" w:hAnsi="Times New Roman"/>
          <w:b/>
          <w:sz w:val="24"/>
          <w:lang w:eastAsia="fr-FR" w:bidi="fr-FR"/>
        </w:rPr>
        <w:t>’</w:t>
      </w:r>
      <w:r w:rsidR="007471D2" w:rsidRPr="007471D2">
        <w:rPr>
          <w:rFonts w:ascii="Times New Roman" w:hAnsi="Times New Roman"/>
          <w:b/>
          <w:sz w:val="24"/>
          <w:lang w:eastAsia="fr-FR" w:bidi="fr-FR"/>
        </w:rPr>
        <w:t xml:space="preserve">information </w:t>
      </w:r>
      <w:r>
        <w:rPr>
          <w:rFonts w:ascii="Times New Roman" w:hAnsi="Times New Roman"/>
          <w:b/>
          <w:sz w:val="24"/>
          <w:lang w:eastAsia="fr-FR" w:bidi="fr-FR"/>
        </w:rPr>
        <w:t>sur</w:t>
      </w:r>
      <w:r w:rsidRPr="007471D2">
        <w:rPr>
          <w:rFonts w:ascii="Times New Roman" w:hAnsi="Times New Roman"/>
          <w:b/>
          <w:sz w:val="24"/>
          <w:lang w:eastAsia="fr-FR" w:bidi="fr-FR"/>
        </w:rPr>
        <w:t xml:space="preserve"> </w:t>
      </w:r>
      <w:r>
        <w:rPr>
          <w:rFonts w:ascii="Times New Roman" w:hAnsi="Times New Roman"/>
          <w:b/>
          <w:sz w:val="24"/>
          <w:lang w:eastAsia="fr-FR" w:bidi="fr-FR"/>
        </w:rPr>
        <w:t xml:space="preserve">les </w:t>
      </w:r>
      <w:r w:rsidR="007471D2" w:rsidRPr="007471D2">
        <w:rPr>
          <w:rFonts w:ascii="Times New Roman" w:hAnsi="Times New Roman"/>
          <w:b/>
          <w:sz w:val="24"/>
          <w:lang w:eastAsia="fr-FR" w:bidi="fr-FR"/>
        </w:rPr>
        <w:t>changement</w:t>
      </w:r>
      <w:r>
        <w:rPr>
          <w:rFonts w:ascii="Times New Roman" w:hAnsi="Times New Roman"/>
          <w:b/>
          <w:sz w:val="24"/>
          <w:lang w:eastAsia="fr-FR" w:bidi="fr-FR"/>
        </w:rPr>
        <w:t>s</w:t>
      </w:r>
      <w:r w:rsidR="007471D2" w:rsidRPr="007471D2">
        <w:rPr>
          <w:rFonts w:ascii="Times New Roman" w:hAnsi="Times New Roman"/>
          <w:b/>
          <w:sz w:val="24"/>
          <w:lang w:eastAsia="fr-FR" w:bidi="fr-FR"/>
        </w:rPr>
        <w:t xml:space="preserve"> climatique</w:t>
      </w:r>
      <w:r>
        <w:rPr>
          <w:rFonts w:ascii="Times New Roman" w:hAnsi="Times New Roman"/>
          <w:b/>
          <w:sz w:val="24"/>
          <w:lang w:eastAsia="fr-FR" w:bidi="fr-FR"/>
        </w:rPr>
        <w:t>s</w:t>
      </w:r>
      <w:r w:rsidR="007471D2" w:rsidRPr="007471D2">
        <w:rPr>
          <w:rFonts w:ascii="Times New Roman" w:hAnsi="Times New Roman"/>
          <w:b/>
          <w:sz w:val="24"/>
          <w:lang w:eastAsia="fr-FR" w:bidi="fr-FR"/>
        </w:rPr>
        <w:t xml:space="preserve">, à développer des opportunités et à générer des revenus issus de leurs activités productives </w:t>
      </w:r>
      <w:r>
        <w:rPr>
          <w:rFonts w:ascii="Times New Roman" w:hAnsi="Times New Roman"/>
          <w:b/>
          <w:sz w:val="24"/>
          <w:lang w:eastAsia="fr-FR" w:bidi="fr-FR"/>
        </w:rPr>
        <w:t>résilientes</w:t>
      </w:r>
      <w:r w:rsidR="007471D2" w:rsidRPr="007471D2">
        <w:rPr>
          <w:rFonts w:ascii="Times New Roman" w:hAnsi="Times New Roman"/>
          <w:b/>
          <w:sz w:val="24"/>
          <w:lang w:eastAsia="fr-FR" w:bidi="fr-FR"/>
        </w:rPr>
        <w:t xml:space="preserve"> aux changements climatiques :</w:t>
      </w:r>
    </w:p>
    <w:p w:rsidR="007471D2" w:rsidRPr="007471D2" w:rsidRDefault="007471D2" w:rsidP="007471D2">
      <w:pPr>
        <w:spacing w:after="0"/>
        <w:rPr>
          <w:rFonts w:ascii="Times New Roman" w:hAnsi="Times New Roman"/>
          <w:sz w:val="24"/>
          <w:lang w:eastAsia="fr-FR" w:bidi="fr-FR"/>
        </w:rPr>
      </w:pPr>
    </w:p>
    <w:p w:rsidR="007471D2" w:rsidRPr="007471D2" w:rsidRDefault="007471D2" w:rsidP="007471D2">
      <w:pPr>
        <w:rPr>
          <w:rFonts w:ascii="Times New Roman" w:hAnsi="Times New Roman"/>
          <w:sz w:val="24"/>
          <w:lang w:eastAsia="fr-FR" w:bidi="fr-FR"/>
        </w:rPr>
      </w:pPr>
      <w:r w:rsidRPr="007471D2">
        <w:rPr>
          <w:rFonts w:ascii="Times New Roman" w:hAnsi="Times New Roman"/>
          <w:sz w:val="24"/>
          <w:lang w:eastAsia="fr-FR" w:bidi="fr-FR"/>
        </w:rPr>
        <w:t xml:space="preserve">L'agriculture, l'élevage bovin et les ressources en eaux sont </w:t>
      </w:r>
      <w:r w:rsidR="00FD2EEE">
        <w:rPr>
          <w:rFonts w:ascii="Times New Roman" w:hAnsi="Times New Roman"/>
          <w:sz w:val="24"/>
          <w:lang w:eastAsia="fr-FR" w:bidi="fr-FR"/>
        </w:rPr>
        <w:t>affectés</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par le</w:t>
      </w:r>
      <w:r w:rsidR="00FD2EEE">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FD2EEE">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FD2EEE">
        <w:rPr>
          <w:rFonts w:ascii="Times New Roman" w:hAnsi="Times New Roman"/>
          <w:sz w:val="24"/>
          <w:lang w:eastAsia="fr-FR" w:bidi="fr-FR"/>
        </w:rPr>
        <w:t>s</w:t>
      </w:r>
      <w:r w:rsidRPr="007471D2">
        <w:rPr>
          <w:rFonts w:ascii="Times New Roman" w:hAnsi="Times New Roman"/>
          <w:sz w:val="24"/>
          <w:lang w:eastAsia="fr-FR" w:bidi="fr-FR"/>
        </w:rPr>
        <w:t xml:space="preserve">, mais ces domaines socio-économiques, s'ils sont suffisamment </w:t>
      </w:r>
      <w:r w:rsidR="00FD2EEE">
        <w:rPr>
          <w:rFonts w:ascii="Times New Roman" w:hAnsi="Times New Roman"/>
          <w:sz w:val="24"/>
          <w:lang w:eastAsia="fr-FR" w:bidi="fr-FR"/>
        </w:rPr>
        <w:t>résilients</w:t>
      </w:r>
      <w:r w:rsidRPr="007471D2">
        <w:rPr>
          <w:rFonts w:ascii="Times New Roman" w:hAnsi="Times New Roman"/>
          <w:sz w:val="24"/>
          <w:lang w:eastAsia="fr-FR" w:bidi="fr-FR"/>
        </w:rPr>
        <w:t xml:space="preserve">, font également partie de la solution d'adaptation. Cependant, le renforcement et la diffusion d'activités productives et </w:t>
      </w:r>
      <w:r w:rsidR="00FD2EEE">
        <w:rPr>
          <w:rFonts w:ascii="Times New Roman" w:hAnsi="Times New Roman"/>
          <w:sz w:val="24"/>
          <w:lang w:eastAsia="fr-FR" w:bidi="fr-FR"/>
        </w:rPr>
        <w:t>résilientes</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au climat se heurtent à un certain nombre d'obstacles dans les quatre sites concernés par le projet.</w:t>
      </w:r>
    </w:p>
    <w:p w:rsidR="007471D2" w:rsidRPr="007471D2" w:rsidRDefault="007471D2" w:rsidP="00771667">
      <w:pPr>
        <w:numPr>
          <w:ilvl w:val="0"/>
          <w:numId w:val="55"/>
        </w:numPr>
        <w:spacing w:after="0"/>
        <w:jc w:val="left"/>
        <w:rPr>
          <w:rFonts w:ascii="Times New Roman" w:hAnsi="Times New Roman"/>
          <w:sz w:val="24"/>
          <w:lang w:eastAsia="fr-FR" w:bidi="fr-FR"/>
        </w:rPr>
      </w:pPr>
      <w:r w:rsidRPr="007471D2">
        <w:rPr>
          <w:rFonts w:ascii="Times New Roman" w:hAnsi="Times New Roman"/>
          <w:sz w:val="24"/>
          <w:u w:val="single"/>
          <w:lang w:eastAsia="fr-FR" w:bidi="fr-FR"/>
        </w:rPr>
        <w:lastRenderedPageBreak/>
        <w:t>un accès insuffisant aux intrants et aux infrastructures agricoles, aux</w:t>
      </w:r>
      <w:r w:rsidR="004533D6">
        <w:rPr>
          <w:rFonts w:ascii="Times New Roman" w:hAnsi="Times New Roman"/>
          <w:sz w:val="24"/>
          <w:u w:val="single"/>
          <w:lang w:eastAsia="fr-FR" w:bidi="fr-FR"/>
        </w:rPr>
        <w:t xml:space="preserve"> </w:t>
      </w:r>
      <w:r w:rsidRPr="007471D2">
        <w:rPr>
          <w:rFonts w:ascii="Times New Roman" w:hAnsi="Times New Roman"/>
          <w:sz w:val="24"/>
          <w:u w:val="single"/>
          <w:lang w:eastAsia="fr-FR" w:bidi="fr-FR"/>
        </w:rPr>
        <w:t>informations et aux conseils climatiques pour s'adapter, concevoir, et mettre en œuvre des mesures d'adaptation relatives à l'agriculture, à la foresterie et à l'eau</w:t>
      </w:r>
      <w:r w:rsidRPr="007471D2">
        <w:rPr>
          <w:rFonts w:ascii="Times New Roman" w:hAnsi="Times New Roman"/>
          <w:sz w:val="24"/>
          <w:lang w:eastAsia="fr-FR" w:bidi="fr-FR"/>
        </w:rPr>
        <w:t> : (crédits, semences à cycle court, médicaments pour le bétail),</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Il existe un manque d'information sur le climat (pluies, vent et température) et sur les incidences du changement climatique (quels sont les dommages causés par le changement climatique ? Comment les agriculteurs peuvent-ils changer leurs pratiques à des fins d'adaptation ? Où les agriculteurs peuvent-ils trouver des cultures adaptées ? Etc.). Les </w:t>
      </w:r>
      <w:r w:rsidR="001D6D81">
        <w:rPr>
          <w:rFonts w:ascii="Times New Roman" w:hAnsi="Times New Roman"/>
          <w:sz w:val="24"/>
          <w:lang w:eastAsia="fr-FR" w:bidi="fr-FR"/>
        </w:rPr>
        <w:t>enquêtes</w:t>
      </w:r>
      <w:r w:rsidR="001D6D81"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dans le cadre </w:t>
      </w:r>
      <w:r w:rsidR="001D6D81">
        <w:rPr>
          <w:rFonts w:ascii="Times New Roman" w:hAnsi="Times New Roman"/>
          <w:sz w:val="24"/>
          <w:lang w:eastAsia="fr-FR" w:bidi="fr-FR"/>
        </w:rPr>
        <w:t>du PPG</w:t>
      </w:r>
      <w:r w:rsidRPr="007471D2">
        <w:rPr>
          <w:rFonts w:ascii="Times New Roman" w:hAnsi="Times New Roman"/>
          <w:sz w:val="24"/>
          <w:lang w:eastAsia="fr-FR" w:bidi="fr-FR"/>
        </w:rPr>
        <w:t xml:space="preserve"> montrent qu'aucune des communautés concernées par </w:t>
      </w:r>
      <w:r w:rsidR="001D6D81">
        <w:rPr>
          <w:rFonts w:ascii="Times New Roman" w:hAnsi="Times New Roman"/>
          <w:sz w:val="24"/>
          <w:lang w:eastAsia="fr-FR" w:bidi="fr-FR"/>
        </w:rPr>
        <w:t>ce</w:t>
      </w:r>
      <w:r w:rsidR="001D6D81"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projet n'adopte de stratégie spécifique </w:t>
      </w:r>
      <w:r w:rsidR="001D6D81">
        <w:rPr>
          <w:rFonts w:ascii="Times New Roman" w:hAnsi="Times New Roman"/>
          <w:sz w:val="24"/>
          <w:lang w:eastAsia="fr-FR" w:bidi="fr-FR"/>
        </w:rPr>
        <w:t>d</w:t>
      </w:r>
      <w:r w:rsidRPr="007471D2">
        <w:rPr>
          <w:rFonts w:ascii="Times New Roman" w:hAnsi="Times New Roman"/>
          <w:sz w:val="24"/>
          <w:lang w:eastAsia="fr-FR" w:bidi="fr-FR"/>
        </w:rPr>
        <w:t>'adaptation aux risques climatiques.</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color w:val="000000"/>
          <w:sz w:val="24"/>
          <w:lang w:eastAsia="fr-FR" w:bidi="fr-FR"/>
        </w:rPr>
        <w:t xml:space="preserve">À l'heure actuelle, la disponibilité et l'accessibilité de données météorologiques fiables peuvent être améliorées et étendues pour des prédictions météorologiques plus précises (précipitations, vent et température) au niveau local par l'ANACIM et pour </w:t>
      </w:r>
      <w:r w:rsidR="001D6D81">
        <w:rPr>
          <w:rFonts w:ascii="Times New Roman" w:hAnsi="Times New Roman"/>
          <w:color w:val="000000"/>
          <w:sz w:val="24"/>
          <w:lang w:eastAsia="fr-FR" w:bidi="fr-FR"/>
        </w:rPr>
        <w:t>conseiller</w:t>
      </w:r>
      <w:r w:rsidR="001D6D81" w:rsidRPr="007471D2">
        <w:rPr>
          <w:rFonts w:ascii="Times New Roman" w:hAnsi="Times New Roman"/>
          <w:color w:val="000000"/>
          <w:sz w:val="24"/>
          <w:lang w:eastAsia="fr-FR" w:bidi="fr-FR"/>
        </w:rPr>
        <w:t xml:space="preserve"> les agriculteurs </w:t>
      </w:r>
      <w:r w:rsidR="001D6D81">
        <w:rPr>
          <w:rFonts w:ascii="Times New Roman" w:hAnsi="Times New Roman"/>
          <w:color w:val="000000"/>
          <w:sz w:val="24"/>
          <w:lang w:eastAsia="fr-FR" w:bidi="fr-FR"/>
        </w:rPr>
        <w:t>(</w:t>
      </w:r>
      <w:r w:rsidRPr="007471D2">
        <w:rPr>
          <w:rFonts w:ascii="Times New Roman" w:hAnsi="Times New Roman"/>
          <w:color w:val="000000"/>
          <w:sz w:val="24"/>
          <w:lang w:eastAsia="fr-FR" w:bidi="fr-FR"/>
        </w:rPr>
        <w:t>les ministères et les services techniques compétents</w:t>
      </w:r>
      <w:r w:rsidR="001D6D81">
        <w:rPr>
          <w:rFonts w:ascii="Times New Roman" w:hAnsi="Times New Roman"/>
          <w:color w:val="000000"/>
          <w:sz w:val="24"/>
          <w:lang w:eastAsia="fr-FR" w:bidi="fr-FR"/>
        </w:rPr>
        <w:t>)</w:t>
      </w:r>
      <w:r w:rsidRPr="007471D2">
        <w:rPr>
          <w:rFonts w:ascii="Times New Roman" w:hAnsi="Times New Roman"/>
          <w:color w:val="000000"/>
          <w:sz w:val="24"/>
          <w:lang w:eastAsia="fr-FR" w:bidi="fr-FR"/>
        </w:rPr>
        <w:t xml:space="preserve">. Ces institutions peuvent donc améliorer leur capacité </w:t>
      </w:r>
      <w:r w:rsidR="001D6D81">
        <w:rPr>
          <w:rFonts w:ascii="Times New Roman" w:hAnsi="Times New Roman"/>
          <w:color w:val="000000"/>
          <w:sz w:val="24"/>
          <w:lang w:eastAsia="fr-FR" w:bidi="fr-FR"/>
        </w:rPr>
        <w:t>à générer</w:t>
      </w:r>
      <w:r w:rsidRPr="007471D2">
        <w:rPr>
          <w:rFonts w:ascii="Times New Roman" w:hAnsi="Times New Roman"/>
          <w:color w:val="000000"/>
          <w:sz w:val="24"/>
          <w:lang w:eastAsia="fr-FR" w:bidi="fr-FR"/>
        </w:rPr>
        <w:t xml:space="preserve"> des informations météorologiques pour </w:t>
      </w:r>
      <w:r w:rsidR="001D6D81">
        <w:rPr>
          <w:rFonts w:ascii="Times New Roman" w:hAnsi="Times New Roman"/>
          <w:color w:val="000000"/>
          <w:sz w:val="24"/>
          <w:lang w:eastAsia="fr-FR" w:bidi="fr-FR"/>
        </w:rPr>
        <w:t>leur diffusion</w:t>
      </w:r>
      <w:r w:rsidRPr="007471D2">
        <w:rPr>
          <w:rFonts w:ascii="Times New Roman" w:hAnsi="Times New Roman"/>
          <w:color w:val="000000"/>
          <w:sz w:val="24"/>
          <w:lang w:eastAsia="fr-FR" w:bidi="fr-FR"/>
        </w:rPr>
        <w:t xml:space="preserve"> en temps </w:t>
      </w:r>
      <w:r w:rsidR="001D6D81">
        <w:rPr>
          <w:rFonts w:ascii="Times New Roman" w:hAnsi="Times New Roman"/>
          <w:color w:val="000000"/>
          <w:sz w:val="24"/>
          <w:lang w:eastAsia="fr-FR" w:bidi="fr-FR"/>
        </w:rPr>
        <w:t>utile</w:t>
      </w:r>
      <w:r w:rsidRPr="007471D2">
        <w:rPr>
          <w:rFonts w:ascii="Times New Roman" w:hAnsi="Times New Roman"/>
          <w:color w:val="000000"/>
          <w:sz w:val="24"/>
          <w:lang w:eastAsia="fr-FR" w:bidi="fr-FR"/>
        </w:rPr>
        <w:t>. La transmission d'informations et d'alertes aux communautés locales concernées peut être améliorée. Les moyens suivants ont été expérimentés et devraient être renforcés dans tout le pays : i) la radio ; ii) Internet ; iii) les appels téléphoniques / SMS aux principaux acteurs locaux pour atteindre les villages ; iv) les bulletins d'information hebdomadaires. En outre, la majorité de la population vivant dans les milieux ruraux et couvert</w:t>
      </w:r>
      <w:r w:rsidR="002E6C8F">
        <w:rPr>
          <w:rFonts w:ascii="Times New Roman" w:hAnsi="Times New Roman"/>
          <w:color w:val="000000"/>
          <w:sz w:val="24"/>
          <w:lang w:eastAsia="fr-FR" w:bidi="fr-FR"/>
        </w:rPr>
        <w:t>s</w:t>
      </w:r>
      <w:r w:rsidRPr="007471D2">
        <w:rPr>
          <w:rFonts w:ascii="Times New Roman" w:hAnsi="Times New Roman"/>
          <w:color w:val="000000"/>
          <w:sz w:val="24"/>
          <w:lang w:eastAsia="fr-FR" w:bidi="fr-FR"/>
        </w:rPr>
        <w:t xml:space="preserve"> par le projet n'</w:t>
      </w:r>
      <w:r w:rsidR="002E6C8F">
        <w:rPr>
          <w:rFonts w:ascii="Times New Roman" w:hAnsi="Times New Roman"/>
          <w:color w:val="000000"/>
          <w:sz w:val="24"/>
          <w:lang w:eastAsia="fr-FR" w:bidi="fr-FR"/>
        </w:rPr>
        <w:t>a</w:t>
      </w:r>
      <w:r w:rsidRPr="007471D2">
        <w:rPr>
          <w:rFonts w:ascii="Times New Roman" w:hAnsi="Times New Roman"/>
          <w:color w:val="000000"/>
          <w:sz w:val="24"/>
          <w:lang w:eastAsia="fr-FR" w:bidi="fr-FR"/>
        </w:rPr>
        <w:t xml:space="preserve"> pas la possibilité d'accéder aux informations climatiques.</w:t>
      </w:r>
    </w:p>
    <w:p w:rsidR="007471D2" w:rsidRPr="007471D2" w:rsidRDefault="007471D2" w:rsidP="007471D2">
      <w:pPr>
        <w:spacing w:after="0"/>
        <w:ind w:left="720"/>
        <w:jc w:val="left"/>
        <w:rPr>
          <w:rFonts w:ascii="Times New Roman" w:hAnsi="Times New Roman"/>
          <w:sz w:val="24"/>
          <w:lang w:eastAsia="fr-FR" w:bidi="fr-FR"/>
        </w:rPr>
      </w:pPr>
    </w:p>
    <w:p w:rsidR="007471D2" w:rsidRPr="007471D2" w:rsidRDefault="007471D2" w:rsidP="00771667">
      <w:pPr>
        <w:numPr>
          <w:ilvl w:val="0"/>
          <w:numId w:val="55"/>
        </w:numPr>
        <w:spacing w:after="0"/>
        <w:rPr>
          <w:rFonts w:ascii="Times New Roman" w:hAnsi="Times New Roman"/>
          <w:sz w:val="24"/>
          <w:lang w:eastAsia="fr-FR" w:bidi="fr-FR"/>
        </w:rPr>
      </w:pPr>
      <w:r w:rsidRPr="007471D2">
        <w:rPr>
          <w:rFonts w:ascii="Times New Roman" w:hAnsi="Times New Roman"/>
          <w:sz w:val="24"/>
          <w:u w:val="single"/>
          <w:lang w:eastAsia="fr-FR" w:bidi="fr-FR"/>
        </w:rPr>
        <w:t>des capacités limité</w:t>
      </w:r>
      <w:r w:rsidR="002E6C8F">
        <w:rPr>
          <w:rFonts w:ascii="Times New Roman" w:hAnsi="Times New Roman"/>
          <w:sz w:val="24"/>
          <w:u w:val="single"/>
          <w:lang w:eastAsia="fr-FR" w:bidi="fr-FR"/>
        </w:rPr>
        <w:t>es</w:t>
      </w:r>
      <w:r w:rsidRPr="007471D2">
        <w:rPr>
          <w:rFonts w:ascii="Times New Roman" w:hAnsi="Times New Roman"/>
          <w:sz w:val="24"/>
          <w:u w:val="single"/>
          <w:lang w:eastAsia="fr-FR" w:bidi="fr-FR"/>
        </w:rPr>
        <w:t xml:space="preserve"> </w:t>
      </w:r>
      <w:r w:rsidR="00FB5ADA">
        <w:rPr>
          <w:rFonts w:ascii="Times New Roman" w:hAnsi="Times New Roman"/>
          <w:sz w:val="24"/>
          <w:u w:val="single"/>
          <w:lang w:eastAsia="fr-FR" w:bidi="fr-FR"/>
        </w:rPr>
        <w:t>des</w:t>
      </w:r>
      <w:r w:rsidRPr="007471D2">
        <w:rPr>
          <w:rFonts w:ascii="Times New Roman" w:hAnsi="Times New Roman"/>
          <w:sz w:val="24"/>
          <w:u w:val="single"/>
          <w:lang w:eastAsia="fr-FR" w:bidi="fr-FR"/>
        </w:rPr>
        <w:t xml:space="preserve"> population</w:t>
      </w:r>
      <w:r w:rsidR="00FB5ADA">
        <w:rPr>
          <w:rFonts w:ascii="Times New Roman" w:hAnsi="Times New Roman"/>
          <w:sz w:val="24"/>
          <w:u w:val="single"/>
          <w:lang w:eastAsia="fr-FR" w:bidi="fr-FR"/>
        </w:rPr>
        <w:t>s</w:t>
      </w:r>
      <w:r w:rsidRPr="007471D2">
        <w:rPr>
          <w:rFonts w:ascii="Times New Roman" w:hAnsi="Times New Roman"/>
          <w:sz w:val="24"/>
          <w:u w:val="single"/>
          <w:lang w:eastAsia="fr-FR" w:bidi="fr-FR"/>
        </w:rPr>
        <w:t xml:space="preserve"> </w:t>
      </w:r>
      <w:r w:rsidR="00FB5ADA">
        <w:rPr>
          <w:rFonts w:ascii="Times New Roman" w:hAnsi="Times New Roman"/>
          <w:sz w:val="24"/>
          <w:u w:val="single"/>
          <w:lang w:eastAsia="fr-FR" w:bidi="fr-FR"/>
        </w:rPr>
        <w:t>à</w:t>
      </w:r>
      <w:r w:rsidR="00FB5ADA" w:rsidRPr="007471D2">
        <w:rPr>
          <w:rFonts w:ascii="Times New Roman" w:hAnsi="Times New Roman"/>
          <w:sz w:val="24"/>
          <w:u w:val="single"/>
          <w:lang w:eastAsia="fr-FR" w:bidi="fr-FR"/>
        </w:rPr>
        <w:t xml:space="preserve"> </w:t>
      </w:r>
      <w:r w:rsidRPr="007471D2">
        <w:rPr>
          <w:rFonts w:ascii="Times New Roman" w:hAnsi="Times New Roman"/>
          <w:sz w:val="24"/>
          <w:u w:val="single"/>
          <w:lang w:eastAsia="fr-FR" w:bidi="fr-FR"/>
        </w:rPr>
        <w:t>générer des revenus issus d'activités productives</w:t>
      </w:r>
      <w:r w:rsidR="00FB5ADA">
        <w:rPr>
          <w:rFonts w:ascii="Times New Roman" w:hAnsi="Times New Roman"/>
          <w:sz w:val="24"/>
          <w:u w:val="single"/>
          <w:lang w:eastAsia="fr-FR" w:bidi="fr-FR"/>
        </w:rPr>
        <w:t xml:space="preserve"> résilientes</w:t>
      </w:r>
      <w:r w:rsidRPr="007471D2">
        <w:rPr>
          <w:rFonts w:ascii="Times New Roman" w:hAnsi="Times New Roman"/>
          <w:sz w:val="24"/>
          <w:u w:val="single"/>
          <w:lang w:eastAsia="fr-FR" w:bidi="fr-FR"/>
        </w:rPr>
        <w:t xml:space="preserve">. </w:t>
      </w:r>
      <w:r w:rsidRPr="007471D2">
        <w:rPr>
          <w:rFonts w:ascii="Times New Roman" w:hAnsi="Times New Roman"/>
          <w:sz w:val="24"/>
          <w:lang w:eastAsia="fr-FR" w:bidi="fr-FR"/>
        </w:rPr>
        <w:t xml:space="preserve">Alors que les risques climatiques sont accentués par un système de production dépendant de la pluie, les agriculteurs disposent rarement d'une production diversifiée et leurs activités </w:t>
      </w:r>
      <w:r w:rsidR="00FB5ADA">
        <w:rPr>
          <w:rFonts w:ascii="Times New Roman" w:hAnsi="Times New Roman"/>
          <w:sz w:val="24"/>
          <w:lang w:eastAsia="fr-FR" w:bidi="fr-FR"/>
        </w:rPr>
        <w:t>résilientes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aux changements climatiques ne sont pas encore assez développées. Par exemple, dans les communes de Gandon et de Ndiébène Gandiole, l'eau est devenue tellement salée les dix dernières années que l'agriculture traditionnelle n'était plus possible. La population a développé la production d'huîtres et de sel avec le soutien du PGIES. Cependant, ces </w:t>
      </w:r>
      <w:r w:rsidR="007236BE">
        <w:rPr>
          <w:rFonts w:ascii="Times New Roman" w:hAnsi="Times New Roman"/>
          <w:sz w:val="24"/>
          <w:lang w:eastAsia="fr-FR" w:bidi="fr-FR"/>
        </w:rPr>
        <w:t>chaînes de valeur</w:t>
      </w:r>
      <w:r w:rsidRPr="007471D2">
        <w:rPr>
          <w:rFonts w:ascii="Times New Roman" w:hAnsi="Times New Roman"/>
          <w:sz w:val="24"/>
          <w:lang w:eastAsia="fr-FR" w:bidi="fr-FR"/>
        </w:rPr>
        <w:t xml:space="preserve"> ont besoin d'être mise</w:t>
      </w:r>
      <w:r w:rsidR="002E6C8F">
        <w:rPr>
          <w:rFonts w:ascii="Times New Roman" w:hAnsi="Times New Roman"/>
          <w:sz w:val="24"/>
          <w:lang w:eastAsia="fr-FR" w:bidi="fr-FR"/>
        </w:rPr>
        <w:t xml:space="preserve">s </w:t>
      </w:r>
      <w:r w:rsidRPr="007471D2">
        <w:rPr>
          <w:rFonts w:ascii="Times New Roman" w:hAnsi="Times New Roman"/>
          <w:sz w:val="24"/>
          <w:lang w:eastAsia="fr-FR" w:bidi="fr-FR"/>
        </w:rPr>
        <w:t xml:space="preserve">en œuvre avec une amélioration des techniques de production et de transformation ainsi qu'avec un renforcement du marketing. Un autre exemple est la production de gomme arabique sur le site de Ferlo. Le PGIES a appuyé la plantation d'acacias Sénégal qui sont aujourd'hui productifs. Cependant, les arbres sont peu productifs (la production est estimée à moins de 100 g par arbre alors qu'un arbre peut produire 500 g par an avec les pratiques appropriées), et les aspects commerciaux ne sont pas organisés (les CVD ne sont pas impliqués dans la phase de commercialisation).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De plus, sur le site de Ferlo, le</w:t>
      </w:r>
      <w:r w:rsidR="00FB5ADA">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FB5ADA">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FB5ADA">
        <w:rPr>
          <w:rFonts w:ascii="Times New Roman" w:hAnsi="Times New Roman"/>
          <w:sz w:val="24"/>
          <w:lang w:eastAsia="fr-FR" w:bidi="fr-FR"/>
        </w:rPr>
        <w:t>s</w:t>
      </w:r>
      <w:r w:rsidRPr="007471D2">
        <w:rPr>
          <w:rFonts w:ascii="Times New Roman" w:hAnsi="Times New Roman"/>
          <w:sz w:val="24"/>
          <w:lang w:eastAsia="fr-FR" w:bidi="fr-FR"/>
        </w:rPr>
        <w:t xml:space="preserve"> touche</w:t>
      </w:r>
      <w:r w:rsidR="00FB5ADA">
        <w:rPr>
          <w:rFonts w:ascii="Times New Roman" w:hAnsi="Times New Roman"/>
          <w:sz w:val="24"/>
          <w:lang w:eastAsia="fr-FR" w:bidi="fr-FR"/>
        </w:rPr>
        <w:t>nt</w:t>
      </w:r>
      <w:r w:rsidRPr="007471D2">
        <w:rPr>
          <w:rFonts w:ascii="Times New Roman" w:hAnsi="Times New Roman"/>
          <w:sz w:val="24"/>
          <w:lang w:eastAsia="fr-FR" w:bidi="fr-FR"/>
        </w:rPr>
        <w:t xml:space="preserve"> les activités économiques à cause de la propagation de maladies affectant le bétail, de l'assèchement d'aires d'abreuvement et de la diminution de </w:t>
      </w:r>
      <w:r w:rsidR="00FB5ADA">
        <w:rPr>
          <w:rFonts w:ascii="Times New Roman" w:hAnsi="Times New Roman"/>
          <w:sz w:val="24"/>
          <w:lang w:eastAsia="fr-FR" w:bidi="fr-FR"/>
        </w:rPr>
        <w:t>la disponibilité</w:t>
      </w:r>
      <w:r w:rsidR="00FB5ADA" w:rsidRPr="007471D2">
        <w:rPr>
          <w:rFonts w:ascii="Times New Roman" w:hAnsi="Times New Roman"/>
          <w:sz w:val="24"/>
          <w:lang w:eastAsia="fr-FR" w:bidi="fr-FR"/>
        </w:rPr>
        <w:t xml:space="preserve"> </w:t>
      </w:r>
      <w:r w:rsidR="00FB5ADA">
        <w:rPr>
          <w:rFonts w:ascii="Times New Roman" w:hAnsi="Times New Roman"/>
          <w:sz w:val="24"/>
          <w:lang w:eastAsia="fr-FR" w:bidi="fr-FR"/>
        </w:rPr>
        <w:t xml:space="preserve">du </w:t>
      </w:r>
      <w:r w:rsidRPr="007471D2">
        <w:rPr>
          <w:rFonts w:ascii="Times New Roman" w:hAnsi="Times New Roman"/>
          <w:sz w:val="24"/>
          <w:lang w:eastAsia="fr-FR" w:bidi="fr-FR"/>
        </w:rPr>
        <w:t xml:space="preserve">fourrage. La population locale a identifié </w:t>
      </w:r>
      <w:r w:rsidR="00FB5ADA">
        <w:rPr>
          <w:rFonts w:ascii="Times New Roman" w:hAnsi="Times New Roman"/>
          <w:sz w:val="24"/>
          <w:lang w:eastAsia="fr-FR" w:bidi="fr-FR"/>
        </w:rPr>
        <w:t>quelques opportunités</w:t>
      </w:r>
      <w:r w:rsidRPr="007471D2">
        <w:rPr>
          <w:rFonts w:ascii="Times New Roman" w:hAnsi="Times New Roman"/>
          <w:sz w:val="24"/>
          <w:lang w:eastAsia="fr-FR" w:bidi="fr-FR"/>
        </w:rPr>
        <w:t xml:space="preserve"> (par exemple, la production et la commercialisation du foin issu des </w:t>
      </w:r>
      <w:r w:rsidR="00FB5ADA">
        <w:rPr>
          <w:rFonts w:ascii="Times New Roman" w:hAnsi="Times New Roman"/>
          <w:sz w:val="24"/>
          <w:lang w:eastAsia="fr-FR" w:bidi="fr-FR"/>
        </w:rPr>
        <w:t>pare-feu</w:t>
      </w:r>
      <w:r w:rsidRPr="007471D2">
        <w:rPr>
          <w:rFonts w:ascii="Times New Roman" w:hAnsi="Times New Roman"/>
          <w:sz w:val="24"/>
          <w:lang w:eastAsia="fr-FR" w:bidi="fr-FR"/>
        </w:rPr>
        <w:t xml:space="preserve"> </w:t>
      </w:r>
      <w:r w:rsidR="00FB5ADA">
        <w:rPr>
          <w:rFonts w:ascii="Times New Roman" w:hAnsi="Times New Roman"/>
          <w:sz w:val="24"/>
          <w:lang w:eastAsia="fr-FR" w:bidi="fr-FR"/>
        </w:rPr>
        <w:t>ouverts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pour protéger les RNC). Cependant, elle dispose de capacités techniques et financières </w:t>
      </w:r>
      <w:r w:rsidR="00FB5ADA">
        <w:rPr>
          <w:rFonts w:ascii="Times New Roman" w:hAnsi="Times New Roman"/>
          <w:sz w:val="24"/>
          <w:lang w:eastAsia="fr-FR" w:bidi="fr-FR"/>
        </w:rPr>
        <w:t>limitées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pour mettre en œuvre ces activités productives et génératrices de revenus. </w:t>
      </w:r>
    </w:p>
    <w:p w:rsidR="00797888"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lastRenderedPageBreak/>
        <w:t xml:space="preserve">D'autres activités à fort potentiel d'adaptation aux changements climatiques ont été identifiées dans le cadre </w:t>
      </w:r>
      <w:r w:rsidR="00FB5ADA">
        <w:rPr>
          <w:rFonts w:ascii="Times New Roman" w:hAnsi="Times New Roman"/>
          <w:sz w:val="24"/>
          <w:lang w:eastAsia="fr-FR" w:bidi="fr-FR"/>
        </w:rPr>
        <w:t>du PPG</w:t>
      </w:r>
      <w:r w:rsidRPr="007471D2">
        <w:rPr>
          <w:rFonts w:ascii="Times New Roman" w:hAnsi="Times New Roman"/>
          <w:sz w:val="24"/>
          <w:lang w:eastAsia="fr-FR" w:bidi="fr-FR"/>
        </w:rPr>
        <w:t xml:space="preserve"> (voir l'annexe G) Toutes ces activités productives doivent disposer d'un mécanisme de financement afin de financer l'adaptation aux changements climatiques dans le terroir.</w:t>
      </w:r>
    </w:p>
    <w:p w:rsidR="00797888" w:rsidRDefault="00797888">
      <w:pPr>
        <w:spacing w:after="160" w:line="259" w:lineRule="auto"/>
        <w:jc w:val="left"/>
        <w:rPr>
          <w:rFonts w:ascii="Times New Roman" w:hAnsi="Times New Roman"/>
          <w:sz w:val="24"/>
          <w:lang w:eastAsia="fr-FR" w:bidi="fr-FR"/>
        </w:rPr>
      </w:pPr>
      <w:r>
        <w:rPr>
          <w:rFonts w:ascii="Times New Roman" w:hAnsi="Times New Roman"/>
          <w:sz w:val="24"/>
          <w:lang w:eastAsia="fr-FR" w:bidi="fr-FR"/>
        </w:rPr>
        <w:br w:type="page"/>
      </w:r>
    </w:p>
    <w:p w:rsidR="00797888" w:rsidRPr="007F5D87" w:rsidRDefault="00797888" w:rsidP="00797888">
      <w:pPr>
        <w:pStyle w:val="Titre1"/>
        <w:spacing w:before="0" w:after="0"/>
        <w:jc w:val="left"/>
        <w:rPr>
          <w:rFonts w:ascii="Calibri" w:hAnsi="Calibri"/>
          <w:sz w:val="32"/>
          <w:szCs w:val="28"/>
        </w:rPr>
      </w:pPr>
      <w:bookmarkStart w:id="11" w:name="_Toc496886554"/>
      <w:bookmarkStart w:id="12" w:name="_Toc498638391"/>
      <w:r>
        <w:rPr>
          <w:rFonts w:ascii="Calibri" w:hAnsi="Calibri"/>
          <w:sz w:val="32"/>
        </w:rPr>
        <w:lastRenderedPageBreak/>
        <w:t>Stratégie</w:t>
      </w:r>
      <w:bookmarkEnd w:id="11"/>
      <w:bookmarkEnd w:id="12"/>
      <w:r>
        <w:rPr>
          <w:rFonts w:ascii="Calibri" w:hAnsi="Calibri"/>
          <w:sz w:val="32"/>
        </w:rPr>
        <w:t xml:space="preserve"> </w:t>
      </w:r>
    </w:p>
    <w:p w:rsidR="00797888" w:rsidRDefault="00797888" w:rsidP="00797888"/>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21 → </w:t>
      </w:r>
      <w:r w:rsidR="005634BE" w:rsidRPr="005634BE">
        <w:rPr>
          <w:rFonts w:ascii="Times New Roman" w:eastAsia="Times New Roman" w:hAnsi="Times New Roman"/>
          <w:sz w:val="24"/>
          <w:szCs w:val="22"/>
        </w:rPr>
        <w:t>Le projet financé par le</w:t>
      </w:r>
      <w:r w:rsidR="00FB5ADA">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Fonds pour les PMA contribuera à fournir une solution à long terme qui permettra </w:t>
      </w:r>
      <w:r w:rsidR="002E6781" w:rsidRPr="00F82528">
        <w:rPr>
          <w:rFonts w:ascii="Times New Roman" w:eastAsia="Times New Roman" w:hAnsi="Times New Roman"/>
          <w:sz w:val="24"/>
          <w:szCs w:val="22"/>
        </w:rPr>
        <w:t>de</w:t>
      </w:r>
      <w:r w:rsidR="002E6781">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 xml:space="preserve">promouvoir </w:t>
      </w:r>
      <w:r w:rsidR="005634BE" w:rsidRPr="00A05600">
        <w:rPr>
          <w:rFonts w:ascii="Times New Roman" w:eastAsia="Times New Roman" w:hAnsi="Times New Roman"/>
          <w:sz w:val="24"/>
          <w:szCs w:val="22"/>
        </w:rPr>
        <w:t>la finance novatrice et l’adaptation communautaire dans les communes autour des RNC au Sénégal. La théorie du changement adoptée pour</w:t>
      </w:r>
      <w:r w:rsidR="005634BE" w:rsidRPr="005634BE">
        <w:rPr>
          <w:rFonts w:ascii="Times New Roman" w:eastAsia="Times New Roman" w:hAnsi="Times New Roman"/>
          <w:sz w:val="24"/>
          <w:szCs w:val="22"/>
        </w:rPr>
        <w:t xml:space="preserve"> ce projet consiste à éliminer les </w:t>
      </w:r>
      <w:r w:rsidR="00FB5ADA">
        <w:rPr>
          <w:rFonts w:ascii="Times New Roman" w:eastAsia="Times New Roman" w:hAnsi="Times New Roman"/>
          <w:sz w:val="24"/>
          <w:szCs w:val="22"/>
        </w:rPr>
        <w:t>barrières</w:t>
      </w:r>
      <w:r w:rsidR="00FB5ADA"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évoqué</w:t>
      </w:r>
      <w:r w:rsidR="00FB5ADA">
        <w:rPr>
          <w:rFonts w:ascii="Times New Roman" w:eastAsia="Times New Roman" w:hAnsi="Times New Roman"/>
          <w:sz w:val="24"/>
          <w:szCs w:val="22"/>
        </w:rPr>
        <w:t>e</w:t>
      </w:r>
      <w:r w:rsidR="005634BE" w:rsidRPr="005634BE">
        <w:rPr>
          <w:rFonts w:ascii="Times New Roman" w:eastAsia="Times New Roman" w:hAnsi="Times New Roman"/>
          <w:sz w:val="24"/>
          <w:szCs w:val="22"/>
        </w:rPr>
        <w:t>s dans la section I tout en contribuant à la solution privilégiée évoquée ci-dessous à travers l’att</w:t>
      </w:r>
      <w:r w:rsidR="00F753B3">
        <w:rPr>
          <w:rFonts w:ascii="Times New Roman" w:eastAsia="Times New Roman" w:hAnsi="Times New Roman"/>
          <w:sz w:val="24"/>
          <w:szCs w:val="22"/>
        </w:rPr>
        <w:t>einte des résultats 1 et 2. La F</w:t>
      </w:r>
      <w:r w:rsidR="005634BE" w:rsidRPr="005634BE">
        <w:rPr>
          <w:rFonts w:ascii="Times New Roman" w:eastAsia="Times New Roman" w:hAnsi="Times New Roman"/>
          <w:sz w:val="24"/>
          <w:szCs w:val="22"/>
        </w:rPr>
        <w:t>igure 7 présente le diagramme de la théorie du changement.</w:t>
      </w:r>
    </w:p>
    <w:p w:rsidR="005634BE" w:rsidRPr="005634BE" w:rsidRDefault="005634BE" w:rsidP="005634BE">
      <w:pPr>
        <w:spacing w:after="0"/>
        <w:rPr>
          <w:rFonts w:ascii="Times New Roman" w:eastAsia="Calibri" w:hAnsi="Times New Roman"/>
          <w:noProof/>
          <w:sz w:val="12"/>
          <w:szCs w:val="12"/>
        </w:rPr>
      </w:pPr>
    </w:p>
    <w:p w:rsidR="005634BE" w:rsidRDefault="005634BE" w:rsidP="005634BE">
      <w:pPr>
        <w:spacing w:after="0"/>
        <w:rPr>
          <w:rFonts w:ascii="Times New Roman" w:eastAsia="Times New Roman" w:hAnsi="Times New Roman"/>
          <w:noProof/>
          <w:sz w:val="24"/>
          <w:szCs w:val="22"/>
        </w:rPr>
      </w:pPr>
    </w:p>
    <w:p w:rsidR="002E6781" w:rsidRPr="005634BE" w:rsidRDefault="002E6781" w:rsidP="005634BE">
      <w:pPr>
        <w:spacing w:after="0"/>
        <w:rPr>
          <w:rFonts w:ascii="Times New Roman" w:eastAsia="Times New Roman" w:hAnsi="Times New Roman"/>
          <w:noProof/>
          <w:sz w:val="24"/>
          <w:szCs w:val="22"/>
        </w:rPr>
        <w:sectPr w:rsidR="002E6781" w:rsidRPr="005634BE" w:rsidSect="00F753B3">
          <w:pgSz w:w="12242" w:h="15842" w:code="1"/>
          <w:pgMar w:top="1440" w:right="1440" w:bottom="1440" w:left="1440" w:header="720" w:footer="431" w:gutter="0"/>
          <w:cols w:space="708"/>
          <w:titlePg/>
          <w:docGrid w:linePitch="360"/>
        </w:sectPr>
      </w:pPr>
    </w:p>
    <w:p w:rsidR="005634BE" w:rsidRPr="002E6781" w:rsidRDefault="00F82528" w:rsidP="002E6781">
      <w:pPr>
        <w:rPr>
          <w:rFonts w:ascii="Times New Roman" w:eastAsia="Times New Roman" w:hAnsi="Times New Roman"/>
          <w:b/>
          <w:i/>
          <w:sz w:val="24"/>
          <w:szCs w:val="22"/>
        </w:rPr>
        <w:sectPr w:rsidR="005634BE" w:rsidRPr="002E6781" w:rsidSect="00F753B3">
          <w:pgSz w:w="15842" w:h="12242" w:orient="landscape" w:code="1"/>
          <w:pgMar w:top="1440" w:right="1440" w:bottom="1440" w:left="1440" w:header="720" w:footer="431" w:gutter="0"/>
          <w:cols w:space="708"/>
          <w:titlePg/>
          <w:docGrid w:linePitch="360"/>
        </w:sectPr>
      </w:pPr>
      <w:r>
        <w:rPr>
          <w:noProof/>
          <w:lang w:eastAsia="fr-FR"/>
        </w:rPr>
        <w:lastRenderedPageBreak/>
        <mc:AlternateContent>
          <mc:Choice Requires="wps">
            <w:drawing>
              <wp:anchor distT="0" distB="0" distL="114300" distR="114300" simplePos="0" relativeHeight="251712512" behindDoc="0" locked="0" layoutInCell="1" allowOverlap="1" wp14:anchorId="4BA7FD0F" wp14:editId="0CA7AE11">
                <wp:simplePos x="0" y="0"/>
                <wp:positionH relativeFrom="column">
                  <wp:posOffset>4800600</wp:posOffset>
                </wp:positionH>
                <wp:positionV relativeFrom="paragraph">
                  <wp:posOffset>1600200</wp:posOffset>
                </wp:positionV>
                <wp:extent cx="4114800" cy="571500"/>
                <wp:effectExtent l="0" t="0" r="19050" b="1905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715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 xml:space="preserve">Résultat 2: </w:t>
                            </w:r>
                            <w:r w:rsidRPr="00676B77">
                              <w:t>Les populations vulnérables adoptent des pratiques d'investissement et de résilience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FD0F" id="Zone de texte 47" o:spid="_x0000_s1029" type="#_x0000_t202" style="position:absolute;left:0;text-align:left;margin-left:378pt;margin-top:126pt;width:32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sT0QIAAPsF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" filled="f" strokecolor="black [3213]">
                <v:path arrowok="t"/>
                <v:textbox>
                  <w:txbxContent>
                    <w:p w:rsidR="00061010" w:rsidRPr="00676B77" w:rsidRDefault="00061010" w:rsidP="002E6781">
                      <w:pPr>
                        <w:jc w:val="center"/>
                      </w:pPr>
                      <w:r w:rsidRPr="00676B77">
                        <w:rPr>
                          <w:b/>
                          <w:i/>
                        </w:rPr>
                        <w:t xml:space="preserve">Résultat 2: </w:t>
                      </w:r>
                      <w:r w:rsidRPr="00676B77">
                        <w:t>Les populations vulnérables adoptent des pratiques d'investissement et de résilience</w:t>
                      </w:r>
                    </w:p>
                  </w:txbxContent>
                </v:textbox>
                <w10:wrap type="square"/>
              </v:shape>
            </w:pict>
          </mc:Fallback>
        </mc:AlternateContent>
      </w:r>
      <w:r>
        <w:rPr>
          <w:noProof/>
          <w:lang w:eastAsia="fr-FR"/>
        </w:rPr>
        <mc:AlternateContent>
          <mc:Choice Requires="wps">
            <w:drawing>
              <wp:anchor distT="0" distB="0" distL="114300" distR="114300" simplePos="0" relativeHeight="251727872" behindDoc="0" locked="0" layoutInCell="1" allowOverlap="1" wp14:anchorId="23173356" wp14:editId="28A5FF0D">
                <wp:simplePos x="0" y="0"/>
                <wp:positionH relativeFrom="column">
                  <wp:posOffset>7429500</wp:posOffset>
                </wp:positionH>
                <wp:positionV relativeFrom="paragraph">
                  <wp:posOffset>4665345</wp:posOffset>
                </wp:positionV>
                <wp:extent cx="1577340" cy="1257300"/>
                <wp:effectExtent l="0" t="0" r="22860" b="19050"/>
                <wp:wrapSquare wrapText="bothSides"/>
                <wp:docPr id="1141" name="Zone de texte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34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Capacité limitée de la population à générer des revenus à partir d'activités productives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3356" id="Zone de texte 1141" o:spid="_x0000_s1030" type="#_x0000_t202" style="position:absolute;left:0;text-align:left;margin-left:585pt;margin-top:367.35pt;width:124.2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" filled="f" strokecolor="black [3213]">
                <v:path arrowok="t"/>
                <v:textbox>
                  <w:txbxContent>
                    <w:p w:rsidR="00061010" w:rsidRPr="00FD16A1" w:rsidRDefault="00061010" w:rsidP="002E6781">
                      <w:pPr>
                        <w:jc w:val="center"/>
                      </w:pPr>
                      <w:r w:rsidRPr="00FD16A1">
                        <w:t>Capacité limitée de la population à générer des revenus à partir d'activités productives résilientes</w:t>
                      </w:r>
                    </w:p>
                  </w:txbxContent>
                </v:textbox>
                <w10:wrap type="square"/>
              </v:shape>
            </w:pict>
          </mc:Fallback>
        </mc:AlternateContent>
      </w:r>
      <w:r>
        <w:rPr>
          <w:noProof/>
          <w:lang w:eastAsia="fr-FR"/>
        </w:rPr>
        <mc:AlternateContent>
          <mc:Choice Requires="wps">
            <w:drawing>
              <wp:anchor distT="0" distB="0" distL="114300" distR="114300" simplePos="0" relativeHeight="251719680" behindDoc="0" locked="0" layoutInCell="1" allowOverlap="1" wp14:anchorId="794446CE" wp14:editId="1330F9A3">
                <wp:simplePos x="0" y="0"/>
                <wp:positionH relativeFrom="column">
                  <wp:posOffset>8078470</wp:posOffset>
                </wp:positionH>
                <wp:positionV relativeFrom="paragraph">
                  <wp:posOffset>3421380</wp:posOffset>
                </wp:positionV>
                <wp:extent cx="973455" cy="914400"/>
                <wp:effectExtent l="0" t="0" r="17145" b="19050"/>
                <wp:wrapSquare wrapText="bothSides"/>
                <wp:docPr id="1132" name="Zone de texte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Amélioration de la transmission de l'information (gestion des risques)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46CE" id="Zone de texte 1132" o:spid="_x0000_s1031" type="#_x0000_t202" style="position:absolute;left:0;text-align:left;margin-left:636.1pt;margin-top:269.4pt;width:76.6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" filled="f" strokecolor="black [3213]">
                <v:path arrowok="t"/>
                <v:textbox>
                  <w:txbxContent>
                    <w:p w:rsidR="00061010" w:rsidRPr="00214AE4" w:rsidRDefault="00061010" w:rsidP="002E6781">
                      <w:pPr>
                        <w:jc w:val="center"/>
                      </w:pPr>
                      <w:r w:rsidRPr="00214AE4">
                        <w:t>Amélioration de la transmission de l'information (gestion des risques)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10464" behindDoc="0" locked="0" layoutInCell="1" allowOverlap="1" wp14:anchorId="6F45393C" wp14:editId="4DB1A6EF">
                <wp:simplePos x="0" y="0"/>
                <wp:positionH relativeFrom="column">
                  <wp:posOffset>3767455</wp:posOffset>
                </wp:positionH>
                <wp:positionV relativeFrom="paragraph">
                  <wp:posOffset>-460375</wp:posOffset>
                </wp:positionV>
                <wp:extent cx="1938655" cy="4572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E535B5" w:rsidRDefault="00061010" w:rsidP="002E6781">
                            <w:pPr>
                              <w:rPr>
                                <w:b/>
                                <w:lang w:val="en-GB"/>
                              </w:rPr>
                            </w:pPr>
                            <w:r>
                              <w:rPr>
                                <w:b/>
                                <w:lang w:val="en-GB"/>
                              </w:rPr>
                              <w:t>Théorie du changement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45393C" id="Zone de texte 2" o:spid="_x0000_s1032" type="#_x0000_t202" style="position:absolute;left:0;text-align:left;margin-left:296.65pt;margin-top:-36.25pt;width:152.6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" filled="f" stroked="f">
                <v:textbox>
                  <w:txbxContent>
                    <w:p w:rsidR="00061010" w:rsidRPr="00E535B5" w:rsidRDefault="00061010" w:rsidP="002E6781">
                      <w:pPr>
                        <w:rPr>
                          <w:b/>
                          <w:lang w:val="en-GB"/>
                        </w:rPr>
                      </w:pPr>
                      <w:r>
                        <w:rPr>
                          <w:b/>
                          <w:lang w:val="en-GB"/>
                        </w:rPr>
                        <w:t>Théorie du changement</w:t>
                      </w:r>
                    </w:p>
                  </w:txbxContent>
                </v:textbox>
                <w10:wrap type="square"/>
              </v:shape>
            </w:pict>
          </mc:Fallback>
        </mc:AlternateContent>
      </w:r>
      <w:r w:rsidR="002E6781">
        <w:rPr>
          <w:noProof/>
          <w:lang w:eastAsia="fr-FR"/>
        </w:rPr>
        <mc:AlternateContent>
          <mc:Choice Requires="wps">
            <w:drawing>
              <wp:anchor distT="0" distB="0" distL="114300" distR="114300" simplePos="0" relativeHeight="251743232" behindDoc="0" locked="0" layoutInCell="1" allowOverlap="1" wp14:anchorId="335E0DA5" wp14:editId="3A3E3F38">
                <wp:simplePos x="0" y="0"/>
                <wp:positionH relativeFrom="column">
                  <wp:posOffset>4962525</wp:posOffset>
                </wp:positionH>
                <wp:positionV relativeFrom="paragraph">
                  <wp:posOffset>4838700</wp:posOffset>
                </wp:positionV>
                <wp:extent cx="2466975" cy="1333500"/>
                <wp:effectExtent l="0" t="0" r="9525" b="0"/>
                <wp:wrapSquare wrapText="bothSides"/>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13335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Insuffisance de l'ac</w:t>
                            </w:r>
                            <w:r>
                              <w:t xml:space="preserve">cès aux intrants agricoles et aux </w:t>
                            </w:r>
                            <w:r w:rsidRPr="00FD16A1">
                              <w:t>infrastructure</w:t>
                            </w:r>
                            <w:r>
                              <w:t>s</w:t>
                            </w:r>
                            <w:r w:rsidRPr="00FD16A1">
                              <w:t>, à l'information et aux conseils climatiques pour concevoir et mettre en œuvre des mesures d'adaptation liées à l'agriculture, à la</w:t>
                            </w:r>
                            <w:r>
                              <w:t xml:space="preserve"> foresterie</w:t>
                            </w:r>
                            <w:r w:rsidRPr="00FD16A1">
                              <w:t xml:space="preserve"> et à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0DA5" id="Zone de texte 34" o:spid="_x0000_s1033" type="#_x0000_t202" style="position:absolute;left:0;text-align:left;margin-left:390.75pt;margin-top:381pt;width:194.2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" filled="f" strokecolor="black [3213]">
                <v:path arrowok="t"/>
                <v:textbox>
                  <w:txbxContent>
                    <w:p w:rsidR="00061010" w:rsidRPr="00FD16A1" w:rsidRDefault="00061010" w:rsidP="002E6781">
                      <w:pPr>
                        <w:jc w:val="center"/>
                      </w:pPr>
                      <w:r w:rsidRPr="00FD16A1">
                        <w:t>Insuffisance de l'ac</w:t>
                      </w:r>
                      <w:r>
                        <w:t xml:space="preserve">cès aux intrants agricoles et aux </w:t>
                      </w:r>
                      <w:r w:rsidRPr="00FD16A1">
                        <w:t>infrastructure</w:t>
                      </w:r>
                      <w:r>
                        <w:t>s</w:t>
                      </w:r>
                      <w:r w:rsidRPr="00FD16A1">
                        <w:t>, à l'information et aux conseils climatiques pour concevoir et mettre en œuvre des mesures d'adaptation liées à l'agriculture, à la</w:t>
                      </w:r>
                      <w:r>
                        <w:t xml:space="preserve"> foresterie</w:t>
                      </w:r>
                      <w:r w:rsidRPr="00FD16A1">
                        <w:t xml:space="preserve"> et à l'eau.</w:t>
                      </w:r>
                    </w:p>
                  </w:txbxContent>
                </v:textbox>
                <w10:wrap type="square"/>
              </v:shape>
            </w:pict>
          </mc:Fallback>
        </mc:AlternateContent>
      </w:r>
      <w:r w:rsidR="002E6781">
        <w:rPr>
          <w:noProof/>
          <w:lang w:eastAsia="fr-FR"/>
        </w:rPr>
        <mc:AlternateContent>
          <mc:Choice Requires="wps">
            <w:drawing>
              <wp:anchor distT="0" distB="0" distL="114300" distR="114300" simplePos="0" relativeHeight="251714560" behindDoc="0" locked="0" layoutInCell="1" allowOverlap="1" wp14:anchorId="010C1DBE" wp14:editId="7DB3EEFC">
                <wp:simplePos x="0" y="0"/>
                <wp:positionH relativeFrom="page">
                  <wp:align>left</wp:align>
                </wp:positionH>
                <wp:positionV relativeFrom="paragraph">
                  <wp:posOffset>3309620</wp:posOffset>
                </wp:positionV>
                <wp:extent cx="1242695" cy="1000125"/>
                <wp:effectExtent l="0" t="0" r="0" b="0"/>
                <wp:wrapSquare wrapText="bothSides"/>
                <wp:docPr id="1131" name="Zone de texte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695" cy="1000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 xml:space="preserve">Avec </w:t>
                            </w:r>
                            <w:r>
                              <w:t xml:space="preserve">une </w:t>
                            </w:r>
                            <w:r w:rsidRPr="00FD16A1">
                              <w:t>intervention financée par le Fonds pour les PMA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1DBE" id="Zone de texte 1131" o:spid="_x0000_s1034" type="#_x0000_t202" style="position:absolute;left:0;text-align:left;margin-left:0;margin-top:260.6pt;width:97.85pt;height:78.7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" filled="f" stroked="f">
                <v:textbox>
                  <w:txbxContent>
                    <w:p w:rsidR="00061010" w:rsidRPr="00FD16A1" w:rsidRDefault="00061010" w:rsidP="002E6781">
                      <w:pPr>
                        <w:jc w:val="center"/>
                      </w:pPr>
                      <w:r w:rsidRPr="00FD16A1">
                        <w:t xml:space="preserve">Avec </w:t>
                      </w:r>
                      <w:r>
                        <w:t xml:space="preserve">une </w:t>
                      </w:r>
                      <w:r w:rsidRPr="00FD16A1">
                        <w:t>intervention financée par le Fonds pour les PMA</w:t>
                      </w:r>
                    </w:p>
                  </w:txbxContent>
                </v:textbox>
                <w10:wrap type="square" anchorx="page"/>
              </v:shape>
            </w:pict>
          </mc:Fallback>
        </mc:AlternateContent>
      </w:r>
      <w:r w:rsidR="002E6781">
        <w:rPr>
          <w:noProof/>
          <w:lang w:eastAsia="fr-FR"/>
        </w:rPr>
        <mc:AlternateContent>
          <mc:Choice Requires="wps">
            <w:drawing>
              <wp:anchor distT="0" distB="0" distL="114300" distR="114300" simplePos="0" relativeHeight="251718656" behindDoc="0" locked="0" layoutInCell="1" allowOverlap="1" wp14:anchorId="52C66862" wp14:editId="209F54F7">
                <wp:simplePos x="0" y="0"/>
                <wp:positionH relativeFrom="column">
                  <wp:posOffset>6815455</wp:posOffset>
                </wp:positionH>
                <wp:positionV relativeFrom="paragraph">
                  <wp:posOffset>3424555</wp:posOffset>
                </wp:positionV>
                <wp:extent cx="1266825" cy="914400"/>
                <wp:effectExtent l="0" t="0" r="9525" b="0"/>
                <wp:wrapSquare wrapText="bothSides"/>
                <wp:docPr id="1133" name="Zone de texte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Investissements accrus pour l'adaptation au climat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6862" id="Zone de texte 1133" o:spid="_x0000_s1035" type="#_x0000_t202" style="position:absolute;left:0;text-align:left;margin-left:536.65pt;margin-top:269.65pt;width:99.7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" filled="f" strokecolor="black [3213]">
                <v:path arrowok="t"/>
                <v:textbox>
                  <w:txbxContent>
                    <w:p w:rsidR="00061010" w:rsidRPr="00214AE4" w:rsidRDefault="00061010" w:rsidP="002E6781">
                      <w:pPr>
                        <w:jc w:val="center"/>
                      </w:pPr>
                      <w:r w:rsidRPr="00214AE4">
                        <w:t>Investissements accrus pour l'adaptation au climat</w:t>
                      </w:r>
                    </w:p>
                  </w:txbxContent>
                </v:textbox>
                <w10:wrap type="square"/>
              </v:shape>
            </w:pict>
          </mc:Fallback>
        </mc:AlternateContent>
      </w:r>
      <w:r w:rsidR="002E6781">
        <w:rPr>
          <w:noProof/>
          <w:lang w:eastAsia="fr-FR"/>
        </w:rPr>
        <mc:AlternateContent>
          <mc:Choice Requires="wps">
            <w:drawing>
              <wp:anchor distT="0" distB="0" distL="114300" distR="114300" simplePos="0" relativeHeight="251731968" behindDoc="0" locked="0" layoutInCell="1" allowOverlap="1" wp14:anchorId="1B8B47A6" wp14:editId="49485C75">
                <wp:simplePos x="0" y="0"/>
                <wp:positionH relativeFrom="column">
                  <wp:posOffset>4710430</wp:posOffset>
                </wp:positionH>
                <wp:positionV relativeFrom="paragraph">
                  <wp:posOffset>2167255</wp:posOffset>
                </wp:positionV>
                <wp:extent cx="771525" cy="1114425"/>
                <wp:effectExtent l="57150" t="38100" r="28575" b="66675"/>
                <wp:wrapNone/>
                <wp:docPr id="1134" name="Connecteur droit avec flèch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11144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ED89AA" id="_x0000_t32" coordsize="21600,21600" o:spt="32" o:oned="t" path="m,l21600,21600e" filled="f">
                <v:path arrowok="t" fillok="f" o:connecttype="none"/>
                <o:lock v:ext="edit" shapetype="t"/>
              </v:shapetype>
              <v:shape id="Connecteur droit avec flèche 1134" o:spid="_x0000_s1026" type="#_x0000_t32" style="position:absolute;margin-left:370.9pt;margin-top:170.65pt;width:60.75pt;height:87.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0944" behindDoc="0" locked="0" layoutInCell="1" allowOverlap="1" wp14:anchorId="780FD456" wp14:editId="1251CD4C">
                <wp:simplePos x="0" y="0"/>
                <wp:positionH relativeFrom="column">
                  <wp:posOffset>3767455</wp:posOffset>
                </wp:positionH>
                <wp:positionV relativeFrom="paragraph">
                  <wp:posOffset>2167255</wp:posOffset>
                </wp:positionV>
                <wp:extent cx="714375" cy="1114425"/>
                <wp:effectExtent l="57150" t="38100" r="47625" b="66675"/>
                <wp:wrapNone/>
                <wp:docPr id="1135" name="Connecteur droit avec flèch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11144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4B67E" id="Connecteur droit avec flèche 1135" o:spid="_x0000_s1026" type="#_x0000_t32" style="position:absolute;margin-left:296.65pt;margin-top:170.65pt;width:56.25pt;height:87.7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6608" behindDoc="0" locked="0" layoutInCell="1" allowOverlap="1" wp14:anchorId="673D9F5E" wp14:editId="4217D348">
                <wp:simplePos x="0" y="0"/>
                <wp:positionH relativeFrom="column">
                  <wp:posOffset>4110355</wp:posOffset>
                </wp:positionH>
                <wp:positionV relativeFrom="paragraph">
                  <wp:posOffset>3291205</wp:posOffset>
                </wp:positionV>
                <wp:extent cx="1028700" cy="1047750"/>
                <wp:effectExtent l="0" t="0" r="0" b="0"/>
                <wp:wrapSquare wrapText="bothSides"/>
                <wp:docPr id="1136" name="Zone de texte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0477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 xml:space="preserve">Accès accru </w:t>
                            </w:r>
                            <w:r>
                              <w:t>aux crédits et aux intrants agricoles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9F5E" id="Zone de texte 1136" o:spid="_x0000_s1036" type="#_x0000_t202" style="position:absolute;left:0;text-align:left;margin-left:323.65pt;margin-top:259.15pt;width:81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Rk1gIAAAEG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" filled="f" strokecolor="black [3213]">
                <v:path arrowok="t"/>
                <v:textbox>
                  <w:txbxContent>
                    <w:p w:rsidR="00061010" w:rsidRPr="00214AE4" w:rsidRDefault="00061010" w:rsidP="002E6781">
                      <w:pPr>
                        <w:jc w:val="center"/>
                      </w:pPr>
                      <w:r w:rsidRPr="00214AE4">
                        <w:t xml:space="preserve">Accès accru </w:t>
                      </w:r>
                      <w:r>
                        <w:t>aux crédits et aux intrants agricoles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13536" behindDoc="0" locked="0" layoutInCell="1" allowOverlap="1" wp14:anchorId="27114DD8" wp14:editId="5DE42565">
                <wp:simplePos x="0" y="0"/>
                <wp:positionH relativeFrom="column">
                  <wp:posOffset>528955</wp:posOffset>
                </wp:positionH>
                <wp:positionV relativeFrom="paragraph">
                  <wp:posOffset>3138805</wp:posOffset>
                </wp:positionV>
                <wp:extent cx="1714500" cy="1200150"/>
                <wp:effectExtent l="0" t="0" r="0" b="0"/>
                <wp:wrapSquare wrapText="bothSides"/>
                <wp:docPr id="1137" name="Zone de texte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2001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t>Budget communal supplémentaire consacré à l'adaptation au</w:t>
                            </w:r>
                            <w:r>
                              <w:t>x</w:t>
                            </w:r>
                            <w:r w:rsidRPr="00676B77">
                              <w:t xml:space="preserve"> changement</w:t>
                            </w:r>
                            <w:r>
                              <w:t>s</w:t>
                            </w:r>
                            <w:r w:rsidRPr="00676B77">
                              <w:t xml:space="preserve"> climatique</w:t>
                            </w:r>
                            <w:r>
                              <w:t>s</w:t>
                            </w:r>
                            <w:r w:rsidRPr="00676B77">
                              <w:t xml:space="preserv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4DD8" id="Zone de texte 1137" o:spid="_x0000_s1037" type="#_x0000_t202" style="position:absolute;left:0;text-align:left;margin-left:41.65pt;margin-top:247.15pt;width:13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0W1QIAAAEG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" filled="f" strokecolor="black [3213]">
                <v:path arrowok="t"/>
                <v:textbox>
                  <w:txbxContent>
                    <w:p w:rsidR="00061010" w:rsidRPr="00676B77" w:rsidRDefault="00061010" w:rsidP="002E6781">
                      <w:pPr>
                        <w:jc w:val="center"/>
                      </w:pPr>
                      <w:r w:rsidRPr="00676B77">
                        <w:t>Budget communal supplémentaire consacré à l'adaptation au</w:t>
                      </w:r>
                      <w:r>
                        <w:t>x</w:t>
                      </w:r>
                      <w:r w:rsidRPr="00676B77">
                        <w:t xml:space="preserve"> changement</w:t>
                      </w:r>
                      <w:r>
                        <w:t>s</w:t>
                      </w:r>
                      <w:r w:rsidRPr="00676B77">
                        <w:t xml:space="preserve"> climatique</w:t>
                      </w:r>
                      <w:r>
                        <w:t>s</w:t>
                      </w:r>
                      <w:r w:rsidRPr="00676B77">
                        <w:t xml:space="preserv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28896" behindDoc="0" locked="0" layoutInCell="1" allowOverlap="1" wp14:anchorId="147B69F0" wp14:editId="5D9BD249">
                <wp:simplePos x="0" y="0"/>
                <wp:positionH relativeFrom="column">
                  <wp:posOffset>1071880</wp:posOffset>
                </wp:positionH>
                <wp:positionV relativeFrom="paragraph">
                  <wp:posOffset>2167255</wp:posOffset>
                </wp:positionV>
                <wp:extent cx="1095375" cy="923925"/>
                <wp:effectExtent l="38100" t="38100" r="28575" b="66675"/>
                <wp:wrapNone/>
                <wp:docPr id="1138" name="Connecteur droit avec flèch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75" cy="9239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13A59" id="Connecteur droit avec flèche 1138" o:spid="_x0000_s1026" type="#_x0000_t32" style="position:absolute;margin-left:84.4pt;margin-top:170.65pt;width:86.25pt;height:72.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0704" behindDoc="0" locked="0" layoutInCell="1" allowOverlap="1" wp14:anchorId="3DDF19E7" wp14:editId="32F19586">
                <wp:simplePos x="0" y="0"/>
                <wp:positionH relativeFrom="column">
                  <wp:posOffset>2238375</wp:posOffset>
                </wp:positionH>
                <wp:positionV relativeFrom="paragraph">
                  <wp:posOffset>800100</wp:posOffset>
                </wp:positionV>
                <wp:extent cx="2286000" cy="800100"/>
                <wp:effectExtent l="38100" t="57150" r="0" b="76200"/>
                <wp:wrapNone/>
                <wp:docPr id="1139" name="Connecteur droit avec flèch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0" cy="8001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18D18" id="Connecteur droit avec flèche 1139" o:spid="_x0000_s1026" type="#_x0000_t32" style="position:absolute;margin-left:176.25pt;margin-top:63pt;width:180pt;height:63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1488" behindDoc="0" locked="0" layoutInCell="1" allowOverlap="1" wp14:anchorId="79021104" wp14:editId="5F53B066">
                <wp:simplePos x="0" y="0"/>
                <wp:positionH relativeFrom="column">
                  <wp:posOffset>109855</wp:posOffset>
                </wp:positionH>
                <wp:positionV relativeFrom="paragraph">
                  <wp:posOffset>1595755</wp:posOffset>
                </wp:positionV>
                <wp:extent cx="4343400" cy="628650"/>
                <wp:effectExtent l="0" t="0" r="0" b="0"/>
                <wp:wrapSquare wrapText="bothSides"/>
                <wp:docPr id="1140" name="Zone de texte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6286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 xml:space="preserve">Résultat 1: </w:t>
                            </w:r>
                            <w:r w:rsidRPr="00676B77">
                              <w:t xml:space="preserve">Des mécanismes </w:t>
                            </w:r>
                            <w:r>
                              <w:t>novateurs</w:t>
                            </w:r>
                            <w:r w:rsidRPr="00676B77">
                              <w:t xml:space="preserve"> financent les actions d'adaptation au</w:t>
                            </w:r>
                            <w:r>
                              <w:t>x</w:t>
                            </w:r>
                            <w:r w:rsidRPr="00676B77">
                              <w:t xml:space="preserve"> changement</w:t>
                            </w:r>
                            <w:r>
                              <w:t>s</w:t>
                            </w:r>
                            <w:r w:rsidRPr="00676B77">
                              <w:t xml:space="preserve"> climatique</w:t>
                            </w:r>
                            <w:r>
                              <w:t>s</w:t>
                            </w:r>
                            <w:r w:rsidRPr="00676B77">
                              <w:t xml:space="preserve"> à long terme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1104" id="Zone de texte 1140" o:spid="_x0000_s1038" type="#_x0000_t202" style="position:absolute;left:0;text-align:left;margin-left:8.65pt;margin-top:125.65pt;width:342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" filled="f" strokecolor="black [3213]">
                <v:path arrowok="t"/>
                <v:textbox>
                  <w:txbxContent>
                    <w:p w:rsidR="00061010" w:rsidRPr="00676B77" w:rsidRDefault="00061010" w:rsidP="002E6781">
                      <w:pPr>
                        <w:jc w:val="center"/>
                      </w:pPr>
                      <w:r w:rsidRPr="00676B77">
                        <w:rPr>
                          <w:b/>
                          <w:i/>
                        </w:rPr>
                        <w:t xml:space="preserve">Résultat 1: </w:t>
                      </w:r>
                      <w:r w:rsidRPr="00676B77">
                        <w:t xml:space="preserve">Des mécanismes </w:t>
                      </w:r>
                      <w:r>
                        <w:t>novateurs</w:t>
                      </w:r>
                      <w:r w:rsidRPr="00676B77">
                        <w:t xml:space="preserve"> financent les actions d'adaptation au</w:t>
                      </w:r>
                      <w:r>
                        <w:t>x</w:t>
                      </w:r>
                      <w:r w:rsidRPr="00676B77">
                        <w:t xml:space="preserve"> changement</w:t>
                      </w:r>
                      <w:r>
                        <w:t>s</w:t>
                      </w:r>
                      <w:r w:rsidRPr="00676B77">
                        <w:t xml:space="preserve"> climatique</w:t>
                      </w:r>
                      <w:r>
                        <w:t>s</w:t>
                      </w:r>
                      <w:r w:rsidRPr="00676B77">
                        <w:t xml:space="preserve"> à long terme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48352" behindDoc="0" locked="0" layoutInCell="1" allowOverlap="1" wp14:anchorId="28A33344" wp14:editId="17F274FF">
                <wp:simplePos x="0" y="0"/>
                <wp:positionH relativeFrom="column">
                  <wp:posOffset>6972300</wp:posOffset>
                </wp:positionH>
                <wp:positionV relativeFrom="paragraph">
                  <wp:posOffset>4343400</wp:posOffset>
                </wp:positionV>
                <wp:extent cx="1371600" cy="571500"/>
                <wp:effectExtent l="38100" t="38100" r="38100" b="76200"/>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16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0AF10" id="Connecteur droit avec flèche 39" o:spid="_x0000_s1026" type="#_x0000_t32" style="position:absolute;margin-left:549pt;margin-top:342pt;width:108pt;height:4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7328" behindDoc="0" locked="0" layoutInCell="1" allowOverlap="1" wp14:anchorId="4B7F2471" wp14:editId="67A5D9AA">
                <wp:simplePos x="0" y="0"/>
                <wp:positionH relativeFrom="column">
                  <wp:posOffset>6515100</wp:posOffset>
                </wp:positionH>
                <wp:positionV relativeFrom="paragraph">
                  <wp:posOffset>4343400</wp:posOffset>
                </wp:positionV>
                <wp:extent cx="1257300" cy="571500"/>
                <wp:effectExtent l="38100" t="38100" r="38100" b="7620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73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BA240" id="Connecteur droit avec flèche 38" o:spid="_x0000_s1026" type="#_x0000_t32" style="position:absolute;margin-left:513pt;margin-top:342pt;width:99pt;height:4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6304" behindDoc="0" locked="0" layoutInCell="1" allowOverlap="1" wp14:anchorId="609C4E0F" wp14:editId="1884CF74">
                <wp:simplePos x="0" y="0"/>
                <wp:positionH relativeFrom="column">
                  <wp:posOffset>6629400</wp:posOffset>
                </wp:positionH>
                <wp:positionV relativeFrom="paragraph">
                  <wp:posOffset>4343400</wp:posOffset>
                </wp:positionV>
                <wp:extent cx="571500" cy="571500"/>
                <wp:effectExtent l="38100" t="38100" r="38100" b="7620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5F1DE" id="Connecteur droit avec flèche 37" o:spid="_x0000_s1026" type="#_x0000_t32" style="position:absolute;margin-left:522pt;margin-top:342pt;width:45pt;height:4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" strokecolor="black [3213]">
                <v:stroke endarrow="open" joinstyle="miter"/>
                <o:lock v:ext="edit" shapetype="f"/>
              </v:shape>
            </w:pict>
          </mc:Fallback>
        </mc:AlternateContent>
      </w:r>
      <w:r w:rsidR="002E6781">
        <w:rPr>
          <w:noProof/>
          <w:lang w:eastAsia="fr-FR"/>
        </w:rPr>
        <mc:AlternateContent>
          <mc:Choice Requires="wps">
            <w:drawing>
              <wp:anchor distT="0" distB="0" distL="114299" distR="114299" simplePos="0" relativeHeight="251745280" behindDoc="0" locked="0" layoutInCell="1" allowOverlap="1" wp14:anchorId="7DEBA71A" wp14:editId="547693DE">
                <wp:simplePos x="0" y="0"/>
                <wp:positionH relativeFrom="column">
                  <wp:posOffset>5943599</wp:posOffset>
                </wp:positionH>
                <wp:positionV relativeFrom="paragraph">
                  <wp:posOffset>4343400</wp:posOffset>
                </wp:positionV>
                <wp:extent cx="0" cy="571500"/>
                <wp:effectExtent l="114300" t="38100" r="57150" b="57150"/>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C03CD" id="Connecteur droit avec flèche 36" o:spid="_x0000_s1026" type="#_x0000_t32" style="position:absolute;margin-left:468pt;margin-top:342pt;width:0;height:45pt;flip:y;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4256" behindDoc="0" locked="0" layoutInCell="1" allowOverlap="1" wp14:anchorId="64139C90" wp14:editId="5F6A363F">
                <wp:simplePos x="0" y="0"/>
                <wp:positionH relativeFrom="column">
                  <wp:posOffset>4572000</wp:posOffset>
                </wp:positionH>
                <wp:positionV relativeFrom="paragraph">
                  <wp:posOffset>4343400</wp:posOffset>
                </wp:positionV>
                <wp:extent cx="571500" cy="571500"/>
                <wp:effectExtent l="57150" t="38100" r="38100" b="7620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64C5D" id="Connecteur droit avec flèche 35" o:spid="_x0000_s1026" type="#_x0000_t32" style="position:absolute;margin-left:5in;margin-top:342pt;width:45pt;height: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" strokecolor="black [3213]">
                <v:stroke endarrow="open" joinstyle="miter"/>
                <o:lock v:ext="edit" shapetype="f"/>
              </v:shape>
            </w:pict>
          </mc:Fallback>
        </mc:AlternateContent>
      </w:r>
      <w:r w:rsidR="002E6781">
        <w:rPr>
          <w:noProof/>
          <w:lang w:eastAsia="fr-FR"/>
        </w:rPr>
        <mc:AlternateContent>
          <mc:Choice Requires="wps">
            <w:drawing>
              <wp:anchor distT="0" distB="0" distL="114299" distR="114299" simplePos="0" relativeHeight="251732992" behindDoc="0" locked="0" layoutInCell="1" allowOverlap="1" wp14:anchorId="08B00B59" wp14:editId="64AFFD7E">
                <wp:simplePos x="0" y="0"/>
                <wp:positionH relativeFrom="column">
                  <wp:posOffset>6172199</wp:posOffset>
                </wp:positionH>
                <wp:positionV relativeFrom="paragraph">
                  <wp:posOffset>2171700</wp:posOffset>
                </wp:positionV>
                <wp:extent cx="0" cy="1257300"/>
                <wp:effectExtent l="114300" t="38100" r="57150" b="57150"/>
                <wp:wrapNone/>
                <wp:docPr id="1142" name="Connecteur droit avec flèch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9C050" id="Connecteur droit avec flèche 1142" o:spid="_x0000_s1026" type="#_x0000_t32" style="position:absolute;margin-left:486pt;margin-top:171pt;width:0;height:99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7632" behindDoc="0" locked="0" layoutInCell="1" allowOverlap="1" wp14:anchorId="4E9CB266" wp14:editId="6C74D4E9">
                <wp:simplePos x="0" y="0"/>
                <wp:positionH relativeFrom="column">
                  <wp:posOffset>5257800</wp:posOffset>
                </wp:positionH>
                <wp:positionV relativeFrom="paragraph">
                  <wp:posOffset>3429000</wp:posOffset>
                </wp:positionV>
                <wp:extent cx="1485900" cy="914400"/>
                <wp:effectExtent l="0" t="0" r="0" b="0"/>
                <wp:wrapSquare wrapText="bothSides"/>
                <wp:docPr id="1143" name="Zone de texte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Capacité accrue de déve</w:t>
                            </w:r>
                            <w:r>
                              <w:t>lopper des activités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B266" id="Zone de texte 1143" o:spid="_x0000_s1039" type="#_x0000_t202" style="position:absolute;left:0;text-align:left;margin-left:414pt;margin-top:270pt;width:117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" filled="f" strokecolor="black [3213]">
                <v:path arrowok="t"/>
                <v:textbox>
                  <w:txbxContent>
                    <w:p w:rsidR="00061010" w:rsidRPr="00214AE4" w:rsidRDefault="00061010" w:rsidP="002E6781">
                      <w:pPr>
                        <w:jc w:val="center"/>
                      </w:pPr>
                      <w:r w:rsidRPr="00214AE4">
                        <w:t>Capacité accrue de déve</w:t>
                      </w:r>
                      <w:r>
                        <w:t>lopper des activités résilientes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34016" behindDoc="0" locked="0" layoutInCell="1" allowOverlap="1" wp14:anchorId="5918D106" wp14:editId="2817C00D">
                <wp:simplePos x="0" y="0"/>
                <wp:positionH relativeFrom="column">
                  <wp:posOffset>7315200</wp:posOffset>
                </wp:positionH>
                <wp:positionV relativeFrom="paragraph">
                  <wp:posOffset>2171700</wp:posOffset>
                </wp:positionV>
                <wp:extent cx="114300" cy="1257300"/>
                <wp:effectExtent l="95250" t="38100" r="57150" b="57150"/>
                <wp:wrapNone/>
                <wp:docPr id="1144" name="Connecteur droit avec flèch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78486" id="Connecteur droit avec flèche 1144" o:spid="_x0000_s1026" type="#_x0000_t32" style="position:absolute;margin-left:8in;margin-top:171pt;width:9pt;height:99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0160" behindDoc="0" locked="0" layoutInCell="1" allowOverlap="1" wp14:anchorId="322F89A4" wp14:editId="64C02707">
                <wp:simplePos x="0" y="0"/>
                <wp:positionH relativeFrom="column">
                  <wp:posOffset>4686300</wp:posOffset>
                </wp:positionH>
                <wp:positionV relativeFrom="paragraph">
                  <wp:posOffset>4343400</wp:posOffset>
                </wp:positionV>
                <wp:extent cx="2171700" cy="571500"/>
                <wp:effectExtent l="38100" t="57150" r="0" b="76200"/>
                <wp:wrapNone/>
                <wp:docPr id="1145" name="Connecteur droit avec flèch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717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778CB" id="Connecteur droit avec flèche 1145" o:spid="_x0000_s1026" type="#_x0000_t32" style="position:absolute;margin-left:369pt;margin-top:342pt;width:171pt;height: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9136" behindDoc="0" locked="0" layoutInCell="1" allowOverlap="1" wp14:anchorId="3AA61833" wp14:editId="10FB4282">
                <wp:simplePos x="0" y="0"/>
                <wp:positionH relativeFrom="column">
                  <wp:posOffset>4343400</wp:posOffset>
                </wp:positionH>
                <wp:positionV relativeFrom="paragraph">
                  <wp:posOffset>4343400</wp:posOffset>
                </wp:positionV>
                <wp:extent cx="1028700" cy="571500"/>
                <wp:effectExtent l="38100" t="38100" r="38100" b="76200"/>
                <wp:wrapNone/>
                <wp:docPr id="1146" name="Connecteur droit avec flèch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3CBC5" id="Connecteur droit avec flèche 1146" o:spid="_x0000_s1026" type="#_x0000_t32" style="position:absolute;margin-left:342pt;margin-top:342pt;width:81pt;height:4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8112" behindDoc="0" locked="0" layoutInCell="1" allowOverlap="1" wp14:anchorId="123330DF" wp14:editId="50E6A4F7">
                <wp:simplePos x="0" y="0"/>
                <wp:positionH relativeFrom="column">
                  <wp:posOffset>4000500</wp:posOffset>
                </wp:positionH>
                <wp:positionV relativeFrom="paragraph">
                  <wp:posOffset>4343400</wp:posOffset>
                </wp:positionV>
                <wp:extent cx="457200" cy="571500"/>
                <wp:effectExtent l="38100" t="38100" r="38100" b="57150"/>
                <wp:wrapNone/>
                <wp:docPr id="1147" name="Connecteur droit avec flèch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58B14" id="Connecteur droit avec flèche 1147" o:spid="_x0000_s1026" type="#_x0000_t32" style="position:absolute;margin-left:315pt;margin-top:342pt;width:36pt;height: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6848" behindDoc="0" locked="0" layoutInCell="1" allowOverlap="1" wp14:anchorId="3B537C49" wp14:editId="0CD3CD39">
                <wp:simplePos x="0" y="0"/>
                <wp:positionH relativeFrom="column">
                  <wp:posOffset>3314700</wp:posOffset>
                </wp:positionH>
                <wp:positionV relativeFrom="paragraph">
                  <wp:posOffset>4914900</wp:posOffset>
                </wp:positionV>
                <wp:extent cx="1600200" cy="1257300"/>
                <wp:effectExtent l="0" t="0" r="0" b="0"/>
                <wp:wrapSquare wrapText="bothSides"/>
                <wp:docPr id="1148" name="Zone de texte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Accès limité au financement pour la population locale afin de diversifier les AGR et développer des activités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7C49" id="Zone de texte 1148" o:spid="_x0000_s1040" type="#_x0000_t202" style="position:absolute;left:0;text-align:left;margin-left:261pt;margin-top:387pt;width:126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" filled="f" strokecolor="black [3213]">
                <v:path arrowok="t"/>
                <v:textbox>
                  <w:txbxContent>
                    <w:p w:rsidR="00061010" w:rsidRPr="00FD16A1" w:rsidRDefault="00061010" w:rsidP="002E6781">
                      <w:pPr>
                        <w:jc w:val="center"/>
                      </w:pPr>
                      <w:r w:rsidRPr="00FD16A1">
                        <w:t>Accès limité au financement pour la population locale afin de diversifier les AGR et développer des activités résilientes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25824" behindDoc="0" locked="0" layoutInCell="1" allowOverlap="1" wp14:anchorId="3474A8DF" wp14:editId="7A7F5072">
                <wp:simplePos x="0" y="0"/>
                <wp:positionH relativeFrom="column">
                  <wp:posOffset>1714500</wp:posOffset>
                </wp:positionH>
                <wp:positionV relativeFrom="paragraph">
                  <wp:posOffset>4914900</wp:posOffset>
                </wp:positionV>
                <wp:extent cx="1485900" cy="1257300"/>
                <wp:effectExtent l="0" t="0" r="0" b="0"/>
                <wp:wrapSquare wrapText="bothSides"/>
                <wp:docPr id="1149" name="Zone de texte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DB3C61" w:rsidRDefault="00061010" w:rsidP="002E6781">
                            <w:pPr>
                              <w:jc w:val="center"/>
                            </w:pPr>
                            <w:r w:rsidRPr="00DB3C61">
                              <w:t>Compétences limitées pour développer des mécanismes de financement novateurs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A8DF" id="Zone de texte 1149" o:spid="_x0000_s1041" type="#_x0000_t202" style="position:absolute;left:0;text-align:left;margin-left:135pt;margin-top:387pt;width:117pt;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" filled="f" strokecolor="black [3213]">
                <v:path arrowok="t"/>
                <v:textbox>
                  <w:txbxContent>
                    <w:p w:rsidR="00061010" w:rsidRPr="00DB3C61" w:rsidRDefault="00061010" w:rsidP="002E6781">
                      <w:pPr>
                        <w:jc w:val="center"/>
                      </w:pPr>
                      <w:r w:rsidRPr="00DB3C61">
                        <w:t>Compétences limitées pour développer des mécanismes de financement novateurs</w:t>
                      </w:r>
                    </w:p>
                  </w:txbxContent>
                </v:textbox>
                <w10:wrap type="square"/>
              </v:shape>
            </w:pict>
          </mc:Fallback>
        </mc:AlternateContent>
      </w:r>
      <w:r w:rsidR="002E6781">
        <w:rPr>
          <w:noProof/>
          <w:lang w:eastAsia="fr-FR"/>
        </w:rPr>
        <mc:AlternateContent>
          <mc:Choice Requires="wps">
            <w:drawing>
              <wp:anchor distT="0" distB="0" distL="114300" distR="114300" simplePos="0" relativeHeight="251724800" behindDoc="0" locked="0" layoutInCell="1" allowOverlap="1" wp14:anchorId="013E12AA" wp14:editId="455EB0F1">
                <wp:simplePos x="0" y="0"/>
                <wp:positionH relativeFrom="column">
                  <wp:posOffset>114300</wp:posOffset>
                </wp:positionH>
                <wp:positionV relativeFrom="paragraph">
                  <wp:posOffset>4914900</wp:posOffset>
                </wp:positionV>
                <wp:extent cx="1485900" cy="1257300"/>
                <wp:effectExtent l="0" t="0" r="0" b="0"/>
                <wp:wrapSquare wrapText="bothSides"/>
                <wp:docPr id="1150" name="Zone de texte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DB3C61" w:rsidRDefault="00061010" w:rsidP="002E6781">
                            <w:pPr>
                              <w:jc w:val="center"/>
                            </w:pPr>
                            <w:r w:rsidRPr="00DB3C61">
                              <w:t>Ressources limitées pour financer l'adaptation au</w:t>
                            </w:r>
                            <w:r>
                              <w:t>x</w:t>
                            </w:r>
                            <w:r w:rsidRPr="00DB3C61">
                              <w:t xml:space="preserve"> changement</w:t>
                            </w:r>
                            <w:r>
                              <w:t>s</w:t>
                            </w:r>
                            <w:r w:rsidRPr="00DB3C61">
                              <w:t xml:space="preserve"> climatique</w:t>
                            </w:r>
                            <w:r>
                              <w:t>s</w:t>
                            </w:r>
                            <w:r w:rsidRPr="00DB3C61">
                              <w:t xml:space="preserv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12AA" id="Zone de texte 1150" o:spid="_x0000_s1042" type="#_x0000_t202" style="position:absolute;left:0;text-align:left;margin-left:9pt;margin-top:387pt;width:117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" filled="f" strokecolor="black [3213]">
                <v:path arrowok="t"/>
                <v:textbox>
                  <w:txbxContent>
                    <w:p w:rsidR="00061010" w:rsidRPr="00DB3C61" w:rsidRDefault="00061010" w:rsidP="002E6781">
                      <w:pPr>
                        <w:jc w:val="center"/>
                      </w:pPr>
                      <w:r w:rsidRPr="00DB3C61">
                        <w:t>Ressources limitées pour financer l'adaptation au</w:t>
                      </w:r>
                      <w:r>
                        <w:t>x</w:t>
                      </w:r>
                      <w:r w:rsidRPr="00DB3C61">
                        <w:t xml:space="preserve"> changement</w:t>
                      </w:r>
                      <w:r>
                        <w:t>s</w:t>
                      </w:r>
                      <w:r w:rsidRPr="00DB3C61">
                        <w:t xml:space="preserve"> climatique</w:t>
                      </w:r>
                      <w:r>
                        <w:t>s</w:t>
                      </w:r>
                      <w:r w:rsidRPr="00DB3C61">
                        <w:t xml:space="preserv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37088" behindDoc="0" locked="0" layoutInCell="1" allowOverlap="1" wp14:anchorId="5CB6D555" wp14:editId="6D2303A1">
                <wp:simplePos x="0" y="0"/>
                <wp:positionH relativeFrom="column">
                  <wp:posOffset>2514600</wp:posOffset>
                </wp:positionH>
                <wp:positionV relativeFrom="paragraph">
                  <wp:posOffset>4343400</wp:posOffset>
                </wp:positionV>
                <wp:extent cx="685800" cy="571500"/>
                <wp:effectExtent l="38100" t="38100" r="38100" b="76200"/>
                <wp:wrapNone/>
                <wp:docPr id="1151" name="Connecteur droit avec flèch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CAD78" id="Connecteur droit avec flèche 1151" o:spid="_x0000_s1026" type="#_x0000_t32" style="position:absolute;margin-left:198pt;margin-top:342pt;width:54pt;height:4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6064" behindDoc="0" locked="0" layoutInCell="1" allowOverlap="1" wp14:anchorId="734F2AF3" wp14:editId="3F2FA909">
                <wp:simplePos x="0" y="0"/>
                <wp:positionH relativeFrom="column">
                  <wp:posOffset>1028700</wp:posOffset>
                </wp:positionH>
                <wp:positionV relativeFrom="paragraph">
                  <wp:posOffset>4343400</wp:posOffset>
                </wp:positionV>
                <wp:extent cx="457200" cy="571500"/>
                <wp:effectExtent l="38100" t="38100" r="38100" b="5715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E4B4E" id="Connecteur droit avec flèche 32" o:spid="_x0000_s1026" type="#_x0000_t32" style="position:absolute;margin-left:81pt;margin-top:342pt;width:36pt;height:4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3776" behindDoc="0" locked="0" layoutInCell="1" allowOverlap="1" wp14:anchorId="22748262" wp14:editId="6ABAA159">
                <wp:simplePos x="0" y="0"/>
                <wp:positionH relativeFrom="column">
                  <wp:posOffset>-899795</wp:posOffset>
                </wp:positionH>
                <wp:positionV relativeFrom="paragraph">
                  <wp:posOffset>5143500</wp:posOffset>
                </wp:positionV>
                <wp:extent cx="1014095" cy="45720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5"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9253FE" w:rsidRDefault="00061010" w:rsidP="002E6781">
                            <w:pPr>
                              <w:jc w:val="center"/>
                              <w:rPr>
                                <w:lang w:val="en-GB"/>
                              </w:rPr>
                            </w:pPr>
                            <w:r>
                              <w:rPr>
                                <w:lang w:val="en-GB"/>
                              </w:rPr>
                              <w:t>Statu quo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748262" id="Zone de texte 33" o:spid="_x0000_s1043" type="#_x0000_t202" style="position:absolute;left:0;text-align:left;margin-left:-70.85pt;margin-top:405pt;width:79.8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" filled="f" stroked="f">
                <v:textbox>
                  <w:txbxContent>
                    <w:p w:rsidR="00061010" w:rsidRPr="009253FE" w:rsidRDefault="00061010" w:rsidP="002E6781">
                      <w:pPr>
                        <w:jc w:val="center"/>
                        <w:rPr>
                          <w:lang w:val="en-GB"/>
                        </w:rPr>
                      </w:pPr>
                      <w:r>
                        <w:rPr>
                          <w:lang w:val="en-GB"/>
                        </w:rPr>
                        <w:t>Statu quo</w:t>
                      </w:r>
                    </w:p>
                  </w:txbxContent>
                </v:textbox>
                <w10:wrap type="square"/>
              </v:shape>
            </w:pict>
          </mc:Fallback>
        </mc:AlternateContent>
      </w:r>
      <w:r w:rsidR="002E6781">
        <w:rPr>
          <w:noProof/>
          <w:lang w:eastAsia="fr-FR"/>
        </w:rPr>
        <mc:AlternateContent>
          <mc:Choice Requires="wps">
            <w:drawing>
              <wp:anchor distT="0" distB="0" distL="114300" distR="114300" simplePos="0" relativeHeight="251742208" behindDoc="0" locked="0" layoutInCell="1" allowOverlap="1" wp14:anchorId="14CCB292" wp14:editId="0BEB3959">
                <wp:simplePos x="0" y="0"/>
                <wp:positionH relativeFrom="column">
                  <wp:posOffset>8343900</wp:posOffset>
                </wp:positionH>
                <wp:positionV relativeFrom="paragraph">
                  <wp:posOffset>4343400</wp:posOffset>
                </wp:positionV>
                <wp:extent cx="571500" cy="571500"/>
                <wp:effectExtent l="38100" t="38100" r="38100" b="7620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23C11" id="Connecteur droit avec flèche 40" o:spid="_x0000_s1026" type="#_x0000_t32" style="position:absolute;margin-left:657pt;margin-top:342pt;width:45pt;height: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1184" behindDoc="0" locked="0" layoutInCell="1" allowOverlap="1" wp14:anchorId="5A03C88C" wp14:editId="5E318C0F">
                <wp:simplePos x="0" y="0"/>
                <wp:positionH relativeFrom="column">
                  <wp:posOffset>7543800</wp:posOffset>
                </wp:positionH>
                <wp:positionV relativeFrom="paragraph">
                  <wp:posOffset>4343400</wp:posOffset>
                </wp:positionV>
                <wp:extent cx="571500" cy="571500"/>
                <wp:effectExtent l="57150" t="38100" r="38100" b="7620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87FB2" id="Connecteur droit avec flèche 41" o:spid="_x0000_s1026" type="#_x0000_t32" style="position:absolute;margin-left:594pt;margin-top:342pt;width:45pt;height:4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5584" behindDoc="0" locked="0" layoutInCell="1" allowOverlap="1" wp14:anchorId="2DD6F630" wp14:editId="2AAF6801">
                <wp:simplePos x="0" y="0"/>
                <wp:positionH relativeFrom="column">
                  <wp:posOffset>2400300</wp:posOffset>
                </wp:positionH>
                <wp:positionV relativeFrom="paragraph">
                  <wp:posOffset>3086100</wp:posOffset>
                </wp:positionV>
                <wp:extent cx="1600200" cy="1257300"/>
                <wp:effectExtent l="0" t="0" r="0" b="0"/>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Mise en place de mécanismes novateurs apportant des financements supplémentaires à long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F630" id="Zone de texte 42" o:spid="_x0000_s1044" type="#_x0000_t202" style="position:absolute;left:0;text-align:left;margin-left:189pt;margin-top:243pt;width:126pt;height: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" filled="f" strokecolor="black [3213]">
                <v:path arrowok="t"/>
                <v:textbox>
                  <w:txbxContent>
                    <w:p w:rsidR="00061010" w:rsidRPr="00214AE4" w:rsidRDefault="00061010" w:rsidP="002E6781">
                      <w:pPr>
                        <w:jc w:val="center"/>
                      </w:pPr>
                      <w:r w:rsidRPr="00214AE4">
                        <w:t>Mise en place de mécanismes novateurs apportant des financements supplémentaires à long terme</w:t>
                      </w:r>
                    </w:p>
                  </w:txbxContent>
                </v:textbox>
                <w10:wrap type="square"/>
              </v:shape>
            </w:pict>
          </mc:Fallback>
        </mc:AlternateContent>
      </w:r>
      <w:r w:rsidR="002E6781">
        <w:rPr>
          <w:noProof/>
          <w:lang w:eastAsia="fr-FR"/>
        </w:rPr>
        <mc:AlternateContent>
          <mc:Choice Requires="wps">
            <w:drawing>
              <wp:anchor distT="0" distB="0" distL="114300" distR="114300" simplePos="0" relativeHeight="251729920" behindDoc="0" locked="0" layoutInCell="1" allowOverlap="1" wp14:anchorId="2635BCAA" wp14:editId="7693987A">
                <wp:simplePos x="0" y="0"/>
                <wp:positionH relativeFrom="column">
                  <wp:posOffset>2971800</wp:posOffset>
                </wp:positionH>
                <wp:positionV relativeFrom="paragraph">
                  <wp:posOffset>2171700</wp:posOffset>
                </wp:positionV>
                <wp:extent cx="114300" cy="914400"/>
                <wp:effectExtent l="95250" t="38100" r="57150" b="571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9144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66EA7" id="Connecteur droit avec flèche 43" o:spid="_x0000_s1026" type="#_x0000_t32" style="position:absolute;margin-left:234pt;margin-top:171pt;width:9pt;height:1in;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5040" behindDoc="0" locked="0" layoutInCell="1" allowOverlap="1" wp14:anchorId="174D6E8B" wp14:editId="10968578">
                <wp:simplePos x="0" y="0"/>
                <wp:positionH relativeFrom="column">
                  <wp:posOffset>8458200</wp:posOffset>
                </wp:positionH>
                <wp:positionV relativeFrom="paragraph">
                  <wp:posOffset>2171700</wp:posOffset>
                </wp:positionV>
                <wp:extent cx="342900" cy="1257300"/>
                <wp:effectExtent l="76200" t="38100" r="57150" b="5715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66E7A" id="Connecteur droit avec flèche 44" o:spid="_x0000_s1026" type="#_x0000_t32" style="position:absolute;margin-left:666pt;margin-top:171pt;width:27pt;height:99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" strokecolor="black [3213]">
                <v:stroke endarrow="open" joinstyle="miter"/>
                <o:lock v:ext="edit" shapetype="f"/>
              </v:shape>
            </w:pict>
          </mc:Fallback>
        </mc:AlternateContent>
      </w:r>
      <w:r w:rsidR="002E6781">
        <w:rPr>
          <w:noProof/>
          <w:lang w:eastAsia="fr-FR"/>
        </w:rPr>
        <mc:AlternateContent>
          <mc:Choice Requires="wps">
            <w:drawing>
              <wp:anchor distT="4294967295" distB="4294967295" distL="114300" distR="114300" simplePos="0" relativeHeight="251722752" behindDoc="0" locked="0" layoutInCell="1" allowOverlap="1" wp14:anchorId="798AFE31" wp14:editId="6446A771">
                <wp:simplePos x="0" y="0"/>
                <wp:positionH relativeFrom="column">
                  <wp:posOffset>-685800</wp:posOffset>
                </wp:positionH>
                <wp:positionV relativeFrom="paragraph">
                  <wp:posOffset>4686299</wp:posOffset>
                </wp:positionV>
                <wp:extent cx="10287000" cy="0"/>
                <wp:effectExtent l="38100" t="38100" r="57150" b="7620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0" cy="0"/>
                        </a:xfrm>
                        <a:prstGeom prst="line">
                          <a:avLst/>
                        </a:prstGeom>
                        <a:ln w="9525">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16FCF" id="Connecteur droit 4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69pt" to="7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" strokecolor="black [3213]">
                <v:stroke dashstyle="longDash" joinstyle="miter"/>
                <o:lock v:ext="edit" shapetype="f"/>
              </v:line>
            </w:pict>
          </mc:Fallback>
        </mc:AlternateContent>
      </w:r>
      <w:r w:rsidR="002E6781">
        <w:rPr>
          <w:noProof/>
          <w:lang w:eastAsia="fr-FR"/>
        </w:rPr>
        <mc:AlternateContent>
          <mc:Choice Requires="wps">
            <w:drawing>
              <wp:anchor distT="0" distB="0" distL="114300" distR="114300" simplePos="0" relativeHeight="251721728" behindDoc="0" locked="0" layoutInCell="1" allowOverlap="1" wp14:anchorId="05928DD2" wp14:editId="0BE80655">
                <wp:simplePos x="0" y="0"/>
                <wp:positionH relativeFrom="column">
                  <wp:posOffset>4686300</wp:posOffset>
                </wp:positionH>
                <wp:positionV relativeFrom="paragraph">
                  <wp:posOffset>800100</wp:posOffset>
                </wp:positionV>
                <wp:extent cx="2628900" cy="800100"/>
                <wp:effectExtent l="57150" t="57150" r="38100" b="7620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28900" cy="8001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5156D" id="Connecteur droit avec flèche 46" o:spid="_x0000_s1026" type="#_x0000_t32" style="position:absolute;margin-left:369pt;margin-top:63pt;width:207pt;height:6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09440" behindDoc="0" locked="0" layoutInCell="1" allowOverlap="1" wp14:anchorId="5D68BD82" wp14:editId="163B1CB7">
                <wp:simplePos x="0" y="0"/>
                <wp:positionH relativeFrom="column">
                  <wp:posOffset>1143000</wp:posOffset>
                </wp:positionH>
                <wp:positionV relativeFrom="paragraph">
                  <wp:posOffset>228600</wp:posOffset>
                </wp:positionV>
                <wp:extent cx="6743700" cy="571500"/>
                <wp:effectExtent l="0" t="0" r="0" b="0"/>
                <wp:wrapSquare wrapText="bothSides"/>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571500"/>
                        </a:xfrm>
                        <a:prstGeom prst="rect">
                          <a:avLst/>
                        </a:prstGeom>
                        <a:noFill/>
                        <a:ln w="19050">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Objectif</w:t>
                            </w:r>
                            <w:r w:rsidRPr="00676B77">
                              <w:t>: Promouvoir l'innovation financière et l'adaptation communautair</w:t>
                            </w:r>
                            <w:r>
                              <w:t>e dans les communes autour de la réserve naturelle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8BD82" id="Zone de texte 48" o:spid="_x0000_s1045" type="#_x0000_t202" style="position:absolute;left:0;text-align:left;margin-left:90pt;margin-top:18pt;width:531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" filled="f" strokecolor="black [3213]" strokeweight="1.5pt">
                <v:path arrowok="t"/>
                <v:textbox>
                  <w:txbxContent>
                    <w:p w:rsidR="00061010" w:rsidRPr="00676B77" w:rsidRDefault="00061010" w:rsidP="002E6781">
                      <w:pPr>
                        <w:jc w:val="center"/>
                      </w:pPr>
                      <w:r w:rsidRPr="00676B77">
                        <w:rPr>
                          <w:b/>
                          <w:i/>
                        </w:rPr>
                        <w:t>Objectif</w:t>
                      </w:r>
                      <w:r w:rsidRPr="00676B77">
                        <w:t>: Promouvoir l'innovation financière et l'adaptation communautair</w:t>
                      </w:r>
                      <w:r>
                        <w:t>e dans les communes autour de la réserve naturelle</w:t>
                      </w:r>
                    </w:p>
                  </w:txbxContent>
                </v:textbox>
                <w10:wrap type="square"/>
              </v:shape>
            </w:pict>
          </mc:Fallback>
        </mc:AlternateContent>
      </w:r>
    </w:p>
    <w:p w:rsidR="00180665" w:rsidRDefault="00180665" w:rsidP="005634BE">
      <w:pPr>
        <w:spacing w:after="0"/>
        <w:rPr>
          <w:rFonts w:ascii="Times New Roman" w:eastAsia="Times New Roman" w:hAnsi="Times New Roman"/>
          <w:b/>
          <w:i/>
          <w:sz w:val="22"/>
          <w:szCs w:val="22"/>
        </w:rPr>
      </w:pPr>
      <w:r w:rsidRPr="005634BE">
        <w:rPr>
          <w:rFonts w:ascii="Times New Roman" w:eastAsia="Times New Roman" w:hAnsi="Times New Roman"/>
          <w:b/>
          <w:i/>
          <w:sz w:val="22"/>
          <w:szCs w:val="22"/>
        </w:rPr>
        <w:lastRenderedPageBreak/>
        <w:t>Figure 7 : Diagramme de la théorie du changement (source :</w:t>
      </w:r>
      <w:r w:rsidRPr="002E6781">
        <w:rPr>
          <w:rFonts w:ascii="Times New Roman" w:eastAsia="Times New Roman" w:hAnsi="Times New Roman"/>
          <w:b/>
          <w:i/>
          <w:sz w:val="22"/>
          <w:szCs w:val="22"/>
        </w:rPr>
        <w:t xml:space="preserve"> </w:t>
      </w:r>
      <w:r w:rsidRPr="005634BE">
        <w:rPr>
          <w:rFonts w:ascii="Times New Roman" w:eastAsia="Times New Roman" w:hAnsi="Times New Roman"/>
          <w:b/>
          <w:i/>
          <w:sz w:val="22"/>
          <w:szCs w:val="22"/>
        </w:rPr>
        <w:t>phase de préparation du projet</w:t>
      </w:r>
      <w:r>
        <w:rPr>
          <w:rFonts w:ascii="Times New Roman" w:eastAsia="Times New Roman" w:hAnsi="Times New Roman"/>
          <w:b/>
          <w:i/>
          <w:sz w:val="22"/>
          <w:szCs w:val="22"/>
        </w:rPr>
        <w:t>)</w:t>
      </w:r>
    </w:p>
    <w:p w:rsidR="00F82528" w:rsidRDefault="00F82528"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22 → </w:t>
      </w:r>
      <w:r w:rsidR="005634BE" w:rsidRPr="005634BE">
        <w:rPr>
          <w:rFonts w:ascii="Times New Roman" w:eastAsia="Times New Roman" w:hAnsi="Times New Roman"/>
          <w:sz w:val="24"/>
          <w:szCs w:val="22"/>
        </w:rPr>
        <w:t>Les financements du Fonds pour les PMA serviront dès lors à accroître la capacité du Sénégal, en particulier celle des communes locales et de la population locale, à gérer les risques dus aux effets du changement climatique en augmentant les ressources financières destinées aux mesures d’adaptation. Le projet financé par le Fonds a été conçu pour répondre aux priorités nationales du Sénégal et soutiendra la mise en œuvre des stratégies et plans communaux.</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5634BE" w:rsidP="005634BE">
      <w:pPr>
        <w:spacing w:after="0"/>
        <w:rPr>
          <w:rFonts w:ascii="Times New Roman" w:eastAsia="Times New Roman" w:hAnsi="Times New Roman"/>
          <w:b/>
          <w:noProof/>
          <w:sz w:val="24"/>
          <w:szCs w:val="22"/>
        </w:rPr>
      </w:pPr>
      <w:r w:rsidRPr="005634BE">
        <w:rPr>
          <w:rFonts w:ascii="Times New Roman" w:eastAsia="Times New Roman" w:hAnsi="Times New Roman"/>
          <w:b/>
          <w:sz w:val="24"/>
          <w:szCs w:val="22"/>
        </w:rPr>
        <w:t>Avantages aux niveaux national et local</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23 → </w:t>
      </w:r>
      <w:r w:rsidR="005634BE" w:rsidRPr="005634BE">
        <w:rPr>
          <w:rFonts w:ascii="Times New Roman" w:eastAsia="Times New Roman" w:hAnsi="Times New Roman"/>
          <w:sz w:val="24"/>
          <w:szCs w:val="22"/>
        </w:rPr>
        <w:t xml:space="preserve">Au niveau national, le projet financé par le Fonds pour les PMA en matière d’adaptation procurera un certain nombre d’avantages dont le renforcement de la capacité globale du Ministère de </w:t>
      </w:r>
      <w:r w:rsidR="005634BE" w:rsidRPr="00BD0111">
        <w:rPr>
          <w:rFonts w:ascii="Times New Roman" w:eastAsia="Times New Roman" w:hAnsi="Times New Roman"/>
          <w:sz w:val="24"/>
          <w:szCs w:val="22"/>
        </w:rPr>
        <w:t>l’environnement à mettre au point des</w:t>
      </w:r>
      <w:r w:rsidR="005634BE" w:rsidRPr="005634BE">
        <w:rPr>
          <w:rFonts w:ascii="Times New Roman" w:eastAsia="Times New Roman" w:hAnsi="Times New Roman"/>
          <w:sz w:val="24"/>
          <w:szCs w:val="22"/>
        </w:rPr>
        <w:t xml:space="preserve"> mécanismes financiers </w:t>
      </w:r>
      <w:r w:rsidR="00BD0111">
        <w:rPr>
          <w:rFonts w:ascii="Times New Roman" w:eastAsia="Times New Roman" w:hAnsi="Times New Roman"/>
          <w:sz w:val="24"/>
          <w:szCs w:val="22"/>
        </w:rPr>
        <w:t>novateurs</w:t>
      </w:r>
      <w:r w:rsidR="005634BE" w:rsidRPr="005634BE">
        <w:rPr>
          <w:rFonts w:ascii="Times New Roman" w:eastAsia="Times New Roman" w:hAnsi="Times New Roman"/>
          <w:sz w:val="24"/>
          <w:szCs w:val="22"/>
        </w:rPr>
        <w:t xml:space="preserve"> pour la mise en œuvre des mesures d’adaptation et à expérimenter des actions d’adaptation dans les secteurs de l’agriculture, des ressources en eau et de la foresterie (les connaissances et les enseignements tirés seront diffusés par le biais </w:t>
      </w:r>
      <w:r w:rsidR="00147802">
        <w:rPr>
          <w:rFonts w:ascii="Times New Roman" w:eastAsia="Times New Roman" w:hAnsi="Times New Roman"/>
          <w:sz w:val="24"/>
          <w:szCs w:val="22"/>
        </w:rPr>
        <w:t>de</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la composante 2 au profit d’autres projets au Sénégal). Pour ce faire, il faudra former et renforcer les capacités des fonctionnaires du Ministère de l’environnement, de l’ANACIM et de l’ARD aux niveaux national et communal. Les bénéficiaires ciblés par les activités de renforcement des capacités d</w:t>
      </w:r>
      <w:r w:rsidR="00F753B3">
        <w:rPr>
          <w:rFonts w:ascii="Times New Roman" w:eastAsia="Times New Roman" w:hAnsi="Times New Roman"/>
          <w:sz w:val="24"/>
          <w:szCs w:val="22"/>
        </w:rPr>
        <w:t>u projet seront au minimum : i) </w:t>
      </w:r>
      <w:r w:rsidR="005634BE" w:rsidRPr="005634BE">
        <w:rPr>
          <w:rFonts w:ascii="Times New Roman" w:eastAsia="Times New Roman" w:hAnsi="Times New Roman"/>
          <w:sz w:val="24"/>
          <w:szCs w:val="22"/>
        </w:rPr>
        <w:t>40 repr</w:t>
      </w:r>
      <w:r w:rsidR="00F753B3">
        <w:rPr>
          <w:rFonts w:ascii="Times New Roman" w:eastAsia="Times New Roman" w:hAnsi="Times New Roman"/>
          <w:sz w:val="24"/>
          <w:szCs w:val="22"/>
        </w:rPr>
        <w:t>ésentants au niveau national ; iii) </w:t>
      </w:r>
      <w:r w:rsidR="005634BE" w:rsidRPr="005634BE">
        <w:rPr>
          <w:rFonts w:ascii="Times New Roman" w:eastAsia="Times New Roman" w:hAnsi="Times New Roman"/>
          <w:sz w:val="24"/>
          <w:szCs w:val="22"/>
        </w:rPr>
        <w:t>60 représentants au niveau communal (dans chacune des 21 communes ciblées).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24 → </w:t>
      </w:r>
      <w:r w:rsidR="005634BE" w:rsidRPr="005634BE">
        <w:rPr>
          <w:rFonts w:ascii="Times New Roman" w:eastAsia="Times New Roman" w:hAnsi="Times New Roman"/>
          <w:sz w:val="24"/>
          <w:szCs w:val="22"/>
        </w:rPr>
        <w:t>Au niveau local, les activités du projet financées par le Fonds pour les PMA apporteront des avantages ciblés en matière d’adaptation à 224 villages vulnérables des quatre sites du projet, ce qui se traduira par des avantages directs pour au moins 50 000 personnes, soit 5 000 ménages. Sur ces sites d’intervention cibl</w:t>
      </w:r>
      <w:r w:rsidR="00180665">
        <w:rPr>
          <w:rFonts w:ascii="Times New Roman" w:eastAsia="Times New Roman" w:hAnsi="Times New Roman"/>
          <w:sz w:val="24"/>
          <w:szCs w:val="22"/>
        </w:rPr>
        <w:t>é</w:t>
      </w:r>
      <w:r w:rsidR="002E6C8F">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le projet introduira </w:t>
      </w:r>
      <w:r w:rsidR="00147802">
        <w:rPr>
          <w:rFonts w:ascii="Times New Roman" w:eastAsia="Times New Roman" w:hAnsi="Times New Roman"/>
          <w:sz w:val="24"/>
          <w:szCs w:val="22"/>
        </w:rPr>
        <w:t>plusieurs</w:t>
      </w:r>
      <w:r w:rsidR="005634BE" w:rsidRPr="005634BE">
        <w:rPr>
          <w:rFonts w:ascii="Times New Roman" w:eastAsia="Times New Roman" w:hAnsi="Times New Roman"/>
          <w:sz w:val="24"/>
          <w:szCs w:val="22"/>
        </w:rPr>
        <w:t xml:space="preserve"> mesures visant à réduire la vulnérabilité au</w:t>
      </w:r>
      <w:r w:rsidR="0014780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changement</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y compris des mesures visant à accroître la résilience grâce à des investissements et le renforcement des capacités des communautés. En plus d’apporter un soutien direct aux communautés, le projet nouera des partenariats avec d’autres projets en cours sur les mêmes sites et mettra en œuvre des activités de sensibilisation sur les informations et les bonnes pratiques </w:t>
      </w:r>
      <w:r w:rsidR="00F753B3">
        <w:rPr>
          <w:rFonts w:ascii="Times New Roman" w:eastAsia="Times New Roman" w:hAnsi="Times New Roman"/>
          <w:sz w:val="24"/>
          <w:szCs w:val="22"/>
        </w:rPr>
        <w:t>relatives au climat</w:t>
      </w:r>
      <w:r w:rsidR="005634BE" w:rsidRPr="005634BE">
        <w:rPr>
          <w:rFonts w:ascii="Times New Roman" w:eastAsia="Times New Roman" w:hAnsi="Times New Roman"/>
          <w:sz w:val="24"/>
          <w:szCs w:val="22"/>
        </w:rPr>
        <w:t xml:space="preserve"> pour s’adapter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auprès d’au moins 100 000 personnes dans les 21 communes. Ces activités comprendront également des voyages d’études de maires et d’exploitants agricoles pour approfondir les connaissances des responsables municipaux et villageois sur la gestion des fonds pour le climat et les pratiques adaptées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25 → </w:t>
      </w:r>
      <w:r w:rsidR="005634BE" w:rsidRPr="005634BE">
        <w:rPr>
          <w:rFonts w:ascii="Times New Roman" w:eastAsia="Times New Roman" w:hAnsi="Times New Roman"/>
          <w:sz w:val="24"/>
          <w:szCs w:val="22"/>
        </w:rPr>
        <w:t>Au niveau local, la vulnérabilité des bénéficiaires du projet aux effets du changement climatique sera réduite grâce à pl</w:t>
      </w:r>
      <w:r w:rsidR="00F753B3">
        <w:rPr>
          <w:rFonts w:ascii="Times New Roman" w:eastAsia="Times New Roman" w:hAnsi="Times New Roman"/>
          <w:sz w:val="24"/>
          <w:szCs w:val="22"/>
        </w:rPr>
        <w:t>usieurs mesures, notamment : i) </w:t>
      </w:r>
      <w:r w:rsidR="005634BE" w:rsidRPr="005634BE">
        <w:rPr>
          <w:rFonts w:ascii="Times New Roman" w:eastAsia="Times New Roman" w:hAnsi="Times New Roman"/>
          <w:sz w:val="24"/>
          <w:szCs w:val="22"/>
        </w:rPr>
        <w:t>l’introduction et la diffusion de pratiques agricoles (semences adaptées, gest</w:t>
      </w:r>
      <w:r w:rsidR="00F753B3">
        <w:rPr>
          <w:rFonts w:ascii="Times New Roman" w:eastAsia="Times New Roman" w:hAnsi="Times New Roman"/>
          <w:sz w:val="24"/>
          <w:szCs w:val="22"/>
        </w:rPr>
        <w:t>ion des sols et de l’eau, etc.) ; ii) </w:t>
      </w:r>
      <w:r w:rsidR="005634BE" w:rsidRPr="005634BE">
        <w:rPr>
          <w:rFonts w:ascii="Times New Roman" w:eastAsia="Times New Roman" w:hAnsi="Times New Roman"/>
          <w:sz w:val="24"/>
          <w:szCs w:val="22"/>
        </w:rPr>
        <w:t>le renforcement des chaînes de valeur résilientes au</w:t>
      </w:r>
      <w:r w:rsidR="0014780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w:t>
      </w:r>
      <w:r w:rsidR="00147802">
        <w:rPr>
          <w:rFonts w:ascii="Times New Roman" w:eastAsia="Times New Roman" w:hAnsi="Times New Roman"/>
          <w:sz w:val="24"/>
          <w:szCs w:val="22"/>
        </w:rPr>
        <w:t>changements</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(gomme arab</w:t>
      </w:r>
      <w:r w:rsidR="00F753B3">
        <w:rPr>
          <w:rFonts w:ascii="Times New Roman" w:eastAsia="Times New Roman" w:hAnsi="Times New Roman"/>
          <w:sz w:val="24"/>
          <w:szCs w:val="22"/>
        </w:rPr>
        <w:t>ique, noix de cajou, sel, etc.) ; iii) </w:t>
      </w:r>
      <w:r w:rsidR="00147802">
        <w:rPr>
          <w:rFonts w:ascii="Times New Roman" w:eastAsia="Times New Roman" w:hAnsi="Times New Roman"/>
          <w:sz w:val="24"/>
          <w:szCs w:val="22"/>
        </w:rPr>
        <w:t>l’amélioration</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de l’accès au crédit</w:t>
      </w:r>
      <w:r w:rsidR="00F753B3">
        <w:rPr>
          <w:rFonts w:ascii="Times New Roman" w:eastAsia="Times New Roman" w:hAnsi="Times New Roman"/>
          <w:sz w:val="24"/>
          <w:szCs w:val="22"/>
        </w:rPr>
        <w:t xml:space="preserve"> pour les exploitants agricoles ;</w:t>
      </w:r>
      <w:r w:rsidR="005634BE" w:rsidRPr="005634BE">
        <w:rPr>
          <w:rFonts w:ascii="Times New Roman" w:eastAsia="Times New Roman" w:hAnsi="Times New Roman"/>
          <w:sz w:val="24"/>
          <w:szCs w:val="22"/>
        </w:rPr>
        <w:t xml:space="preserve"> </w:t>
      </w:r>
      <w:r w:rsidR="00F753B3">
        <w:rPr>
          <w:rFonts w:ascii="Times New Roman" w:eastAsia="Times New Roman" w:hAnsi="Times New Roman"/>
          <w:sz w:val="24"/>
          <w:szCs w:val="22"/>
        </w:rPr>
        <w:t xml:space="preserve"> iv) </w:t>
      </w:r>
      <w:r w:rsidR="00BD0111" w:rsidRPr="00BD0111">
        <w:rPr>
          <w:rFonts w:ascii="Times New Roman" w:eastAsia="Times New Roman" w:hAnsi="Times New Roman"/>
          <w:sz w:val="24"/>
          <w:szCs w:val="22"/>
        </w:rPr>
        <w:t xml:space="preserve">l’aménagement </w:t>
      </w:r>
      <w:r w:rsidR="00147802">
        <w:rPr>
          <w:rFonts w:ascii="Times New Roman" w:eastAsia="Times New Roman" w:hAnsi="Times New Roman"/>
          <w:sz w:val="24"/>
          <w:szCs w:val="22"/>
        </w:rPr>
        <w:t>de mares</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et l’accès à l’eau pour les activités génératrices de revenus. Le projet stimulera une véritable dynamique dans la création de m</w:t>
      </w:r>
      <w:r w:rsidR="00A05600">
        <w:rPr>
          <w:rFonts w:ascii="Times New Roman" w:eastAsia="Times New Roman" w:hAnsi="Times New Roman"/>
          <w:sz w:val="24"/>
          <w:szCs w:val="22"/>
        </w:rPr>
        <w:t xml:space="preserve">icroentreprises, </w:t>
      </w:r>
      <w:r w:rsidR="005634BE" w:rsidRPr="005634BE">
        <w:rPr>
          <w:rFonts w:ascii="Times New Roman" w:eastAsia="Times New Roman" w:hAnsi="Times New Roman"/>
          <w:sz w:val="24"/>
          <w:szCs w:val="22"/>
        </w:rPr>
        <w:t>surtout</w:t>
      </w:r>
      <w:r w:rsidR="00F753B3">
        <w:rPr>
          <w:rFonts w:ascii="Times New Roman" w:eastAsia="Times New Roman" w:hAnsi="Times New Roman"/>
          <w:sz w:val="24"/>
          <w:szCs w:val="22"/>
        </w:rPr>
        <w:t xml:space="preserve"> celles</w:t>
      </w:r>
      <w:r w:rsidR="00A05600">
        <w:rPr>
          <w:rFonts w:ascii="Times New Roman" w:eastAsia="Times New Roman" w:hAnsi="Times New Roman"/>
          <w:sz w:val="24"/>
          <w:szCs w:val="22"/>
        </w:rPr>
        <w:t xml:space="preserve"> gérées par des femmes, </w:t>
      </w:r>
      <w:r w:rsidR="005634BE" w:rsidRPr="005634BE">
        <w:rPr>
          <w:rFonts w:ascii="Times New Roman" w:eastAsia="Times New Roman" w:hAnsi="Times New Roman"/>
          <w:sz w:val="24"/>
          <w:szCs w:val="22"/>
        </w:rPr>
        <w:t>en les formant à la finance d’entreprise et</w:t>
      </w:r>
      <w:r w:rsidR="00F753B3">
        <w:rPr>
          <w:rFonts w:ascii="Times New Roman" w:eastAsia="Times New Roman" w:hAnsi="Times New Roman"/>
          <w:sz w:val="24"/>
          <w:szCs w:val="22"/>
        </w:rPr>
        <w:t xml:space="preserve"> à la finance</w:t>
      </w:r>
      <w:r w:rsidR="005634BE" w:rsidRPr="005634BE">
        <w:rPr>
          <w:rFonts w:ascii="Times New Roman" w:eastAsia="Times New Roman" w:hAnsi="Times New Roman"/>
          <w:sz w:val="24"/>
          <w:szCs w:val="22"/>
        </w:rPr>
        <w:t xml:space="preserve"> rurale. La diversification des activités de subsistance améliorera les filets de sécurité pour les ménages vulnérables.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26 → </w:t>
      </w:r>
      <w:r w:rsidR="005634BE" w:rsidRPr="005634BE">
        <w:rPr>
          <w:rFonts w:ascii="Times New Roman" w:eastAsia="Times New Roman" w:hAnsi="Times New Roman"/>
          <w:sz w:val="24"/>
          <w:szCs w:val="22"/>
        </w:rPr>
        <w:t xml:space="preserve">Les autorités municipales et villageoises des 21 communes sélectionnées pour bénéficier d’interventions financées par le Fonds pour les PMA prendront part à des activités de renforcement </w:t>
      </w:r>
      <w:r w:rsidR="005634BE" w:rsidRPr="005634BE">
        <w:rPr>
          <w:rFonts w:ascii="Times New Roman" w:eastAsia="Times New Roman" w:hAnsi="Times New Roman"/>
          <w:sz w:val="24"/>
          <w:szCs w:val="22"/>
        </w:rPr>
        <w:lastRenderedPageBreak/>
        <w:t>d</w:t>
      </w:r>
      <w:r w:rsidR="00F753B3">
        <w:rPr>
          <w:rFonts w:ascii="Times New Roman" w:eastAsia="Times New Roman" w:hAnsi="Times New Roman"/>
          <w:sz w:val="24"/>
          <w:szCs w:val="22"/>
        </w:rPr>
        <w:t>es capacités. En conséquence, les</w:t>
      </w:r>
      <w:r w:rsidR="005634BE" w:rsidRPr="005634BE">
        <w:rPr>
          <w:rFonts w:ascii="Times New Roman" w:eastAsia="Times New Roman" w:hAnsi="Times New Roman"/>
          <w:sz w:val="24"/>
          <w:szCs w:val="22"/>
        </w:rPr>
        <w:t xml:space="preserve"> capacité</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institutionnelle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technique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et financière</w:t>
      </w:r>
      <w:r w:rsidR="00F753B3">
        <w:rPr>
          <w:rFonts w:ascii="Times New Roman" w:eastAsia="Times New Roman" w:hAnsi="Times New Roman"/>
          <w:sz w:val="24"/>
          <w:szCs w:val="22"/>
        </w:rPr>
        <w:t>s des communes pour</w:t>
      </w:r>
      <w:r w:rsidR="005634BE" w:rsidRPr="005634BE">
        <w:rPr>
          <w:rFonts w:ascii="Times New Roman" w:eastAsia="Times New Roman" w:hAnsi="Times New Roman"/>
          <w:sz w:val="24"/>
          <w:szCs w:val="22"/>
        </w:rPr>
        <w:t xml:space="preserve"> attirer d</w:t>
      </w:r>
      <w:r w:rsidR="00F753B3">
        <w:rPr>
          <w:rFonts w:ascii="Times New Roman" w:eastAsia="Times New Roman" w:hAnsi="Times New Roman"/>
          <w:sz w:val="24"/>
          <w:szCs w:val="22"/>
        </w:rPr>
        <w:t>es financements supplémentaires et</w:t>
      </w:r>
      <w:r w:rsidR="005634BE" w:rsidRPr="005634BE">
        <w:rPr>
          <w:rFonts w:ascii="Times New Roman" w:eastAsia="Times New Roman" w:hAnsi="Times New Roman"/>
          <w:sz w:val="24"/>
          <w:szCs w:val="22"/>
        </w:rPr>
        <w:t xml:space="preserve"> </w:t>
      </w:r>
      <w:r w:rsidR="00F753B3">
        <w:rPr>
          <w:rFonts w:ascii="Times New Roman" w:eastAsia="Times New Roman" w:hAnsi="Times New Roman"/>
          <w:sz w:val="24"/>
          <w:szCs w:val="22"/>
        </w:rPr>
        <w:t>pour concevoir et</w:t>
      </w:r>
      <w:r w:rsidR="005634BE" w:rsidRPr="005634BE">
        <w:rPr>
          <w:rFonts w:ascii="Times New Roman" w:eastAsia="Times New Roman" w:hAnsi="Times New Roman"/>
          <w:sz w:val="24"/>
          <w:szCs w:val="22"/>
        </w:rPr>
        <w:t xml:space="preserve"> mettre en œuvre des interventions d’adapt</w:t>
      </w:r>
      <w:r w:rsidR="00F753B3">
        <w:rPr>
          <w:rFonts w:ascii="Times New Roman" w:eastAsia="Times New Roman" w:hAnsi="Times New Roman"/>
          <w:sz w:val="24"/>
          <w:szCs w:val="22"/>
        </w:rPr>
        <w:t>ation spécifiques aux sites seront</w:t>
      </w:r>
      <w:r w:rsidR="005634BE" w:rsidRPr="005634BE">
        <w:rPr>
          <w:rFonts w:ascii="Times New Roman" w:eastAsia="Times New Roman" w:hAnsi="Times New Roman"/>
          <w:sz w:val="24"/>
          <w:szCs w:val="22"/>
        </w:rPr>
        <w:t xml:space="preserve"> renforcée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w:t>
      </w: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5634BE" w:rsidP="005634BE">
      <w:pPr>
        <w:spacing w:after="0"/>
        <w:rPr>
          <w:rFonts w:ascii="Times New Roman" w:eastAsia="Times New Roman" w:hAnsi="Times New Roman"/>
          <w:b/>
          <w:noProof/>
          <w:sz w:val="24"/>
          <w:szCs w:val="22"/>
        </w:rPr>
      </w:pPr>
      <w:r w:rsidRPr="005634BE">
        <w:rPr>
          <w:rFonts w:ascii="Times New Roman" w:eastAsia="Times New Roman" w:hAnsi="Times New Roman"/>
          <w:b/>
          <w:sz w:val="24"/>
          <w:szCs w:val="22"/>
        </w:rPr>
        <w:t xml:space="preserve">Considérations liées </w:t>
      </w:r>
      <w:r w:rsidR="00147802">
        <w:rPr>
          <w:rFonts w:ascii="Times New Roman" w:eastAsia="Times New Roman" w:hAnsi="Times New Roman"/>
          <w:b/>
          <w:sz w:val="24"/>
          <w:szCs w:val="22"/>
        </w:rPr>
        <w:t>au genre</w:t>
      </w: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27 → </w:t>
      </w:r>
      <w:r w:rsidR="005634BE" w:rsidRPr="005634BE">
        <w:rPr>
          <w:rFonts w:ascii="Times New Roman" w:eastAsia="Times New Roman" w:hAnsi="Times New Roman"/>
          <w:sz w:val="24"/>
          <w:szCs w:val="22"/>
        </w:rPr>
        <w:t>Du fait de l’organisation socioculturelle existante, les femmes, les jeunes et les personnes handicapées constituent des groupes sociaux qui sont affectés par l’inégalité des droits, des ressources (terre, ressources financières, capital productif) et du pouvoir de décision au sein de la société rurale sénégalaise. En conséquence, ces groupes sociaux sont les plus touchés par la pauvreté</w:t>
      </w:r>
      <w:r w:rsidR="00147802">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qui menace leur sécurité alimentaire et leurs conditions de vie. Au Sénégal, 30 % des ménages vivent en</w:t>
      </w:r>
      <w:r w:rsidR="002E6C8F">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dessous du seuil de pauvreté (soit moins de 2 400 calories par jour) et les femmes et les jeunes sont les plus touchés</w:t>
      </w:r>
      <w:r w:rsidR="005634BE" w:rsidRPr="005634BE">
        <w:rPr>
          <w:rFonts w:ascii="Times New Roman" w:eastAsia="Times New Roman" w:hAnsi="Times New Roman"/>
          <w:sz w:val="24"/>
          <w:szCs w:val="22"/>
          <w:vertAlign w:val="superscript"/>
        </w:rPr>
        <w:footnoteReference w:id="33"/>
      </w:r>
      <w:r w:rsidR="005634BE" w:rsidRPr="005634BE">
        <w:rPr>
          <w:rFonts w:ascii="Times New Roman" w:eastAsia="Times New Roman" w:hAnsi="Times New Roman"/>
          <w:sz w:val="24"/>
          <w:szCs w:val="22"/>
        </w:rPr>
        <w:t>. En ce qui concerne le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changement</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ils sont également les plus vulnérables. </w:t>
      </w:r>
    </w:p>
    <w:p w:rsidR="005634BE" w:rsidRPr="005634BE" w:rsidRDefault="005634BE"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28 → </w:t>
      </w:r>
      <w:r w:rsidR="005634BE" w:rsidRPr="005634BE">
        <w:rPr>
          <w:rFonts w:ascii="Times New Roman" w:eastAsia="Times New Roman" w:hAnsi="Times New Roman"/>
          <w:sz w:val="24"/>
          <w:szCs w:val="22"/>
        </w:rPr>
        <w:t>Les femmes représentent 52 % de la population sénégalaise. Elles jouent un</w:t>
      </w:r>
      <w:r w:rsidR="00F753B3">
        <w:rPr>
          <w:rFonts w:ascii="Times New Roman" w:eastAsia="Times New Roman" w:hAnsi="Times New Roman"/>
          <w:sz w:val="24"/>
          <w:szCs w:val="22"/>
        </w:rPr>
        <w:t xml:space="preserve"> rôle majeur en termes de :</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g</w:t>
      </w:r>
      <w:r w:rsidR="005634BE" w:rsidRPr="005634BE">
        <w:rPr>
          <w:rFonts w:ascii="Times New Roman" w:hAnsi="Times New Roman"/>
          <w:b/>
          <w:sz w:val="24"/>
        </w:rPr>
        <w:t>énération de revenus et production de suppléments de revenus</w:t>
      </w:r>
      <w:r w:rsidR="005634BE" w:rsidRPr="005634BE">
        <w:rPr>
          <w:rFonts w:ascii="Times New Roman" w:hAnsi="Times New Roman"/>
          <w:sz w:val="24"/>
        </w:rPr>
        <w:t xml:space="preserve"> par le biais de la culture maraîchère, de la pêche, de la récolte et de la commercialisation de produits non ligneux.  Dans les zones du projet, par exemple, les femmes sont chargées de la production de noix de cajou, de la culture maraîchère, de l’ostréiculture et de la cueillette des produits forestiers. Dans les zones rurales, elles sont responsables de plus de 80 % de la production agricole</w:t>
      </w:r>
      <w:r w:rsidR="005634BE" w:rsidRPr="005634BE">
        <w:rPr>
          <w:rFonts w:ascii="Times New Roman" w:hAnsi="Times New Roman"/>
          <w:sz w:val="24"/>
          <w:vertAlign w:val="superscript"/>
        </w:rPr>
        <w:footnoteReference w:id="34"/>
      </w:r>
      <w:r w:rsidR="005634BE" w:rsidRPr="005634BE">
        <w:rPr>
          <w:rFonts w:ascii="Times New Roman" w:hAnsi="Times New Roman"/>
          <w:sz w:val="24"/>
        </w:rPr>
        <w:t>.</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t</w:t>
      </w:r>
      <w:r w:rsidR="005634BE" w:rsidRPr="005634BE">
        <w:rPr>
          <w:rFonts w:ascii="Times New Roman" w:hAnsi="Times New Roman"/>
          <w:b/>
          <w:sz w:val="24"/>
        </w:rPr>
        <w:t>ravaux ménagers</w:t>
      </w:r>
      <w:r w:rsidR="005634BE" w:rsidRPr="005634BE">
        <w:rPr>
          <w:rFonts w:ascii="Times New Roman" w:hAnsi="Times New Roman"/>
          <w:sz w:val="24"/>
        </w:rPr>
        <w:t xml:space="preserve"> tels que la cuisine, la vaisselle, la blanchisserie, la collecte d’eau, etc. </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o</w:t>
      </w:r>
      <w:r w:rsidR="005634BE" w:rsidRPr="005634BE">
        <w:rPr>
          <w:rFonts w:ascii="Times New Roman" w:hAnsi="Times New Roman"/>
          <w:b/>
          <w:sz w:val="24"/>
        </w:rPr>
        <w:t>rganisation sociale</w:t>
      </w:r>
      <w:r w:rsidR="005634BE" w:rsidRPr="005634BE">
        <w:rPr>
          <w:rFonts w:ascii="Times New Roman" w:hAnsi="Times New Roman"/>
          <w:sz w:val="24"/>
        </w:rPr>
        <w:t xml:space="preserve"> dans la mesure où elles prennent soin des enfants et des personnes âgées</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d</w:t>
      </w:r>
      <w:r w:rsidR="005634BE" w:rsidRPr="005634BE">
        <w:rPr>
          <w:rFonts w:ascii="Times New Roman" w:hAnsi="Times New Roman"/>
          <w:b/>
          <w:sz w:val="24"/>
        </w:rPr>
        <w:t>ynamique communautaire.</w:t>
      </w:r>
      <w:r w:rsidR="005634BE" w:rsidRPr="005634BE">
        <w:rPr>
          <w:rFonts w:ascii="Times New Roman" w:hAnsi="Times New Roman"/>
          <w:sz w:val="24"/>
        </w:rPr>
        <w:t xml:space="preserve"> Dans les zones du projet, presque toutes les femmes étaient impliquées dans des associations formelles ou non formelles. Elles ont également mis en place des groupements de femmes (groupement de promotion féminin) et d’intérêt économique (groupement d’intérêt économique), et organisent des activités de crédits renouvelables afin de promouvoir le soutien mutuel, la solidarité et le développement économique. </w:t>
      </w:r>
    </w:p>
    <w:p w:rsidR="005634BE" w:rsidRPr="005634BE" w:rsidRDefault="005634BE" w:rsidP="005634BE">
      <w:pPr>
        <w:contextualSpacing/>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29 → </w:t>
      </w:r>
      <w:r w:rsidR="005634BE" w:rsidRPr="005634BE">
        <w:rPr>
          <w:rFonts w:ascii="Times New Roman" w:eastAsia="Times New Roman" w:hAnsi="Times New Roman"/>
          <w:sz w:val="24"/>
          <w:szCs w:val="22"/>
        </w:rPr>
        <w:t>Cependant, au Sénégal et dans les zones du projet, les femmes</w:t>
      </w:r>
      <w:r w:rsidR="00F753B3">
        <w:rPr>
          <w:rFonts w:ascii="Times New Roman" w:eastAsia="Times New Roman" w:hAnsi="Times New Roman"/>
          <w:sz w:val="24"/>
          <w:szCs w:val="22"/>
        </w:rPr>
        <w:t xml:space="preserve"> sont confrontées à des défis :</w:t>
      </w:r>
    </w:p>
    <w:p w:rsidR="005634BE" w:rsidRPr="005634BE" w:rsidRDefault="00F753B3" w:rsidP="005634BE">
      <w:pPr>
        <w:numPr>
          <w:ilvl w:val="0"/>
          <w:numId w:val="101"/>
        </w:numPr>
        <w:spacing w:after="0"/>
        <w:contextualSpacing/>
        <w:jc w:val="left"/>
        <w:rPr>
          <w:rFonts w:ascii="Times New Roman" w:hAnsi="Times New Roman"/>
          <w:sz w:val="24"/>
        </w:rPr>
      </w:pPr>
      <w:r>
        <w:rPr>
          <w:rFonts w:ascii="Times New Roman" w:hAnsi="Times New Roman"/>
          <w:sz w:val="24"/>
        </w:rPr>
        <w:t>l</w:t>
      </w:r>
      <w:r w:rsidR="005634BE" w:rsidRPr="005634BE">
        <w:rPr>
          <w:rFonts w:ascii="Times New Roman" w:hAnsi="Times New Roman"/>
          <w:sz w:val="24"/>
        </w:rPr>
        <w:t xml:space="preserve">es femmes des zones du projet ont souligné la </w:t>
      </w:r>
      <w:r w:rsidR="005634BE" w:rsidRPr="005634BE">
        <w:rPr>
          <w:rFonts w:ascii="Times New Roman" w:hAnsi="Times New Roman"/>
          <w:b/>
          <w:sz w:val="24"/>
        </w:rPr>
        <w:t>pénibilité de leur travail</w:t>
      </w:r>
      <w:r w:rsidR="005634BE" w:rsidRPr="005634BE">
        <w:rPr>
          <w:rFonts w:ascii="Times New Roman" w:hAnsi="Times New Roman"/>
          <w:sz w:val="24"/>
        </w:rPr>
        <w:t xml:space="preserve"> (par exemple, puiser de l’eau, moudre). Elles sont désignées par le vocable wolof « weet », qui signifie qu’elles pensent toujours à leurs devoirs.</w:t>
      </w:r>
    </w:p>
    <w:p w:rsidR="005634BE" w:rsidRPr="005634BE" w:rsidRDefault="00F753B3" w:rsidP="005634BE">
      <w:pPr>
        <w:numPr>
          <w:ilvl w:val="0"/>
          <w:numId w:val="101"/>
        </w:numPr>
        <w:spacing w:after="0"/>
        <w:contextualSpacing/>
        <w:jc w:val="left"/>
        <w:rPr>
          <w:rFonts w:ascii="Times New Roman" w:hAnsi="Times New Roman"/>
          <w:sz w:val="24"/>
        </w:rPr>
      </w:pPr>
      <w:r>
        <w:rPr>
          <w:rFonts w:ascii="Times New Roman" w:hAnsi="Times New Roman"/>
          <w:sz w:val="24"/>
        </w:rPr>
        <w:t>l</w:t>
      </w:r>
      <w:r w:rsidR="005634BE" w:rsidRPr="005634BE">
        <w:rPr>
          <w:rFonts w:ascii="Times New Roman" w:hAnsi="Times New Roman"/>
          <w:sz w:val="24"/>
        </w:rPr>
        <w:t>e</w:t>
      </w:r>
      <w:r w:rsidR="00F24462">
        <w:rPr>
          <w:rFonts w:ascii="Times New Roman" w:hAnsi="Times New Roman"/>
          <w:sz w:val="24"/>
        </w:rPr>
        <w:t>s</w:t>
      </w:r>
      <w:r w:rsidR="005634BE" w:rsidRPr="005634BE">
        <w:rPr>
          <w:rFonts w:ascii="Times New Roman" w:hAnsi="Times New Roman"/>
          <w:sz w:val="24"/>
        </w:rPr>
        <w:t xml:space="preserve"> changement</w:t>
      </w:r>
      <w:r w:rsidR="00F24462">
        <w:rPr>
          <w:rFonts w:ascii="Times New Roman" w:hAnsi="Times New Roman"/>
          <w:sz w:val="24"/>
        </w:rPr>
        <w:t>s</w:t>
      </w:r>
      <w:r w:rsidR="005634BE" w:rsidRPr="005634BE">
        <w:rPr>
          <w:rFonts w:ascii="Times New Roman" w:hAnsi="Times New Roman"/>
          <w:sz w:val="24"/>
        </w:rPr>
        <w:t xml:space="preserve"> climatique</w:t>
      </w:r>
      <w:r w:rsidR="00F24462">
        <w:rPr>
          <w:rFonts w:ascii="Times New Roman" w:hAnsi="Times New Roman"/>
          <w:sz w:val="24"/>
        </w:rPr>
        <w:t>s</w:t>
      </w:r>
      <w:r w:rsidR="005634BE" w:rsidRPr="005634BE">
        <w:rPr>
          <w:rFonts w:ascii="Times New Roman" w:hAnsi="Times New Roman"/>
          <w:sz w:val="24"/>
        </w:rPr>
        <w:t xml:space="preserve"> accentue</w:t>
      </w:r>
      <w:r w:rsidR="00F24462">
        <w:rPr>
          <w:rFonts w:ascii="Times New Roman" w:hAnsi="Times New Roman"/>
          <w:sz w:val="24"/>
        </w:rPr>
        <w:t>nt</w:t>
      </w:r>
      <w:r w:rsidR="005634BE" w:rsidRPr="005634BE">
        <w:rPr>
          <w:rFonts w:ascii="Times New Roman" w:hAnsi="Times New Roman"/>
          <w:sz w:val="24"/>
        </w:rPr>
        <w:t xml:space="preserve"> la difficulté du travail des femmes. Dans les zones du projet, les femmes ont déclaré que l’accès aux ressources naturelles (eau et énergie) devient de plus en plus difficile. </w:t>
      </w:r>
    </w:p>
    <w:p w:rsidR="005634BE" w:rsidRPr="005634BE" w:rsidRDefault="00F753B3" w:rsidP="005634BE">
      <w:pPr>
        <w:numPr>
          <w:ilvl w:val="0"/>
          <w:numId w:val="101"/>
        </w:numPr>
        <w:spacing w:after="0"/>
        <w:contextualSpacing/>
        <w:rPr>
          <w:rFonts w:ascii="Times New Roman" w:hAnsi="Times New Roman"/>
          <w:sz w:val="24"/>
        </w:rPr>
      </w:pPr>
      <w:r>
        <w:rPr>
          <w:rFonts w:ascii="Times New Roman" w:hAnsi="Times New Roman"/>
          <w:b/>
          <w:sz w:val="24"/>
        </w:rPr>
        <w:lastRenderedPageBreak/>
        <w:t>le m</w:t>
      </w:r>
      <w:r w:rsidR="005634BE" w:rsidRPr="005634BE">
        <w:rPr>
          <w:rFonts w:ascii="Times New Roman" w:hAnsi="Times New Roman"/>
          <w:b/>
          <w:sz w:val="24"/>
        </w:rPr>
        <w:t>anque d’accès aux ressources productives.</w:t>
      </w:r>
      <w:r w:rsidR="005634BE" w:rsidRPr="005634BE">
        <w:rPr>
          <w:rFonts w:ascii="Times New Roman" w:hAnsi="Times New Roman"/>
          <w:sz w:val="24"/>
        </w:rPr>
        <w:t xml:space="preserve"> Au Sénégal, les femmes ne possèdent que 4 % des terres arables et les ressources financières leur font défaut. Dans les zones du projet, les femmes ont affirmé qu’elles éprouvaient des difficultés à accéder au crédit et à l’aide au développement pour les chaînes de valeur dans lesquelles elles sont impliquées en raison de l’insuffisance des garanties financières. Elles ont également déclaré que les banques et les mutuelles leur facturent des taux d’intérêt plus élevés. De plus, elles n’ont pas accès à l’information, ne comprennent pas le droit et n’ont pas accès aux procédures d’allocation des ressources.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30 → </w:t>
      </w:r>
      <w:r w:rsidR="005634BE" w:rsidRPr="005634BE">
        <w:rPr>
          <w:rFonts w:ascii="Times New Roman" w:eastAsia="Times New Roman" w:hAnsi="Times New Roman"/>
          <w:sz w:val="24"/>
          <w:szCs w:val="22"/>
        </w:rPr>
        <w:t>Cela est dû au poids du système patriarcal, qui implique que leur participation à la prise de décision du ménage est très limitée et que leur taux d’analphabétisme, 67,9 %</w:t>
      </w:r>
      <w:r w:rsidR="005634BE" w:rsidRPr="005634BE">
        <w:rPr>
          <w:rFonts w:ascii="Times New Roman" w:eastAsia="Times New Roman" w:hAnsi="Times New Roman"/>
          <w:sz w:val="24"/>
          <w:szCs w:val="22"/>
          <w:vertAlign w:val="superscript"/>
        </w:rPr>
        <w:footnoteReference w:id="35"/>
      </w:r>
      <w:r w:rsidR="005634BE" w:rsidRPr="005634BE">
        <w:rPr>
          <w:rFonts w:ascii="Times New Roman" w:eastAsia="Times New Roman" w:hAnsi="Times New Roman"/>
          <w:sz w:val="24"/>
          <w:szCs w:val="22"/>
        </w:rPr>
        <w:t>, est plus élevé. Toutefois, le Gouvernement sénégalais a lancé une stratégie nation</w:t>
      </w:r>
      <w:r w:rsidR="00990A25">
        <w:rPr>
          <w:rFonts w:ascii="Times New Roman" w:eastAsia="Times New Roman" w:hAnsi="Times New Roman"/>
          <w:sz w:val="24"/>
          <w:szCs w:val="22"/>
        </w:rPr>
        <w:t>ale de réduction de la pauvreté</w:t>
      </w:r>
      <w:r w:rsidR="005634BE" w:rsidRPr="005634BE">
        <w:rPr>
          <w:rFonts w:ascii="Times New Roman" w:eastAsia="Times New Roman" w:hAnsi="Times New Roman"/>
          <w:sz w:val="24"/>
          <w:szCs w:val="22"/>
        </w:rPr>
        <w:t xml:space="preserve"> qui prend en compte l’équité entre les sexes et pour les groupes vulné</w:t>
      </w:r>
      <w:r w:rsidR="00D11BF5">
        <w:rPr>
          <w:rFonts w:ascii="Times New Roman" w:eastAsia="Times New Roman" w:hAnsi="Times New Roman"/>
          <w:sz w:val="24"/>
          <w:szCs w:val="22"/>
        </w:rPr>
        <w:t xml:space="preserve">rables. Il a également ratifié </w:t>
      </w:r>
      <w:r w:rsidR="00D11BF5" w:rsidRPr="00D11BF5">
        <w:rPr>
          <w:rFonts w:ascii="Times New Roman" w:eastAsia="Times New Roman" w:hAnsi="Times New Roman"/>
          <w:sz w:val="24"/>
          <w:szCs w:val="22"/>
        </w:rPr>
        <w:t>des</w:t>
      </w:r>
      <w:r w:rsidR="00990A25" w:rsidRPr="00D11BF5">
        <w:rPr>
          <w:rFonts w:ascii="Times New Roman" w:eastAsia="Times New Roman" w:hAnsi="Times New Roman"/>
          <w:sz w:val="24"/>
          <w:szCs w:val="22"/>
        </w:rPr>
        <w:t xml:space="preserve"> C</w:t>
      </w:r>
      <w:r w:rsidR="005634BE" w:rsidRPr="00D11BF5">
        <w:rPr>
          <w:rFonts w:ascii="Times New Roman" w:eastAsia="Times New Roman" w:hAnsi="Times New Roman"/>
          <w:sz w:val="24"/>
          <w:szCs w:val="22"/>
        </w:rPr>
        <w:t>onventions</w:t>
      </w:r>
      <w:r w:rsidR="00D11BF5" w:rsidRPr="00D11BF5">
        <w:rPr>
          <w:rFonts w:ascii="Times New Roman" w:eastAsia="Times New Roman" w:hAnsi="Times New Roman"/>
          <w:sz w:val="24"/>
          <w:szCs w:val="22"/>
        </w:rPr>
        <w:t xml:space="preserve"> internationales</w:t>
      </w:r>
      <w:r w:rsidR="005634BE" w:rsidRPr="00D11BF5">
        <w:rPr>
          <w:rFonts w:ascii="Times New Roman" w:eastAsia="Times New Roman" w:hAnsi="Times New Roman"/>
          <w:sz w:val="24"/>
          <w:szCs w:val="22"/>
        </w:rPr>
        <w:t xml:space="preserve"> relatives aux droits de l’homme</w:t>
      </w:r>
      <w:r w:rsidR="00D11BF5" w:rsidRPr="00D11BF5">
        <w:rPr>
          <w:rFonts w:ascii="Times New Roman" w:eastAsia="Times New Roman" w:hAnsi="Times New Roman"/>
          <w:sz w:val="24"/>
          <w:szCs w:val="22"/>
        </w:rPr>
        <w:t xml:space="preserve"> ainsi que</w:t>
      </w:r>
      <w:r w:rsidR="005634BE" w:rsidRPr="00D11BF5">
        <w:rPr>
          <w:rFonts w:ascii="Times New Roman" w:eastAsia="Times New Roman" w:hAnsi="Times New Roman"/>
          <w:sz w:val="24"/>
          <w:szCs w:val="22"/>
        </w:rPr>
        <w:t xml:space="preserve"> la Convention sur l’élimination de toutes les formes de discrimination à l’égard des femmes (1985</w:t>
      </w:r>
      <w:r w:rsidR="005634BE" w:rsidRPr="005634BE">
        <w:rPr>
          <w:rFonts w:ascii="Times New Roman" w:eastAsia="Times New Roman" w:hAnsi="Times New Roman"/>
          <w:sz w:val="24"/>
          <w:szCs w:val="22"/>
        </w:rPr>
        <w:t>). L’égalité des sexes est également consacrée par la Constitution dans les domaines du droit de la famille, du droit pénal, du droit du travail et de l’accès à la terre et a été mise en œuvre dans le cadre de divers programmes. En conséquence, le taux d’analphabétisme a diminué (78 % en 1995 et 72 % en 2001)</w:t>
      </w:r>
      <w:r w:rsidR="005634BE" w:rsidRPr="005634BE">
        <w:rPr>
          <w:rFonts w:ascii="Times New Roman" w:eastAsia="Times New Roman" w:hAnsi="Times New Roman"/>
          <w:sz w:val="24"/>
          <w:szCs w:val="22"/>
          <w:vertAlign w:val="superscript"/>
        </w:rPr>
        <w:t xml:space="preserve"> </w:t>
      </w:r>
      <w:r w:rsidR="005634BE" w:rsidRPr="005634BE">
        <w:rPr>
          <w:rFonts w:ascii="Times New Roman" w:eastAsia="Times New Roman" w:hAnsi="Times New Roman"/>
          <w:sz w:val="24"/>
          <w:szCs w:val="22"/>
          <w:vertAlign w:val="superscript"/>
        </w:rPr>
        <w:footnoteReference w:id="36"/>
      </w:r>
      <w:r w:rsidR="005634BE" w:rsidRPr="005634BE">
        <w:rPr>
          <w:rFonts w:ascii="Times New Roman" w:eastAsia="Times New Roman" w:hAnsi="Times New Roman"/>
          <w:sz w:val="24"/>
          <w:szCs w:val="22"/>
        </w:rPr>
        <w:t xml:space="preserve"> et les femmes sont représentées dans les institutions des zones du projet. Par ailleurs, le Gouvernement a lancé en 2008 une Stratégie nationale pour l’égalité et l’équité de genre (SNEEG). </w:t>
      </w:r>
    </w:p>
    <w:p w:rsidR="005634BE" w:rsidRPr="005634BE" w:rsidRDefault="005634BE"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31 → </w:t>
      </w:r>
      <w:r w:rsidR="005634BE" w:rsidRPr="005634BE">
        <w:rPr>
          <w:rFonts w:ascii="Times New Roman" w:eastAsia="Times New Roman" w:hAnsi="Times New Roman"/>
          <w:sz w:val="24"/>
          <w:szCs w:val="22"/>
        </w:rPr>
        <w:t xml:space="preserve">Le projet appuie une approche pour le développement tenant compte des disparités entre les sexes </w:t>
      </w:r>
      <w:r w:rsidR="005634BE" w:rsidRPr="00F82528">
        <w:rPr>
          <w:rFonts w:ascii="Times New Roman" w:eastAsia="Times New Roman" w:hAnsi="Times New Roman"/>
          <w:sz w:val="24"/>
          <w:szCs w:val="22"/>
        </w:rPr>
        <w:t>afin</w:t>
      </w:r>
      <w:r w:rsidR="005634BE" w:rsidRPr="005634BE">
        <w:rPr>
          <w:rFonts w:ascii="Times New Roman" w:eastAsia="Times New Roman" w:hAnsi="Times New Roman"/>
          <w:sz w:val="24"/>
          <w:szCs w:val="22"/>
        </w:rPr>
        <w:t xml:space="preserve"> d’assurer des opportunités, des ressources, des avantages et des stratégies d’adaptation au</w:t>
      </w:r>
      <w:r w:rsidR="00F2446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changement</w:t>
      </w:r>
      <w:r w:rsidR="00F2446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F2446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partagés sur un pied d’égalité entre les groupes sociaux dans les zones cibles. Divers outils et stratégies ont été développés pour atteindre cet objectif. Des indicateurs et des objectifs tenant compte des disparités entre les sexes ont été élaborés pour suivre l’avancement du projet financé par le Fonds pour les PMA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p w:rsidR="005634BE" w:rsidRPr="005634BE" w:rsidRDefault="005634BE" w:rsidP="005634BE">
      <w:pPr>
        <w:spacing w:after="0"/>
        <w:jc w:val="left"/>
        <w:rPr>
          <w:rFonts w:ascii="Times New Roman" w:hAnsi="Times New Roman"/>
          <w:b/>
          <w:sz w:val="24"/>
          <w:szCs w:val="20"/>
        </w:rPr>
      </w:pPr>
    </w:p>
    <w:p w:rsidR="005634BE" w:rsidRPr="005634BE" w:rsidRDefault="005634BE" w:rsidP="005634BE">
      <w:pPr>
        <w:spacing w:after="0"/>
        <w:jc w:val="left"/>
        <w:rPr>
          <w:rFonts w:ascii="Times New Roman" w:hAnsi="Times New Roman"/>
          <w:b/>
          <w:sz w:val="24"/>
          <w:szCs w:val="20"/>
        </w:rPr>
      </w:pPr>
    </w:p>
    <w:p w:rsidR="005634BE" w:rsidRPr="005634BE" w:rsidRDefault="005634BE" w:rsidP="005634BE">
      <w:pPr>
        <w:spacing w:after="0"/>
        <w:jc w:val="left"/>
        <w:rPr>
          <w:rFonts w:ascii="Times New Roman" w:hAnsi="Times New Roman"/>
          <w:b/>
          <w:sz w:val="24"/>
          <w:szCs w:val="20"/>
        </w:rPr>
      </w:pPr>
      <w:r w:rsidRPr="005634BE">
        <w:rPr>
          <w:rFonts w:ascii="Times New Roman" w:hAnsi="Times New Roman"/>
          <w:b/>
          <w:sz w:val="24"/>
          <w:szCs w:val="20"/>
        </w:rPr>
        <w:t>Intervention en cours dans le pays</w:t>
      </w:r>
    </w:p>
    <w:p w:rsidR="005634BE" w:rsidRPr="005634BE" w:rsidRDefault="005634BE" w:rsidP="005634BE">
      <w:pPr>
        <w:spacing w:after="0"/>
        <w:rPr>
          <w:rFonts w:ascii="Times New Roman" w:hAnsi="Times New Roman"/>
          <w:sz w:val="24"/>
          <w:szCs w:val="20"/>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32 → </w:t>
      </w:r>
      <w:r w:rsidR="005634BE" w:rsidRPr="005634BE">
        <w:rPr>
          <w:rFonts w:ascii="Times New Roman" w:eastAsia="Times New Roman" w:hAnsi="Times New Roman"/>
          <w:sz w:val="24"/>
          <w:szCs w:val="22"/>
        </w:rPr>
        <w:t xml:space="preserve">Plusieurs projets FEM et d’autres organismes sur l’adaptation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sont actuellement mis en œuvre au Sénégal. Les projets et programmes antérieurs se sont largement </w:t>
      </w:r>
      <w:r w:rsidR="005634BE" w:rsidRPr="005634BE">
        <w:rPr>
          <w:rFonts w:ascii="Times New Roman" w:eastAsia="Times New Roman" w:hAnsi="Times New Roman"/>
          <w:sz w:val="24"/>
          <w:szCs w:val="22"/>
        </w:rPr>
        <w:lastRenderedPageBreak/>
        <w:t>concentrés soit sur le niveau des politiques (conception des PANA), soit sur l’approche sectorielle (promotion d’une agriculture résiliente ou gestion des bassins versants). Si les initiatives en cours dans le pays offrent des possibilités d’échange de connaissances et de synergies avec le projet financé par le Fonds pour les PMA, aucune d’entre elles n’a développé d’approche intégrée avec la mise en place de mécanismes financiers. Ces initiatives en cours sont décrites ci-dessous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33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national de développement local (PNDL)</w:t>
      </w:r>
      <w:r w:rsidR="00F753B3">
        <w:rPr>
          <w:rFonts w:ascii="Times New Roman" w:eastAsia="Times New Roman" w:hAnsi="Times New Roman"/>
          <w:sz w:val="24"/>
          <w:szCs w:val="22"/>
        </w:rPr>
        <w:t>. M</w:t>
      </w:r>
      <w:r w:rsidR="005634BE" w:rsidRPr="005634BE">
        <w:rPr>
          <w:rFonts w:ascii="Times New Roman" w:eastAsia="Times New Roman" w:hAnsi="Times New Roman"/>
          <w:sz w:val="24"/>
          <w:szCs w:val="22"/>
        </w:rPr>
        <w:t>is en œuvre par le Gouvernement sénégalais</w:t>
      </w:r>
      <w:r w:rsidR="00F753B3">
        <w:rPr>
          <w:rFonts w:ascii="Times New Roman" w:eastAsia="Times New Roman" w:hAnsi="Times New Roman"/>
          <w:sz w:val="24"/>
          <w:szCs w:val="22"/>
        </w:rPr>
        <w:t>, il</w:t>
      </w:r>
      <w:r w:rsidR="005634BE" w:rsidRPr="005634BE">
        <w:rPr>
          <w:rFonts w:ascii="Times New Roman" w:eastAsia="Times New Roman" w:hAnsi="Times New Roman"/>
          <w:sz w:val="24"/>
          <w:szCs w:val="22"/>
        </w:rPr>
        <w:t xml:space="preserve"> soutient la fourniture efficace, efficiente et durable de services socioéconomiques de base aux populations. Il est mis en œuvre dans le cadre des objectifs du document de stratégie de réduction de la pauvreté (DSRP) et des OMD. Les objectifs sont</w:t>
      </w:r>
      <w:r w:rsidR="00F753B3">
        <w:rPr>
          <w:rFonts w:ascii="Times New Roman" w:eastAsia="Times New Roman" w:hAnsi="Times New Roman"/>
          <w:sz w:val="24"/>
          <w:szCs w:val="22"/>
        </w:rPr>
        <w:t> : i) </w:t>
      </w:r>
      <w:r w:rsidR="005634BE" w:rsidRPr="005634BE">
        <w:rPr>
          <w:rFonts w:ascii="Times New Roman" w:eastAsia="Times New Roman" w:hAnsi="Times New Roman"/>
          <w:sz w:val="24"/>
          <w:szCs w:val="22"/>
        </w:rPr>
        <w:t>d’accroître l’accès aux infrastructures et aux services sociaux de base par des interven</w:t>
      </w:r>
      <w:r w:rsidR="00F753B3">
        <w:rPr>
          <w:rFonts w:ascii="Times New Roman" w:eastAsia="Times New Roman" w:hAnsi="Times New Roman"/>
          <w:sz w:val="24"/>
          <w:szCs w:val="22"/>
        </w:rPr>
        <w:t>tions directes et indirectes ;</w:t>
      </w:r>
      <w:r w:rsidR="005634BE" w:rsidRPr="005634BE">
        <w:rPr>
          <w:rFonts w:ascii="Times New Roman" w:eastAsia="Times New Roman" w:hAnsi="Times New Roman"/>
          <w:sz w:val="24"/>
          <w:szCs w:val="22"/>
        </w:rPr>
        <w:t xml:space="preserve"> ii)</w:t>
      </w:r>
      <w:r w:rsidR="00F753B3">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d’accroître l’accès aux ressources financières pour le développement d’activités génératrices de revenus par les populations les plus pauvres.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34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d’amélioration la dynamique du développement économique et social</w:t>
      </w:r>
      <w:r w:rsidR="005A43F3">
        <w:rPr>
          <w:rFonts w:ascii="Times New Roman" w:eastAsia="Times New Roman" w:hAnsi="Times New Roman"/>
          <w:b/>
          <w:sz w:val="24"/>
          <w:szCs w:val="22"/>
        </w:rPr>
        <w:t>.</w:t>
      </w:r>
      <w:r w:rsidR="005634BE" w:rsidRPr="005634BE">
        <w:rPr>
          <w:rFonts w:ascii="Times New Roman" w:eastAsia="Times New Roman" w:hAnsi="Times New Roman"/>
          <w:b/>
          <w:sz w:val="24"/>
          <w:szCs w:val="22"/>
        </w:rPr>
        <w:t xml:space="preserve"> </w:t>
      </w:r>
      <w:r w:rsidR="005A43F3">
        <w:rPr>
          <w:rFonts w:ascii="Times New Roman" w:eastAsia="Times New Roman" w:hAnsi="Times New Roman"/>
          <w:sz w:val="24"/>
          <w:szCs w:val="22"/>
        </w:rPr>
        <w:t>M</w:t>
      </w:r>
      <w:r w:rsidR="005634BE" w:rsidRPr="005634BE">
        <w:rPr>
          <w:rFonts w:ascii="Times New Roman" w:eastAsia="Times New Roman" w:hAnsi="Times New Roman"/>
          <w:sz w:val="24"/>
          <w:szCs w:val="22"/>
        </w:rPr>
        <w:t>is en œuvre par le PNUD</w:t>
      </w:r>
      <w:r w:rsidR="005A43F3">
        <w:rPr>
          <w:rFonts w:ascii="Times New Roman" w:eastAsia="Times New Roman" w:hAnsi="Times New Roman"/>
          <w:sz w:val="24"/>
          <w:szCs w:val="22"/>
        </w:rPr>
        <w:t>, il</w:t>
      </w:r>
      <w:r w:rsidR="005634BE" w:rsidRPr="005634BE">
        <w:rPr>
          <w:rFonts w:ascii="Times New Roman" w:eastAsia="Times New Roman" w:hAnsi="Times New Roman"/>
          <w:sz w:val="24"/>
          <w:szCs w:val="22"/>
        </w:rPr>
        <w:t xml:space="preserve"> est financé par ladite institution, le Gouvernement sénégalais et le Gouvernement luxembourgeois.</w:t>
      </w:r>
      <w:r w:rsidR="005634BE" w:rsidRPr="005634BE">
        <w:rPr>
          <w:rFonts w:ascii="Times New Roman" w:eastAsia="Times New Roman" w:hAnsi="Times New Roman"/>
          <w:b/>
          <w:sz w:val="24"/>
          <w:szCs w:val="22"/>
        </w:rPr>
        <w:t xml:space="preserve"> </w:t>
      </w:r>
      <w:r w:rsidR="005634BE" w:rsidRPr="005634BE">
        <w:rPr>
          <w:rFonts w:ascii="Times New Roman" w:eastAsia="Times New Roman" w:hAnsi="Times New Roman"/>
          <w:sz w:val="24"/>
          <w:szCs w:val="22"/>
        </w:rPr>
        <w:t>Le pr</w:t>
      </w:r>
      <w:r w:rsidR="00F753B3">
        <w:rPr>
          <w:rFonts w:ascii="Times New Roman" w:eastAsia="Times New Roman" w:hAnsi="Times New Roman"/>
          <w:sz w:val="24"/>
          <w:szCs w:val="22"/>
        </w:rPr>
        <w:t>ojet vise quatre résultats : i) </w:t>
      </w:r>
      <w:r w:rsidR="005634BE" w:rsidRPr="005634BE">
        <w:rPr>
          <w:rFonts w:ascii="Times New Roman" w:eastAsia="Times New Roman" w:hAnsi="Times New Roman"/>
          <w:sz w:val="24"/>
          <w:szCs w:val="22"/>
        </w:rPr>
        <w:t>la promotion d’initiatives locales de développement économique en faveur des femmes et des jeunes</w:t>
      </w:r>
      <w:r w:rsidR="00F753B3">
        <w:rPr>
          <w:rFonts w:ascii="Times New Roman" w:eastAsia="Times New Roman" w:hAnsi="Times New Roman"/>
          <w:sz w:val="24"/>
          <w:szCs w:val="22"/>
        </w:rPr>
        <w:t> ; ii) </w:t>
      </w:r>
      <w:r w:rsidR="005634BE" w:rsidRPr="005634BE">
        <w:rPr>
          <w:rFonts w:ascii="Times New Roman" w:eastAsia="Times New Roman" w:hAnsi="Times New Roman"/>
          <w:sz w:val="24"/>
          <w:szCs w:val="22"/>
        </w:rPr>
        <w:t>le renforcement et élargissement du mécanisme de financement de l’intégration des jeunes dans le système d’enseignement technique et professionnel</w:t>
      </w:r>
      <w:r w:rsidR="00F753B3">
        <w:rPr>
          <w:rFonts w:ascii="Times New Roman" w:eastAsia="Times New Roman" w:hAnsi="Times New Roman"/>
          <w:sz w:val="24"/>
          <w:szCs w:val="22"/>
        </w:rPr>
        <w:t> ; iii) </w:t>
      </w:r>
      <w:r w:rsidR="005634BE" w:rsidRPr="005634BE">
        <w:rPr>
          <w:rFonts w:ascii="Times New Roman" w:eastAsia="Times New Roman" w:hAnsi="Times New Roman"/>
          <w:sz w:val="24"/>
          <w:szCs w:val="22"/>
        </w:rPr>
        <w:t>le renforcement et l’élargissement de la protection sociale des groupes vulnérables en pour une croissance économique inclusive</w:t>
      </w:r>
      <w:r w:rsidR="00F753B3">
        <w:rPr>
          <w:rFonts w:ascii="Times New Roman" w:eastAsia="Times New Roman" w:hAnsi="Times New Roman"/>
          <w:sz w:val="24"/>
          <w:szCs w:val="22"/>
        </w:rPr>
        <w:t> ; iv) </w:t>
      </w:r>
      <w:r w:rsidR="005634BE" w:rsidRPr="005634BE">
        <w:rPr>
          <w:rFonts w:ascii="Times New Roman" w:eastAsia="Times New Roman" w:hAnsi="Times New Roman"/>
          <w:sz w:val="24"/>
          <w:szCs w:val="22"/>
        </w:rPr>
        <w:t>la gestion stratégique de la Stratégie nationale de développement économique et social (SNDES) et le suivi de la pauvreté pour la promotion d’un développement humain durable.</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35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a </w:t>
      </w:r>
      <w:r w:rsidR="005634BE" w:rsidRPr="005634BE">
        <w:rPr>
          <w:rFonts w:ascii="Times New Roman" w:eastAsia="Times New Roman" w:hAnsi="Times New Roman"/>
          <w:b/>
          <w:sz w:val="24"/>
          <w:szCs w:val="22"/>
        </w:rPr>
        <w:t>Politique sectorielle de microfinance</w:t>
      </w:r>
      <w:r w:rsidR="005634BE" w:rsidRPr="005634BE">
        <w:rPr>
          <w:rFonts w:ascii="Times New Roman" w:eastAsia="Times New Roman" w:hAnsi="Times New Roman"/>
          <w:sz w:val="24"/>
          <w:szCs w:val="22"/>
        </w:rPr>
        <w:t xml:space="preserve"> est mise en œuvre et financée par le Ministère de l’économie et des finances</w:t>
      </w:r>
      <w:r w:rsidR="002E6C8F">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 xml:space="preserve">Elle est mise en œuvre dans le cadre de la Lettre de politique sectorielle sur la microfinance. Les objectifs sont i) de diversifier et de renforcer l’offre de produits de microfinance, ii) de renforcer la qualité et l’innovation des collaborations, iii) de fournir des modèles financiers alternatifs pour renforcer les PME afin d’accroître la résilience des ménages, et iv) d’améliorer l’accès des ménages aux sources de financement locales. </w:t>
      </w:r>
    </w:p>
    <w:p w:rsidR="005634BE" w:rsidRPr="005634BE" w:rsidRDefault="005634BE" w:rsidP="005634BE">
      <w:pPr>
        <w:spacing w:after="0"/>
        <w:rPr>
          <w:rFonts w:ascii="Times New Roman" w:eastAsia="Times New Roman" w:hAnsi="Times New Roman"/>
          <w:noProof/>
          <w:sz w:val="24"/>
          <w:szCs w:val="22"/>
          <w:u w:val="single"/>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36 → </w:t>
      </w:r>
      <w:r w:rsidR="00E5196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projet financé par le Fonds pour les PMA, intitulé </w:t>
      </w:r>
      <w:r w:rsidR="005634BE" w:rsidRPr="005634BE">
        <w:rPr>
          <w:rFonts w:ascii="Times New Roman" w:eastAsia="Times New Roman" w:hAnsi="Times New Roman"/>
          <w:b/>
          <w:sz w:val="24"/>
          <w:szCs w:val="22"/>
        </w:rPr>
        <w:t>« Intégration de la résilience climatique dans la production agropastorale pour la sécurité alimentaire dans les zones rurales vulnérables grâce à l’approche des champs-écoles paysans »</w:t>
      </w:r>
      <w:r w:rsidR="005634BE" w:rsidRPr="005634BE">
        <w:rPr>
          <w:rFonts w:ascii="Times New Roman" w:eastAsia="Times New Roman" w:hAnsi="Times New Roman"/>
          <w:sz w:val="24"/>
          <w:szCs w:val="22"/>
        </w:rPr>
        <w:t xml:space="preserve">, </w:t>
      </w:r>
      <w:r w:rsidR="00E5196E">
        <w:rPr>
          <w:rFonts w:ascii="Times New Roman" w:eastAsia="Times New Roman" w:hAnsi="Times New Roman"/>
          <w:sz w:val="24"/>
          <w:szCs w:val="22"/>
        </w:rPr>
        <w:t xml:space="preserve">qui </w:t>
      </w:r>
      <w:r w:rsidR="005634BE" w:rsidRPr="005634BE">
        <w:rPr>
          <w:rFonts w:ascii="Times New Roman" w:eastAsia="Times New Roman" w:hAnsi="Times New Roman"/>
          <w:sz w:val="24"/>
          <w:szCs w:val="22"/>
        </w:rPr>
        <w:t>est actuellement mis en œuvre par la FAO. L’objectif s</w:t>
      </w:r>
      <w:r w:rsidR="00E5196E">
        <w:rPr>
          <w:rFonts w:ascii="Times New Roman" w:eastAsia="Times New Roman" w:hAnsi="Times New Roman"/>
          <w:sz w:val="24"/>
          <w:szCs w:val="22"/>
        </w:rPr>
        <w:t>pécifique du projet est de : i) </w:t>
      </w:r>
      <w:r w:rsidR="005634BE" w:rsidRPr="005634BE">
        <w:rPr>
          <w:rFonts w:ascii="Times New Roman" w:eastAsia="Times New Roman" w:hAnsi="Times New Roman"/>
          <w:sz w:val="24"/>
          <w:szCs w:val="22"/>
        </w:rPr>
        <w:t xml:space="preserve">faciliter l’utilisation des informations agroclimatiques et l’adoption de mesures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par les producteurs agrosylvopastora</w:t>
      </w:r>
      <w:r w:rsidR="00E5196E">
        <w:rPr>
          <w:rFonts w:ascii="Times New Roman" w:eastAsia="Times New Roman" w:hAnsi="Times New Roman"/>
          <w:sz w:val="24"/>
          <w:szCs w:val="22"/>
        </w:rPr>
        <w:t>ux ;</w:t>
      </w:r>
      <w:r w:rsidR="005634BE" w:rsidRPr="005634BE">
        <w:rPr>
          <w:rFonts w:ascii="Times New Roman" w:eastAsia="Times New Roman" w:hAnsi="Times New Roman"/>
          <w:sz w:val="24"/>
          <w:szCs w:val="22"/>
        </w:rPr>
        <w:t xml:space="preserve"> ii)</w:t>
      </w:r>
      <w:r w:rsidR="00E5196E">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améliorer la capacité du secteur agrosylvopastoral à faire face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en intégrant les politiques, les programmes et les stratégies d’adaptation à ce phénomène. Le</w:t>
      </w:r>
      <w:r w:rsidR="00E5196E">
        <w:rPr>
          <w:rFonts w:ascii="Times New Roman" w:eastAsia="Times New Roman" w:hAnsi="Times New Roman"/>
          <w:sz w:val="24"/>
          <w:szCs w:val="22"/>
        </w:rPr>
        <w:t xml:space="preserve"> projet est organisé autour de quatre composantes : i) </w:t>
      </w:r>
      <w:r w:rsidR="005634BE" w:rsidRPr="005634BE">
        <w:rPr>
          <w:rFonts w:ascii="Times New Roman" w:eastAsia="Times New Roman" w:hAnsi="Times New Roman"/>
          <w:sz w:val="24"/>
          <w:szCs w:val="22"/>
        </w:rPr>
        <w:t xml:space="preserve">l’élaboration et le perfectionnement de stratégies et d’outils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fondés sur des connaissances et une gestion nouvelles ou améliorées en la matière dans </w:t>
      </w:r>
      <w:r w:rsidR="00E5196E">
        <w:rPr>
          <w:rFonts w:ascii="Times New Roman" w:eastAsia="Times New Roman" w:hAnsi="Times New Roman"/>
          <w:sz w:val="24"/>
          <w:szCs w:val="22"/>
        </w:rPr>
        <w:t>les systèmes agrosylvopastoraux ; ii) </w:t>
      </w:r>
      <w:r w:rsidR="005634BE" w:rsidRPr="005634BE">
        <w:rPr>
          <w:rFonts w:ascii="Times New Roman" w:eastAsia="Times New Roman" w:hAnsi="Times New Roman"/>
          <w:sz w:val="24"/>
          <w:szCs w:val="22"/>
        </w:rPr>
        <w:t xml:space="preserve">le renforcement des capacités et la diffusion des stratégies, des technologies et des meilleures pratiques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dans les petits producteurs agrosylvopastoraux à travers un réseau cro</w:t>
      </w:r>
      <w:r w:rsidR="00E5196E">
        <w:rPr>
          <w:rFonts w:ascii="Times New Roman" w:eastAsia="Times New Roman" w:hAnsi="Times New Roman"/>
          <w:sz w:val="24"/>
          <w:szCs w:val="22"/>
        </w:rPr>
        <w:t>issant de champs-écoles paysans ; iii) </w:t>
      </w:r>
      <w:r w:rsidR="005634BE" w:rsidRPr="005634BE">
        <w:rPr>
          <w:rFonts w:ascii="Times New Roman" w:eastAsia="Times New Roman" w:hAnsi="Times New Roman"/>
          <w:sz w:val="24"/>
          <w:szCs w:val="22"/>
        </w:rPr>
        <w:t xml:space="preserve">l’intégration d’une stratégie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coordonnée dans les </w:t>
      </w:r>
      <w:r w:rsidR="005634BE" w:rsidRPr="005634BE">
        <w:rPr>
          <w:rFonts w:ascii="Times New Roman" w:eastAsia="Times New Roman" w:hAnsi="Times New Roman"/>
          <w:sz w:val="24"/>
          <w:szCs w:val="22"/>
        </w:rPr>
        <w:lastRenderedPageBreak/>
        <w:t>politiques, programmes et projets du secteur agrosylvopastoral en cours d’élaboration au niveau national et dans les</w:t>
      </w:r>
      <w:r w:rsidR="00E5196E">
        <w:rPr>
          <w:rFonts w:ascii="Times New Roman" w:eastAsia="Times New Roman" w:hAnsi="Times New Roman"/>
          <w:sz w:val="24"/>
          <w:szCs w:val="22"/>
        </w:rPr>
        <w:t xml:space="preserve"> zones de projets vulnérables ; iv) </w:t>
      </w:r>
      <w:r w:rsidR="005634BE" w:rsidRPr="005634BE">
        <w:rPr>
          <w:rFonts w:ascii="Times New Roman" w:eastAsia="Times New Roman" w:hAnsi="Times New Roman"/>
          <w:sz w:val="24"/>
          <w:szCs w:val="22"/>
        </w:rPr>
        <w:t>la coordination, le suivi et l’évaluation.</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37 → </w:t>
      </w:r>
      <w:r w:rsidR="00E5196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projet intitulé </w:t>
      </w:r>
      <w:r w:rsidR="005634BE" w:rsidRPr="005634BE">
        <w:rPr>
          <w:rFonts w:ascii="Times New Roman" w:eastAsia="Times New Roman" w:hAnsi="Times New Roman"/>
          <w:b/>
          <w:sz w:val="24"/>
          <w:szCs w:val="22"/>
        </w:rPr>
        <w:t>« Renforcement de la gestion des terres et des écosystèmes dans un contexte de changement climatique dans les régions des Niayes et de la Casamance »</w:t>
      </w:r>
      <w:r w:rsidR="00E5196E">
        <w:rPr>
          <w:rFonts w:ascii="Times New Roman" w:eastAsia="Times New Roman" w:hAnsi="Times New Roman"/>
          <w:b/>
          <w:sz w:val="24"/>
          <w:szCs w:val="22"/>
        </w:rPr>
        <w:t>,</w:t>
      </w:r>
      <w:r w:rsidR="005634BE" w:rsidRPr="005634BE">
        <w:rPr>
          <w:rFonts w:ascii="Times New Roman" w:eastAsia="Times New Roman" w:hAnsi="Times New Roman"/>
          <w:sz w:val="24"/>
          <w:szCs w:val="22"/>
        </w:rPr>
        <w:t xml:space="preserve"> financé par le Fonds pour les PMA, le Gouvernement sénégalais et le PNUD. L’objectif est de renforcer un environnement favorable aux mesures d’adaptation fondées sur la gestion des écosystèmes. Pour ce faire, il s’agira de</w:t>
      </w:r>
      <w:r w:rsidR="00E5196E">
        <w:rPr>
          <w:rFonts w:ascii="Times New Roman" w:eastAsia="Times New Roman" w:hAnsi="Times New Roman"/>
          <w:sz w:val="24"/>
          <w:szCs w:val="22"/>
        </w:rPr>
        <w:t> : i) </w:t>
      </w:r>
      <w:r w:rsidR="005634BE" w:rsidRPr="005634BE">
        <w:rPr>
          <w:rFonts w:ascii="Times New Roman" w:eastAsia="Times New Roman" w:hAnsi="Times New Roman"/>
          <w:sz w:val="24"/>
          <w:szCs w:val="22"/>
        </w:rPr>
        <w:t>réaliser des prévisions climatiques et de di</w:t>
      </w:r>
      <w:r w:rsidR="00E5196E">
        <w:rPr>
          <w:rFonts w:ascii="Times New Roman" w:eastAsia="Times New Roman" w:hAnsi="Times New Roman"/>
          <w:sz w:val="24"/>
          <w:szCs w:val="22"/>
        </w:rPr>
        <w:t>ffuser l’information climatique ; ii) renforcer les capacités ; iii) </w:t>
      </w:r>
      <w:r w:rsidR="005634BE" w:rsidRPr="005634BE">
        <w:rPr>
          <w:rFonts w:ascii="Times New Roman" w:eastAsia="Times New Roman" w:hAnsi="Times New Roman"/>
          <w:sz w:val="24"/>
          <w:szCs w:val="22"/>
        </w:rPr>
        <w:t>mener une meilleure éval</w:t>
      </w:r>
      <w:r w:rsidR="00667D8E">
        <w:rPr>
          <w:rFonts w:ascii="Times New Roman" w:eastAsia="Times New Roman" w:hAnsi="Times New Roman"/>
          <w:sz w:val="24"/>
          <w:szCs w:val="22"/>
        </w:rPr>
        <w:t xml:space="preserve">uation des risques climatiques ; </w:t>
      </w:r>
      <w:r w:rsidR="005634BE" w:rsidRPr="005634BE">
        <w:rPr>
          <w:rFonts w:ascii="Times New Roman" w:eastAsia="Times New Roman" w:hAnsi="Times New Roman"/>
          <w:sz w:val="24"/>
          <w:szCs w:val="22"/>
        </w:rPr>
        <w:t>iv)</w:t>
      </w:r>
      <w:r w:rsidR="00E5196E">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 piloter et adopter des techniques d’adaptation. Le budget total du projet s’élève à 18 100 000 dollars des États-Unis, qui comprend le financement du Fonds pour les PMA (4 100 000 dollars des États-Unis), le cofinancement public (8 000 000 dollars des États-Unis), le cofinancement du PNUD (2 500 000 dollars des États-Unis) et le cofinancement de l’ANACIM (3 500 000 dollars des États-Unis).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38 → </w:t>
      </w:r>
      <w:r w:rsidR="00667D8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global d’appui aux plans d’action nationaux d’adaptation</w:t>
      </w:r>
      <w:r w:rsidR="00667D8E">
        <w:rPr>
          <w:rFonts w:ascii="Times New Roman" w:eastAsia="Times New Roman" w:hAnsi="Times New Roman"/>
          <w:sz w:val="24"/>
          <w:szCs w:val="22"/>
        </w:rPr>
        <w:t>, programme PNUD-PNUE</w:t>
      </w:r>
      <w:r w:rsidR="005634BE" w:rsidRPr="005634BE">
        <w:rPr>
          <w:rFonts w:ascii="Times New Roman" w:eastAsia="Times New Roman" w:hAnsi="Times New Roman"/>
          <w:sz w:val="24"/>
          <w:szCs w:val="22"/>
        </w:rPr>
        <w:t xml:space="preserve"> financé par le Fonds pour les PMA. Les principaux domain</w:t>
      </w:r>
      <w:r w:rsidR="00667D8E">
        <w:rPr>
          <w:rFonts w:ascii="Times New Roman" w:eastAsia="Times New Roman" w:hAnsi="Times New Roman"/>
          <w:sz w:val="24"/>
          <w:szCs w:val="22"/>
        </w:rPr>
        <w:t>es d’activité sont les suivants : 1) </w:t>
      </w:r>
      <w:r w:rsidR="005634BE" w:rsidRPr="005634BE">
        <w:rPr>
          <w:rFonts w:ascii="Times New Roman" w:eastAsia="Times New Roman" w:hAnsi="Times New Roman"/>
          <w:sz w:val="24"/>
          <w:szCs w:val="22"/>
        </w:rPr>
        <w:t>aider les pays à intégrer le climat dans la planification et la budgétisation</w:t>
      </w:r>
      <w:r w:rsidR="00667D8E">
        <w:rPr>
          <w:rFonts w:ascii="Times New Roman" w:eastAsia="Times New Roman" w:hAnsi="Times New Roman"/>
          <w:sz w:val="24"/>
          <w:szCs w:val="22"/>
        </w:rPr>
        <w:t> ; 2) </w:t>
      </w:r>
      <w:r w:rsidR="005634BE" w:rsidRPr="005634BE">
        <w:rPr>
          <w:rFonts w:ascii="Times New Roman" w:eastAsia="Times New Roman" w:hAnsi="Times New Roman"/>
          <w:sz w:val="24"/>
          <w:szCs w:val="22"/>
        </w:rPr>
        <w:t>fournir un appui national et virtuel pour l’inventaire des lacunes et des besoins en matière de capacités, ainsi que des plans et activités d’adaptation en cours pour identifier les points d’entrée de l’appui au PANA</w:t>
      </w:r>
      <w:r w:rsidR="00667D8E">
        <w:rPr>
          <w:rFonts w:ascii="Times New Roman" w:eastAsia="Times New Roman" w:hAnsi="Times New Roman"/>
          <w:sz w:val="24"/>
          <w:szCs w:val="22"/>
        </w:rPr>
        <w:t> ; 3) </w:t>
      </w:r>
      <w:r w:rsidR="005634BE" w:rsidRPr="005634BE">
        <w:rPr>
          <w:rFonts w:ascii="Times New Roman" w:eastAsia="Times New Roman" w:hAnsi="Times New Roman"/>
          <w:sz w:val="24"/>
          <w:szCs w:val="22"/>
        </w:rPr>
        <w:t>aider le Sénégal à intégrer les secteurs vulnérables, les domaines thématiques, les approches infranationales et les questions juridiques dans la planification et la budgétisation de l’adaptation.</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39 → </w:t>
      </w:r>
      <w:r w:rsidR="00667D8E">
        <w:rPr>
          <w:rFonts w:ascii="Times New Roman" w:eastAsia="Times New Roman" w:hAnsi="Times New Roman"/>
          <w:sz w:val="24"/>
          <w:szCs w:val="22"/>
        </w:rPr>
        <w:t>l</w:t>
      </w:r>
      <w:r w:rsidR="005634BE" w:rsidRPr="005634BE">
        <w:rPr>
          <w:rFonts w:ascii="Times New Roman" w:eastAsia="Times New Roman" w:hAnsi="Times New Roman"/>
          <w:sz w:val="24"/>
          <w:szCs w:val="22"/>
        </w:rPr>
        <w:t>e « </w:t>
      </w:r>
      <w:r w:rsidR="005634BE" w:rsidRPr="005634BE">
        <w:rPr>
          <w:rFonts w:ascii="Times New Roman" w:eastAsia="Times New Roman" w:hAnsi="Times New Roman"/>
          <w:b/>
          <w:sz w:val="24"/>
          <w:szCs w:val="22"/>
        </w:rPr>
        <w:t>Programme multinational de renforcement de la résilience à l’insécurité alimentaire et nutritionnelle au Sahel</w:t>
      </w:r>
      <w:r w:rsidR="00667D8E">
        <w:rPr>
          <w:rFonts w:ascii="Times New Roman" w:eastAsia="Times New Roman" w:hAnsi="Times New Roman"/>
          <w:sz w:val="24"/>
          <w:szCs w:val="22"/>
        </w:rPr>
        <w:t> » (P2RS). Il a</w:t>
      </w:r>
      <w:r w:rsidR="005634BE" w:rsidRPr="005634BE">
        <w:rPr>
          <w:rFonts w:ascii="Times New Roman" w:eastAsia="Times New Roman" w:hAnsi="Times New Roman"/>
          <w:sz w:val="24"/>
          <w:szCs w:val="22"/>
        </w:rPr>
        <w:t xml:space="preserve"> pour objectif sectoriel de contribuer à réduire la pauvreté, améliorer la sécurité alimentaire et la nutrition ainsi qu’augmenter les revenus des populations rurales vulnérables. Le programme P2RS du Sénégal couvre six régions vulnérables et à risque : Fatick, Kedougou, Kolda, Matam, Tambacounda et Ziguinchor. Il s’agit d’un programme financé par la BAD par l’intermédiaire du FAD avec un budget de 18,3 milliards de FCFA; la première phase sera mise en œuvre sur six (6) ans (2015-2020) et comprend trois volets : i) développement des infrastructures rurales, ii) développement des chaînes de valeur et des marchés régionaux et iii) gestion du programme.</w:t>
      </w:r>
    </w:p>
    <w:p w:rsidR="005634BE" w:rsidRPr="005634BE" w:rsidRDefault="005634BE" w:rsidP="005634BE">
      <w:pPr>
        <w:spacing w:after="0"/>
        <w:rPr>
          <w:rFonts w:ascii="Times New Roman" w:eastAsia="Times New Roman" w:hAnsi="Times New Roman"/>
          <w:noProof/>
          <w:sz w:val="24"/>
          <w:szCs w:val="22"/>
        </w:rPr>
      </w:pPr>
    </w:p>
    <w:p w:rsid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40 → </w:t>
      </w:r>
      <w:r w:rsidR="005634BE" w:rsidRPr="005634BE">
        <w:rPr>
          <w:rFonts w:ascii="Times New Roman" w:eastAsia="Times New Roman" w:hAnsi="Times New Roman"/>
          <w:sz w:val="24"/>
          <w:szCs w:val="22"/>
        </w:rPr>
        <w:t>En plus du projet susmentionné, financé par le Fonds pour les PMA, le PNUD est le partenaire d’exécution du projet intitulé « </w:t>
      </w:r>
      <w:r w:rsidR="005634BE" w:rsidRPr="005634BE">
        <w:rPr>
          <w:rFonts w:ascii="Times New Roman" w:eastAsia="Times New Roman" w:hAnsi="Times New Roman"/>
          <w:b/>
          <w:sz w:val="24"/>
          <w:szCs w:val="22"/>
        </w:rPr>
        <w:t>Plan d’action national d’adaptation du Sénégal</w:t>
      </w:r>
      <w:r w:rsidR="005634BE" w:rsidRPr="005634BE">
        <w:rPr>
          <w:rFonts w:ascii="Times New Roman" w:eastAsia="Times New Roman" w:hAnsi="Times New Roman"/>
          <w:sz w:val="24"/>
          <w:szCs w:val="22"/>
        </w:rPr>
        <w:t xml:space="preserve"> », financé par le Fonds. L’objectif de ce projet est de renforcer la capacité des ministères sectoriels et des administrations locales à mieux évaluer les implications du changement climatique et à ajuster les politiques et les budgets existants pour intégrer les risques à moyen et long terme liés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et les mesures d’adaptation.</w:t>
      </w:r>
    </w:p>
    <w:p w:rsidR="005634BE" w:rsidRDefault="005634BE">
      <w:pPr>
        <w:spacing w:after="160" w:line="259" w:lineRule="auto"/>
        <w:jc w:val="left"/>
        <w:rPr>
          <w:rFonts w:ascii="Times New Roman" w:eastAsia="Times New Roman" w:hAnsi="Times New Roman"/>
          <w:sz w:val="24"/>
          <w:szCs w:val="22"/>
        </w:rPr>
      </w:pPr>
      <w:r>
        <w:rPr>
          <w:rFonts w:ascii="Times New Roman" w:eastAsia="Times New Roman" w:hAnsi="Times New Roman"/>
          <w:sz w:val="24"/>
          <w:szCs w:val="22"/>
        </w:rPr>
        <w:br w:type="page"/>
      </w:r>
    </w:p>
    <w:p w:rsidR="00876F2E" w:rsidRPr="007F5D87" w:rsidRDefault="00876F2E" w:rsidP="00876F2E">
      <w:pPr>
        <w:pStyle w:val="Titre1"/>
        <w:spacing w:before="0" w:after="0"/>
        <w:rPr>
          <w:rFonts w:ascii="Calibri" w:hAnsi="Calibri"/>
          <w:szCs w:val="28"/>
        </w:rPr>
      </w:pPr>
      <w:bookmarkStart w:id="13" w:name="_Toc496886555"/>
      <w:bookmarkStart w:id="14" w:name="_Toc498638392"/>
      <w:r>
        <w:rPr>
          <w:rFonts w:ascii="Calibri" w:hAnsi="Calibri"/>
          <w:sz w:val="32"/>
          <w:szCs w:val="28"/>
        </w:rPr>
        <w:lastRenderedPageBreak/>
        <w:t>Résultats et partenariats</w:t>
      </w:r>
      <w:bookmarkEnd w:id="0"/>
      <w:bookmarkEnd w:id="13"/>
      <w:bookmarkEnd w:id="14"/>
      <w:r>
        <w:rPr>
          <w:rFonts w:ascii="Calibri" w:hAnsi="Calibri"/>
          <w:sz w:val="32"/>
          <w:szCs w:val="28"/>
        </w:rPr>
        <w:t xml:space="preserve"> </w:t>
      </w:r>
    </w:p>
    <w:p w:rsidR="00876F2E" w:rsidRPr="007F5D87" w:rsidRDefault="00876F2E" w:rsidP="00876F2E">
      <w:pPr>
        <w:spacing w:after="0"/>
        <w:jc w:val="left"/>
        <w:rPr>
          <w:sz w:val="24"/>
          <w:szCs w:val="20"/>
        </w:rPr>
      </w:pPr>
    </w:p>
    <w:p w:rsidR="00876F2E" w:rsidRPr="007F5D87" w:rsidRDefault="00876F2E" w:rsidP="00CA03E8">
      <w:pPr>
        <w:pStyle w:val="Paragraphedeliste"/>
        <w:numPr>
          <w:ilvl w:val="0"/>
          <w:numId w:val="2"/>
        </w:numPr>
        <w:rPr>
          <w:rFonts w:ascii="Calibri" w:hAnsi="Calibri"/>
          <w:i/>
          <w:szCs w:val="20"/>
        </w:rPr>
      </w:pPr>
      <w:r>
        <w:rPr>
          <w:rFonts w:ascii="Calibri" w:hAnsi="Calibri"/>
          <w:szCs w:val="20"/>
          <w:u w:val="single"/>
        </w:rPr>
        <w:t>Résultats escomptés</w:t>
      </w:r>
    </w:p>
    <w:p w:rsidR="00876F2E" w:rsidRPr="007F5D87" w:rsidRDefault="00876F2E" w:rsidP="00876F2E">
      <w:pPr>
        <w:rPr>
          <w:rFonts w:ascii="Times New Roman" w:hAnsi="Times New Roman"/>
          <w:i/>
          <w:sz w:val="24"/>
          <w:szCs w:val="20"/>
        </w:rPr>
      </w:pPr>
    </w:p>
    <w:p w:rsidR="00876F2E" w:rsidRPr="007F5D87" w:rsidRDefault="00876F2E" w:rsidP="00D8296A">
      <w:pPr>
        <w:pStyle w:val="NumberedParas"/>
        <w:numPr>
          <w:ilvl w:val="0"/>
          <w:numId w:val="102"/>
        </w:numPr>
        <w:rPr>
          <w:noProof/>
        </w:rPr>
      </w:pPr>
      <w:r>
        <w:t>Le projet financé par le Fonds pour les PMA a pour objectif de promouvoir la finance novatrice et l’adaptation communautaire dans les communes autour des RNC au Sénégal. L’atteinte de cet objectif passe par deux résultats complémentaires</w:t>
      </w:r>
      <w:r w:rsidR="002575A2">
        <w:t> :</w:t>
      </w:r>
    </w:p>
    <w:p w:rsidR="00876F2E" w:rsidRPr="007F5D87" w:rsidRDefault="00876F2E" w:rsidP="00CA03E8">
      <w:pPr>
        <w:pStyle w:val="NumberedParas"/>
        <w:numPr>
          <w:ilvl w:val="0"/>
          <w:numId w:val="7"/>
        </w:numPr>
        <w:rPr>
          <w:noProof/>
        </w:rPr>
      </w:pPr>
      <w:r>
        <w:t xml:space="preserve">Le résultat 1 mettra en place des mécanismes </w:t>
      </w:r>
      <w:r w:rsidR="00311A1A">
        <w:t>novateur</w:t>
      </w:r>
      <w:r>
        <w:t>s pour financer les actions d’adaptation au niveau local.</w:t>
      </w:r>
    </w:p>
    <w:p w:rsidR="00876F2E" w:rsidRPr="007F5D87" w:rsidRDefault="00876F2E" w:rsidP="00AE3BD3">
      <w:pPr>
        <w:pStyle w:val="NumberedParas"/>
        <w:numPr>
          <w:ilvl w:val="0"/>
          <w:numId w:val="7"/>
        </w:numPr>
        <w:rPr>
          <w:noProof/>
        </w:rPr>
      </w:pPr>
      <w:r>
        <w:t>Le résultat 2 investira dans des mesures d’adaptation et soutiendra l’adoption de pratiques de résilience</w:t>
      </w:r>
      <w:r w:rsidR="00AE3BD3">
        <w:rPr>
          <w:noProof/>
        </w:rPr>
        <w:t xml:space="preserve"> </w:t>
      </w:r>
      <w:r>
        <w:t xml:space="preserve">par les communautés vulnérables. </w:t>
      </w:r>
    </w:p>
    <w:p w:rsidR="00A444DE" w:rsidRPr="00E45CCD" w:rsidRDefault="00A444DE" w:rsidP="00876F2E">
      <w:pPr>
        <w:pStyle w:val="NumberedParas"/>
        <w:numPr>
          <w:ilvl w:val="0"/>
          <w:numId w:val="0"/>
        </w:numPr>
        <w:rPr>
          <w:noProof/>
        </w:rPr>
      </w:pPr>
    </w:p>
    <w:p w:rsidR="00876F2E" w:rsidRPr="007F5D87" w:rsidRDefault="00876F2E" w:rsidP="00876F2E">
      <w:pPr>
        <w:pStyle w:val="NumberedParas"/>
      </w:pPr>
      <w:r>
        <w:t>Le projet financé par le Fonds s’appuiera sur des projets de référence pour permettre aux communautés locales bénéficiaires de tirer les plus grands avantages possible</w:t>
      </w:r>
      <w:r w:rsidR="00680A0D">
        <w:t>s</w:t>
      </w:r>
      <w:r>
        <w:t>. Six projets de référence en cours ont été identifiés sur les sites du projet, à savoir</w:t>
      </w:r>
      <w:r w:rsidR="00256A5E">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projet intitulé « </w:t>
      </w:r>
      <w:r>
        <w:rPr>
          <w:b/>
        </w:rPr>
        <w:t>Projet d’appui à la sécurité alimentaire dans les régions de Louga, Matam et Kaffrine</w:t>
      </w:r>
      <w:r>
        <w:t xml:space="preserve"> » (ci-après, le </w:t>
      </w:r>
      <w:r w:rsidR="00D8296A">
        <w:t>PASA Loumakaf</w:t>
      </w:r>
      <w:r>
        <w:t>) vise à contribuer à la sécurité alimentaire et à la réduction de la pauvreté rurale dans les régions de Louga, Matam et Kaffrine. Plus précisément, il vise l’augmentation durable des productions végétales et animales, l’amélioration des revenus des petits exploitants agricoles (agriculteurs et éleveurs) et des femmes en particulier. Au cours de sa période de mise en œuvre de 5 ans, le projet se concentrera spécifiquement sur les questions liées à la promotion du genre (avec un accent sur les interventions qui ciblent les femmes et les jeunes) et à la viabilité écologique (prise en compte des mesures d’atténuation dans le domaine de l’environnement et du changement climatique). Il compte trois composantes</w:t>
      </w:r>
      <w:r w:rsidR="002575A2">
        <w:t> :</w:t>
      </w:r>
      <w:r w:rsidR="003B7D35">
        <w:t xml:space="preserve"> i) </w:t>
      </w:r>
      <w:r>
        <w:t>développement des infrastructu</w:t>
      </w:r>
      <w:r w:rsidR="003B7D35">
        <w:t>res agricoles et d’élevage</w:t>
      </w:r>
      <w:r w:rsidR="0025378A">
        <w:t> ;</w:t>
      </w:r>
      <w:r w:rsidR="003B7D35">
        <w:t xml:space="preserve"> ii) </w:t>
      </w:r>
      <w:r>
        <w:t>appui au développement et à l’organisation des produ</w:t>
      </w:r>
      <w:r w:rsidR="003B7D35">
        <w:t>cteurs et des éleveurs</w:t>
      </w:r>
      <w:r w:rsidR="0025378A">
        <w:t xml:space="preserve"> ; </w:t>
      </w:r>
      <w:r w:rsidR="003B7D35">
        <w:t>iii) </w:t>
      </w:r>
      <w:r>
        <w:t xml:space="preserve">gestion du projet. Le </w:t>
      </w:r>
      <w:r w:rsidR="00D8296A">
        <w:t>PASA Loumakaf</w:t>
      </w:r>
      <w:r>
        <w:t xml:space="preserve"> fournira une situation de référence au projet du PNUD en testant des pratiques agricoles améliorées et en promouvant l’égalité des sexes. Cependant, le changement climatique n’a été pris en compte qu’en tant que facteur secondaire de la sécurité alimentaire et ce projet fera la promotion du secteur de l’agroforesterie à travers le renforcement des considérations d’adaptation. Le Programme mondial sur l’agriculture et la sécurité alimentaire </w:t>
      </w:r>
      <w:r w:rsidR="001A7A3F">
        <w:t xml:space="preserve">(GAFSP) </w:t>
      </w:r>
      <w:r>
        <w:t>finance le projet, par l’intermédiaire de la Banque africaine de développement</w:t>
      </w:r>
      <w:r w:rsidR="001A7A3F">
        <w:t xml:space="preserve"> (BAD)</w:t>
      </w:r>
      <w:r>
        <w:t>, à hauteur d’un montant total de 40 millions de dollars des États-Unis (20 milliards de francs CFA).</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 </w:t>
      </w:r>
      <w:r>
        <w:rPr>
          <w:b/>
        </w:rPr>
        <w:t>Programme d’appui au développement agricole et à l’entrepren</w:t>
      </w:r>
      <w:r w:rsidR="002E6C8F">
        <w:rPr>
          <w:b/>
        </w:rPr>
        <w:t>eu</w:t>
      </w:r>
      <w:r>
        <w:rPr>
          <w:b/>
        </w:rPr>
        <w:t>riat rural</w:t>
      </w:r>
      <w:r>
        <w:t> » (ci-après, le PADAER) a pour objectif de contribuer à la réduction de la pauvreté en milieu rural et de stimuler la croissance économique. Il a pour objectif spécifique d’améliorer durablement la sécurité alimentaire, les revenus des petits exploitants agricoles (agriculteurs et éleveurs) et de créer des emplois durables pour les populations, en particulier les jeunes et les femmes, qui vivent en milieu rural. 50 000 ménages de la zone d’intervention, qui comprend les régions de Tambacounda, Kolda, Matam et K</w:t>
      </w:r>
      <w:r w:rsidR="00680A0D">
        <w:t>é</w:t>
      </w:r>
      <w:r>
        <w:t>dougou, devraient bénéficier directement du programme</w:t>
      </w:r>
      <w:r w:rsidR="00D2405E">
        <w:t> ;</w:t>
      </w:r>
      <w:r>
        <w:t xml:space="preserve"> il prévoit également de toucher 975 organisations de producteurs et de créer et d’appuyer 200 microentreprises et petites entreprises rurales. Son coût total est de 51,7 millions de dollars </w:t>
      </w:r>
      <w:r>
        <w:lastRenderedPageBreak/>
        <w:t>des États-Unis répartis, montant auquel le FIDA contribue à hauteur de</w:t>
      </w:r>
      <w:r w:rsidR="002575A2">
        <w:t> :</w:t>
      </w:r>
      <w:r>
        <w:t xml:space="preserve"> 32,3 millions, Fonds espagnol contribue à hauteur de</w:t>
      </w:r>
      <w:r w:rsidR="002575A2">
        <w:t> :</w:t>
      </w:r>
      <w:r>
        <w:t xml:space="preserve"> 10,1 millions, les bénéficiaires à hauteur de 0,62 million et l’État sénégalais à hauteur de 8,66 millions. La mise en œuvre s’étale sur une période de 6 ans (2011-2017). Ses trois composantes</w:t>
      </w:r>
      <w:r w:rsidR="002575A2">
        <w:t> :</w:t>
      </w:r>
      <w:r w:rsidR="003B7D35">
        <w:t xml:space="preserve"> i) </w:t>
      </w:r>
      <w:r>
        <w:t>amélioration de l’o</w:t>
      </w:r>
      <w:r w:rsidR="0025378A">
        <w:t>ffre de produits agricoles ;</w:t>
      </w:r>
      <w:r w:rsidR="003B7D35">
        <w:t xml:space="preserve"> ii) </w:t>
      </w:r>
      <w:r>
        <w:t>évalua</w:t>
      </w:r>
      <w:r w:rsidR="003B7D35">
        <w:t>tion et commercialisation</w:t>
      </w:r>
      <w:r w:rsidR="0025378A">
        <w:t> ;</w:t>
      </w:r>
      <w:r w:rsidR="003B7D35">
        <w:t xml:space="preserve"> iii) </w:t>
      </w:r>
      <w:r>
        <w:t>coordination, suivi et évaluation, gestion des connaissances et genre</w:t>
      </w:r>
      <w:r w:rsidR="002E6C8F">
        <w:t>s,</w:t>
      </w:r>
      <w:r>
        <w:t xml:space="preserve"> fournissent une situation de référence pour le renforcement du secteur agricole et en particulier des acteurs du secteur privé. Le projet financé par le Fonds pour les PMA permettra de renforcer l’orientation de l’adaptation du projet et d’améliorer la durabilité des actions en offrant des mécanismes financiers pour mener à bien les activités. </w:t>
      </w:r>
    </w:p>
    <w:p w:rsidR="00876F2E" w:rsidRPr="007F5D87" w:rsidRDefault="00876F2E" w:rsidP="00876F2E">
      <w:pPr>
        <w:pStyle w:val="NumberedParas"/>
        <w:numPr>
          <w:ilvl w:val="0"/>
          <w:numId w:val="0"/>
        </w:numPr>
      </w:pPr>
    </w:p>
    <w:p w:rsidR="00876F2E" w:rsidRPr="007F5D87" w:rsidRDefault="00876F2E" w:rsidP="00876F2E">
      <w:pPr>
        <w:pStyle w:val="NumberedParas"/>
      </w:pPr>
      <w:r>
        <w:t>Le « </w:t>
      </w:r>
      <w:r>
        <w:rPr>
          <w:b/>
        </w:rPr>
        <w:t>Projet d’appui aux filières agricoles – Extension</w:t>
      </w:r>
      <w:r>
        <w:t> » (ci-après, le PAFA-E) est un projet financé par le Fonds international de développement agricole. Le PAFA-E a pour objectif global de contribuer à l’amélioration durable des moyens de subsistance des exploitations familiales du bassin arachidier du centre et du nord et de la région sylvopastorale de l’ouest. Son objectif spécifique est d’améliorer durablement la sécurité alimentaire et les revenus des petits exploitants agricoles (agriculteurs et éleveurs) et de créer des emplois durables et rémunérateurs pour les populations, en particulier les jeunes (des deux sexes) et les femmes, qui vivent en milieu rural. Le PAFA-E couvre les zones géographiques suivantes</w:t>
      </w:r>
      <w:r w:rsidR="002575A2">
        <w:t> :</w:t>
      </w:r>
      <w:r w:rsidR="003B7D35">
        <w:t xml:space="preserve"> i) </w:t>
      </w:r>
      <w:r>
        <w:t>le bassin arachidier du centre et du nord, englobant les régions de Kaolack, Fatick, Kaffrine et Diourbel</w:t>
      </w:r>
      <w:r w:rsidR="00D2405E">
        <w:t> ;</w:t>
      </w:r>
      <w:r w:rsidR="003B7D35">
        <w:t xml:space="preserve"> et ii) </w:t>
      </w:r>
      <w:r>
        <w:t>la région agropastorale de Louga. Le projet a un coût total de 50,4 millions de dollars des États-Unis financé principalement par le Gouvernement sénégalais, les bénéficiaires et le Fonds international de développement agricole, dont la contribution de 34,7 millions de dollars des États-Unis est sous la forme d’un prêt à des conditions très favorables. Le Gouvernement sénégalais contribue à hauteur de 12,7 millions de dollars. La contribution des bénéficiaires est quant à elle estimée à 3,0 millions de dollars. Sa mise en œuvre est prévue pour durer 6 ans 2014-2020. En ouvrant la voie au développement du secteur privé agricole, ce projet du Fonds pour les PMA créera un marché pour l’utilisation de mécanismes financiers qui soutiendront l’expansion du secteur privé vers des moyens de subsistance plus résilients.</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 </w:t>
      </w:r>
      <w:r>
        <w:rPr>
          <w:b/>
        </w:rPr>
        <w:t>« Programme de productivité agricole en Afrique de l’Ouest 2A » (ci-après, le PPAAO 2A)</w:t>
      </w:r>
      <w:r>
        <w:t xml:space="preserve"> vise à intensifier la production, la diffusion et l’adoption de technologies améliorées dans les domaines prioritaires des produits agricoles des pays participants. Il comporte quatre composantes</w:t>
      </w:r>
      <w:r w:rsidR="002575A2">
        <w:t> :</w:t>
      </w:r>
      <w:r w:rsidR="003B7D35">
        <w:t xml:space="preserve"> 1) </w:t>
      </w:r>
      <w:r>
        <w:t>conditions propices à la coopération sous-régionale en matière de production, de diffusion et d’adoption de techniques agricoles</w:t>
      </w:r>
      <w:r w:rsidR="00D2405E">
        <w:t> ;</w:t>
      </w:r>
      <w:r w:rsidR="003B7D35">
        <w:t xml:space="preserve"> 2) </w:t>
      </w:r>
      <w:r>
        <w:t>centres nationaux de spécialisation</w:t>
      </w:r>
      <w:r w:rsidR="00D2405E">
        <w:t> ;</w:t>
      </w:r>
      <w:r w:rsidR="003B7D35">
        <w:t xml:space="preserve"> 3) </w:t>
      </w:r>
      <w:r>
        <w:t>appui à la création, à la diffusion et à l’adoption de la technologie axée sur la demande</w:t>
      </w:r>
      <w:r w:rsidR="00D2405E">
        <w:t> ;</w:t>
      </w:r>
      <w:r w:rsidR="003B7D35">
        <w:t xml:space="preserve"> 4) </w:t>
      </w:r>
      <w:r>
        <w:t>coordination, gestion et suivi et évaluation du projet. La période de mise en œuvre s’étend de décembre 2012 à décembre 2018 et le coût total du projet est de 135 millions de dollars des États-Unis, dont 120 millions financés par l’IDA. Le projet financé par le Fonds pour les PMA s’appuiera sur le travail entrepris en mettant à l’échelle les pratiques et technologies agricoles promues et testées dans le cadre de ce programme.</w:t>
      </w:r>
    </w:p>
    <w:p w:rsidR="00876F2E" w:rsidRPr="007F5D87" w:rsidRDefault="00876F2E" w:rsidP="00876F2E">
      <w:pPr>
        <w:pStyle w:val="NumberedParas"/>
        <w:numPr>
          <w:ilvl w:val="0"/>
          <w:numId w:val="0"/>
        </w:numPr>
      </w:pPr>
    </w:p>
    <w:p w:rsidR="00876F2E" w:rsidRPr="00D11BF5" w:rsidRDefault="00876F2E" w:rsidP="00876F2E">
      <w:pPr>
        <w:pStyle w:val="NumberedParas"/>
      </w:pPr>
      <w:r>
        <w:t xml:space="preserve">Le </w:t>
      </w:r>
      <w:r>
        <w:rPr>
          <w:b/>
        </w:rPr>
        <w:t>« Programme d’urgence de développement communautaire » (ci-après, le PUDC)</w:t>
      </w:r>
      <w:r>
        <w:t xml:space="preserve"> vise à contribuer à l’amélioration de l’accès aux services sociaux de base en milieu rural à travers la mise en place d’infrastructures socioéconomiques. Les activités sont mises en œuvre à travers 4 composantes</w:t>
      </w:r>
      <w:r w:rsidR="002575A2">
        <w:t> :</w:t>
      </w:r>
      <w:r w:rsidR="003B7D35">
        <w:t xml:space="preserve"> i) </w:t>
      </w:r>
      <w:r>
        <w:t>développement des infrastructure</w:t>
      </w:r>
      <w:r w:rsidR="003B7D35">
        <w:t>s socioéconomiques de base ; ii) </w:t>
      </w:r>
      <w:r>
        <w:t>amélioration de la productivité agricole et développement de l’e</w:t>
      </w:r>
      <w:r w:rsidR="003B7D35">
        <w:t>ntrepren</w:t>
      </w:r>
      <w:r w:rsidR="002E6C8F">
        <w:t>eu</w:t>
      </w:r>
      <w:r w:rsidR="003B7D35">
        <w:t xml:space="preserve">riat rural ; </w:t>
      </w:r>
      <w:r w:rsidR="003B7D35">
        <w:lastRenderedPageBreak/>
        <w:t>iii) </w:t>
      </w:r>
      <w:r w:rsidRPr="00D11BF5">
        <w:t>renforcement institutio</w:t>
      </w:r>
      <w:r w:rsidR="003B7D35" w:rsidRPr="00D11BF5">
        <w:t>nnel des acteurs locaux ; iv) </w:t>
      </w:r>
      <w:r w:rsidRPr="00D11BF5">
        <w:t>développement d’un système d’informations géoréférencées. La première phase du programme, d’une durée de 2 ans (2014-2016), est en cours de mise en œuvre. Il est financé par le Gouvernement sénégalais à hauteur de 113 339 327 531 de francs CFA. Le projet financé par le Fonds pour les PMA complétera les activités liées à la productivité agricole et au développement de l’entrepren</w:t>
      </w:r>
      <w:r w:rsidR="002E6C8F">
        <w:t>eu</w:t>
      </w:r>
      <w:r w:rsidRPr="00D11BF5">
        <w:t>riat rural en mettant les activités à l’échelle et en assurant leur durabilité.</w:t>
      </w:r>
    </w:p>
    <w:p w:rsidR="00876F2E" w:rsidRPr="00D11BF5" w:rsidRDefault="00876F2E" w:rsidP="00876F2E">
      <w:pPr>
        <w:pStyle w:val="NumberedParas"/>
        <w:numPr>
          <w:ilvl w:val="0"/>
          <w:numId w:val="0"/>
        </w:numPr>
      </w:pPr>
    </w:p>
    <w:p w:rsidR="003B7D35" w:rsidRDefault="00876F2E" w:rsidP="00876F2E">
      <w:pPr>
        <w:pStyle w:val="NumberedParas"/>
      </w:pPr>
      <w:r w:rsidRPr="00D11BF5">
        <w:t xml:space="preserve">Le </w:t>
      </w:r>
      <w:r w:rsidRPr="00D11BF5">
        <w:rPr>
          <w:b/>
        </w:rPr>
        <w:t>« Projet de développement inclusif et durable de l’</w:t>
      </w:r>
      <w:r w:rsidR="008712CB" w:rsidRPr="00D11BF5">
        <w:rPr>
          <w:b/>
        </w:rPr>
        <w:t>agrobusiness</w:t>
      </w:r>
      <w:r w:rsidRPr="00D11BF5">
        <w:rPr>
          <w:b/>
        </w:rPr>
        <w:t xml:space="preserve"> au</w:t>
      </w:r>
      <w:r>
        <w:rPr>
          <w:b/>
        </w:rPr>
        <w:t xml:space="preserve"> Sénégal » (ci-après, le PDIDAS)</w:t>
      </w:r>
      <w:r>
        <w:t xml:space="preserve"> a pour objectif de développer une agriculture commerciale inclusive et une gestion durable des terres dans les zones du projet, qui couvre neuf (9) communes rurales. Le projet fournira une assistance technique aux principales parties prenantes (en particulier, les communes rurales) et au secteur privé (en particulier, les petits exploitants agricoles) ainsi que des investissements dans des infrastructures d’irrigation essentielles. Cela permettra l’exploitation durable et inclusive de 10 000 ha de terres irriguées dans la vallée de Ngalam et autour du lac de Guiers (régions de Saint-Louis et de Louga).</w:t>
      </w:r>
      <w:r w:rsidR="004533D6">
        <w:t xml:space="preserve"> </w:t>
      </w:r>
      <w:r>
        <w:t>L’instrument de prêt proposé est un financement de projet d’investissement de six (6) ans d’un montant de 80 millions de dollars des États-Unis combiné à une subvention de 6 millions de dollars des États-Unis du FEM. Le projet financera les activités suivantes</w:t>
      </w:r>
      <w:r w:rsidR="003B7D35">
        <w:t>.</w:t>
      </w:r>
    </w:p>
    <w:p w:rsidR="00876F2E" w:rsidRPr="007F5D87" w:rsidRDefault="00803B55" w:rsidP="003B7D35">
      <w:pPr>
        <w:pStyle w:val="NumberedParas"/>
        <w:numPr>
          <w:ilvl w:val="0"/>
          <w:numId w:val="0"/>
        </w:numPr>
        <w:ind w:left="360"/>
      </w:pPr>
      <w:r>
        <w:t>i) c</w:t>
      </w:r>
      <w:r w:rsidR="00876F2E">
        <w:t>omposante 1</w:t>
      </w:r>
      <w:r w:rsidR="002575A2">
        <w:t> :</w:t>
      </w:r>
      <w:r w:rsidR="003B7D35">
        <w:t xml:space="preserve"> a</w:t>
      </w:r>
      <w:r w:rsidR="00876F2E">
        <w:t>ppui aux acteurs du secteur</w:t>
      </w:r>
      <w:r w:rsidR="003B7D35">
        <w:t> ; ii) </w:t>
      </w:r>
      <w:r>
        <w:t>c</w:t>
      </w:r>
      <w:r w:rsidR="00876F2E">
        <w:t>omposante 2</w:t>
      </w:r>
      <w:r w:rsidR="003B7D35">
        <w:t> : d</w:t>
      </w:r>
      <w:r w:rsidR="00876F2E">
        <w:t>éveloppement des infrastructures d’irrigation et gestion du</w:t>
      </w:r>
      <w:r w:rsidR="003B7D35">
        <w:t>rable des ressources naturelles ; iii) </w:t>
      </w:r>
      <w:r>
        <w:t>c</w:t>
      </w:r>
      <w:r w:rsidR="00876F2E">
        <w:t>omposante 3</w:t>
      </w:r>
      <w:r w:rsidR="002575A2">
        <w:t> :</w:t>
      </w:r>
      <w:r w:rsidR="003B7D35">
        <w:t xml:space="preserve"> c</w:t>
      </w:r>
      <w:r w:rsidR="00876F2E">
        <w:t>oordination, gestion, communication, suivi et évaluation du projet. Le projet du PNUD s’appuiera sur les enseignements tirés du PDIDAS, notamment en matière d’</w:t>
      </w:r>
      <w:r w:rsidR="008712CB">
        <w:t>agrobusiness</w:t>
      </w:r>
      <w:r w:rsidR="00876F2E">
        <w:t xml:space="preserve"> et d’irrigation, et intègrera la prise en compte du changement climatique dans la conception de ces pratiques.</w:t>
      </w:r>
    </w:p>
    <w:p w:rsidR="00876F2E" w:rsidRPr="007F5D87" w:rsidRDefault="00876F2E" w:rsidP="00876F2E">
      <w:pPr>
        <w:pStyle w:val="NumberedParas"/>
        <w:numPr>
          <w:ilvl w:val="0"/>
          <w:numId w:val="0"/>
        </w:numPr>
      </w:pPr>
    </w:p>
    <w:p w:rsidR="00876F2E" w:rsidRPr="007F5D87" w:rsidRDefault="008A02C1" w:rsidP="00876F2E">
      <w:pPr>
        <w:pStyle w:val="NumberedParas"/>
      </w:pPr>
      <w:r>
        <w:t>Ces</w:t>
      </w:r>
      <w:r w:rsidR="00876F2E">
        <w:t xml:space="preserve"> six (6) projets ne tiennent pas compte de l’</w:t>
      </w:r>
      <w:r w:rsidR="00537B55">
        <w:t>adaptation aux changements climatiques</w:t>
      </w:r>
      <w:r w:rsidR="00876F2E">
        <w:t xml:space="preserve">. En </w:t>
      </w:r>
      <w:r>
        <w:t>réalité</w:t>
      </w:r>
      <w:r w:rsidR="00876F2E">
        <w:t>, aucun d’entre eux ne traite de la nécessité de canaliser le financement climatique vers le niveau local (commune et population locale) afin d’établir une source récurrente de financement pour l’adaptation à ce phénomène. De plus, aucun d’entre eux n’a développé une stratégie systémique d’</w:t>
      </w:r>
      <w:r w:rsidR="00537B55">
        <w:t>adaptation aux changements climatiques</w:t>
      </w:r>
      <w:r w:rsidR="00876F2E">
        <w:t xml:space="preserve"> centrée sur une RNC/UP.</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Les deux résultats complémentaires du projet financé par le Fonds pour les PMA sont examinés ci-dessous. </w:t>
      </w:r>
    </w:p>
    <w:p w:rsidR="00876F2E" w:rsidRPr="007F5D87" w:rsidRDefault="00876F2E" w:rsidP="00876F2E">
      <w:pPr>
        <w:pStyle w:val="NumberedParas"/>
        <w:numPr>
          <w:ilvl w:val="0"/>
          <w:numId w:val="0"/>
        </w:numPr>
      </w:pPr>
    </w:p>
    <w:p w:rsidR="00876F2E" w:rsidRPr="007F5D87" w:rsidRDefault="00876F2E" w:rsidP="00876F2E">
      <w:pPr>
        <w:shd w:val="clear" w:color="auto" w:fill="D6E3BC"/>
        <w:spacing w:before="120" w:after="120"/>
        <w:rPr>
          <w:rFonts w:ascii="Times New Roman" w:hAnsi="Times New Roman"/>
          <w:sz w:val="24"/>
        </w:rPr>
      </w:pPr>
      <w:r>
        <w:rPr>
          <w:rFonts w:ascii="Times New Roman" w:hAnsi="Times New Roman"/>
          <w:b/>
          <w:sz w:val="24"/>
          <w:u w:val="single"/>
        </w:rPr>
        <w:t>Composante 1</w:t>
      </w:r>
      <w:r w:rsidR="002575A2">
        <w:rPr>
          <w:rFonts w:ascii="Times New Roman" w:hAnsi="Times New Roman"/>
          <w:b/>
          <w:sz w:val="24"/>
          <w:u w:val="single"/>
        </w:rPr>
        <w:t> :</w:t>
      </w:r>
      <w:r>
        <w:rPr>
          <w:rFonts w:ascii="Times New Roman" w:hAnsi="Times New Roman"/>
          <w:sz w:val="24"/>
        </w:rPr>
        <w:t xml:space="preserve"> Financement</w:t>
      </w:r>
      <w:r w:rsidR="00E85E6E">
        <w:rPr>
          <w:rFonts w:ascii="Times New Roman" w:hAnsi="Times New Roman"/>
          <w:sz w:val="24"/>
        </w:rPr>
        <w:t>s</w:t>
      </w:r>
      <w:r>
        <w:rPr>
          <w:rFonts w:ascii="Times New Roman" w:hAnsi="Times New Roman"/>
          <w:sz w:val="24"/>
        </w:rPr>
        <w:t xml:space="preserve"> loca</w:t>
      </w:r>
      <w:r w:rsidR="00E85E6E">
        <w:rPr>
          <w:rFonts w:ascii="Times New Roman" w:hAnsi="Times New Roman"/>
          <w:sz w:val="24"/>
        </w:rPr>
        <w:t>ux</w:t>
      </w:r>
      <w:r>
        <w:rPr>
          <w:rFonts w:ascii="Times New Roman" w:hAnsi="Times New Roman"/>
          <w:sz w:val="24"/>
        </w:rPr>
        <w:t xml:space="preserve"> </w:t>
      </w:r>
      <w:r w:rsidR="00E85E6E">
        <w:rPr>
          <w:rFonts w:ascii="Times New Roman" w:hAnsi="Times New Roman"/>
          <w:sz w:val="24"/>
        </w:rPr>
        <w:t xml:space="preserve">innovants </w:t>
      </w:r>
      <w:r>
        <w:rPr>
          <w:rFonts w:ascii="Times New Roman" w:hAnsi="Times New Roman"/>
          <w:sz w:val="24"/>
        </w:rPr>
        <w:t>pour renforcer les activités et les investissements d’</w:t>
      </w:r>
      <w:r w:rsidR="00537B55">
        <w:rPr>
          <w:rFonts w:ascii="Times New Roman" w:hAnsi="Times New Roman"/>
          <w:sz w:val="24"/>
        </w:rPr>
        <w:t>adaptation aux changements climatiques</w:t>
      </w:r>
    </w:p>
    <w:p w:rsidR="00876F2E" w:rsidRPr="007F5D87" w:rsidRDefault="00876F2E" w:rsidP="00876F2E">
      <w:pPr>
        <w:rPr>
          <w:rFonts w:ascii="Times New Roman" w:hAnsi="Times New Roman"/>
          <w:sz w:val="24"/>
        </w:rPr>
      </w:pPr>
      <w:r>
        <w:rPr>
          <w:rFonts w:ascii="Times New Roman" w:hAnsi="Times New Roman"/>
          <w:b/>
          <w:sz w:val="24"/>
          <w:u w:val="single"/>
        </w:rPr>
        <w:t>Résultat 1</w:t>
      </w:r>
      <w:r w:rsidR="002575A2">
        <w:rPr>
          <w:rFonts w:ascii="Times New Roman" w:hAnsi="Times New Roman"/>
          <w:b/>
          <w:sz w:val="24"/>
          <w:u w:val="single"/>
        </w:rPr>
        <w:t> :</w:t>
      </w:r>
      <w:r>
        <w:rPr>
          <w:rFonts w:ascii="Times New Roman" w:hAnsi="Times New Roman"/>
          <w:b/>
          <w:sz w:val="24"/>
        </w:rPr>
        <w:t xml:space="preserve"> </w:t>
      </w:r>
      <w:r>
        <w:rPr>
          <w:rFonts w:ascii="Times New Roman" w:hAnsi="Times New Roman"/>
          <w:sz w:val="24"/>
        </w:rPr>
        <w:t xml:space="preserve">Des mécanismes </w:t>
      </w:r>
      <w:r w:rsidR="00311A1A">
        <w:rPr>
          <w:rFonts w:ascii="Times New Roman" w:hAnsi="Times New Roman"/>
          <w:sz w:val="24"/>
        </w:rPr>
        <w:t>novateur</w:t>
      </w:r>
      <w:r>
        <w:rPr>
          <w:rFonts w:ascii="Times New Roman" w:hAnsi="Times New Roman"/>
          <w:sz w:val="24"/>
        </w:rPr>
        <w:t>s financent les coûts différentiels des mesures d’</w:t>
      </w:r>
      <w:r w:rsidR="00537B55">
        <w:rPr>
          <w:rFonts w:ascii="Times New Roman" w:hAnsi="Times New Roman"/>
          <w:sz w:val="24"/>
        </w:rPr>
        <w:t>adaptation aux changements climatiques</w:t>
      </w:r>
      <w:r>
        <w:rPr>
          <w:rFonts w:ascii="Times New Roman" w:hAnsi="Times New Roman"/>
          <w:sz w:val="24"/>
        </w:rPr>
        <w:t xml:space="preserve"> au niveau local</w:t>
      </w:r>
    </w:p>
    <w:p w:rsidR="00876F2E" w:rsidRPr="007F5D87" w:rsidRDefault="00876F2E" w:rsidP="00876F2E">
      <w:pPr>
        <w:rPr>
          <w:rFonts w:ascii="Times New Roman" w:hAnsi="Times New Roman"/>
          <w:sz w:val="24"/>
          <w:szCs w:val="20"/>
        </w:rPr>
      </w:pPr>
      <w:r>
        <w:rPr>
          <w:rFonts w:ascii="Times New Roman" w:hAnsi="Times New Roman"/>
          <w:sz w:val="24"/>
          <w:szCs w:val="20"/>
        </w:rPr>
        <w:t>Montants du cofinancement pour le résultat 1</w:t>
      </w:r>
      <w:r w:rsidR="002575A2">
        <w:rPr>
          <w:rFonts w:ascii="Times New Roman" w:hAnsi="Times New Roman"/>
          <w:sz w:val="24"/>
          <w:szCs w:val="20"/>
        </w:rPr>
        <w:t> :</w:t>
      </w:r>
      <w:r>
        <w:rPr>
          <w:rFonts w:ascii="Times New Roman" w:hAnsi="Times New Roman"/>
          <w:sz w:val="24"/>
          <w:szCs w:val="20"/>
        </w:rPr>
        <w:t xml:space="preserve"> 6 054 475 dollars des États-Unis</w:t>
      </w:r>
    </w:p>
    <w:p w:rsidR="00876F2E" w:rsidRPr="007F5D87" w:rsidRDefault="00876F2E" w:rsidP="00876F2E">
      <w:pPr>
        <w:rPr>
          <w:rFonts w:ascii="Times New Roman" w:hAnsi="Times New Roman"/>
          <w:sz w:val="24"/>
          <w:szCs w:val="20"/>
        </w:rPr>
      </w:pPr>
      <w:r>
        <w:rPr>
          <w:rFonts w:ascii="Times New Roman" w:hAnsi="Times New Roman"/>
          <w:sz w:val="24"/>
          <w:szCs w:val="20"/>
        </w:rPr>
        <w:t>Subvention de projet demandée au Fonds pour les PMA</w:t>
      </w:r>
      <w:r w:rsidR="002575A2">
        <w:rPr>
          <w:rFonts w:ascii="Times New Roman" w:hAnsi="Times New Roman"/>
          <w:sz w:val="24"/>
          <w:szCs w:val="20"/>
        </w:rPr>
        <w:t> :</w:t>
      </w:r>
      <w:r>
        <w:rPr>
          <w:rFonts w:ascii="Times New Roman" w:hAnsi="Times New Roman"/>
          <w:sz w:val="24"/>
          <w:szCs w:val="20"/>
        </w:rPr>
        <w:t xml:space="preserve"> 1 000 000 dollars des États-Unis</w:t>
      </w:r>
    </w:p>
    <w:p w:rsidR="00876F2E" w:rsidRPr="007F5D87" w:rsidRDefault="00876F2E" w:rsidP="00876F2E">
      <w:pPr>
        <w:spacing w:after="0"/>
        <w:rPr>
          <w:rFonts w:ascii="Times New Roman" w:eastAsia="Times New Roman" w:hAnsi="Times New Roman"/>
          <w:i/>
          <w:sz w:val="24"/>
          <w:szCs w:val="20"/>
          <w:u w:val="single"/>
        </w:rPr>
      </w:pPr>
    </w:p>
    <w:p w:rsidR="00876F2E" w:rsidRPr="007F5D87" w:rsidRDefault="00876F2E" w:rsidP="00876F2E">
      <w:pPr>
        <w:spacing w:after="0"/>
        <w:rPr>
          <w:rFonts w:ascii="Times New Roman" w:eastAsia="Times New Roman" w:hAnsi="Times New Roman"/>
          <w:i/>
          <w:sz w:val="24"/>
          <w:szCs w:val="20"/>
          <w:u w:val="single"/>
        </w:rPr>
      </w:pPr>
      <w:r>
        <w:rPr>
          <w:rFonts w:ascii="Times New Roman" w:hAnsi="Times New Roman"/>
          <w:i/>
          <w:sz w:val="24"/>
          <w:szCs w:val="20"/>
          <w:u w:val="single"/>
        </w:rPr>
        <w:t>Sans intervention du Fonds pour les PMA (situation de référence)</w:t>
      </w:r>
      <w:r w:rsidR="002575A2">
        <w:rPr>
          <w:rFonts w:ascii="Times New Roman" w:hAnsi="Times New Roman"/>
          <w:i/>
          <w:sz w:val="24"/>
          <w:szCs w:val="20"/>
          <w:u w:val="single"/>
        </w:rPr>
        <w:t> :</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Actuellement, les communes et les parties prenantes locales sont </w:t>
      </w:r>
      <w:r w:rsidR="00E85E6E">
        <w:t>confrontés à un problème</w:t>
      </w:r>
      <w:r>
        <w:t xml:space="preserve"> majeur pour attirer et gérer le financement climatique au niveau local. Les r</w:t>
      </w:r>
      <w:r w:rsidR="003B7D35">
        <w:t xml:space="preserve">evenus des </w:t>
      </w:r>
      <w:r w:rsidR="003B7D35">
        <w:lastRenderedPageBreak/>
        <w:t>communes proviennent : i) de la fiscalité ; ii) du patrimoine communal ; iii) </w:t>
      </w:r>
      <w:r>
        <w:t>de la dotation de l’Éta</w:t>
      </w:r>
      <w:r w:rsidR="003B7D35">
        <w:t>t ; iv) </w:t>
      </w:r>
      <w:r>
        <w:t>de la contribution du Fonds de décentralisation. Dans un récent rapport, le Ministère de l’économie, des finances et du plan reconna</w:t>
      </w:r>
      <w:r w:rsidR="002E6C8F">
        <w:t>i</w:t>
      </w:r>
      <w:r>
        <w:t>t que les ressources provenant des fonds de dotation ne couvrent que 20 % des besoins des communes. Leurs budgets sont dès lors serrés et le secteur de l’environnement, qui est l’un des mandats clés des communes, n’est pas doté de ressources suffisantes. Les 21 communes concernées par le projet ont un budget annuel qui varie entre 90 000 et 400 000 dollars des États-Unis. La part du budget consacrée à l’environnement ne dépasse jamais 1 %. Aucun financement n’est alloué à l’</w:t>
      </w:r>
      <w:r w:rsidR="00537B55">
        <w:t>adaptation aux changements climatiques</w:t>
      </w:r>
      <w:r w:rsidR="00384043">
        <w:t xml:space="preserve"> dans cette part (voir T</w:t>
      </w:r>
      <w:r>
        <w:t>ableau 1). Les financements internes (impôts locaux) et externes doivent être développés afin d’atteindre l’objectif de protection de l’environnement.</w:t>
      </w:r>
    </w:p>
    <w:p w:rsidR="00876F2E" w:rsidRPr="007F5D87" w:rsidRDefault="00876F2E" w:rsidP="00876F2E">
      <w:pPr>
        <w:pStyle w:val="NumberedParas"/>
        <w:numPr>
          <w:ilvl w:val="0"/>
          <w:numId w:val="0"/>
        </w:numPr>
      </w:pPr>
    </w:p>
    <w:p w:rsidR="00876F2E" w:rsidRPr="007F5D87" w:rsidRDefault="00876F2E" w:rsidP="00876F2E">
      <w:pPr>
        <w:pStyle w:val="NumberedParas"/>
      </w:pPr>
      <w:r>
        <w:t>En 1996, dans le cadre du processus de décentralisation, une nouvelle loi nationale sur le transfert des responsabilités aux autorités locales a ouvert la voie aux initiatives des communes pour investir dans l’environnement, la gestion des ressources naturelles et l’</w:t>
      </w:r>
      <w:r w:rsidR="00537B55">
        <w:t>adaptation aux changements climatiques</w:t>
      </w:r>
      <w:r>
        <w:t>. La création de réserves naturelles communautaires (RNC) en tant que nouveau statut et contribution importante de la communauté à la protection des forêts et à l’adaptation aux changements climatiques en a été un résult</w:t>
      </w:r>
      <w:r w:rsidR="002E6C8F">
        <w:t>at</w:t>
      </w:r>
      <w:r>
        <w:t xml:space="preserve"> clé. En vertu de cette loi, les droits et responsabilités de gestion sont transférés aux communes et les RNC sont gérés par et pour les communautés, avec le</w:t>
      </w:r>
      <w:r w:rsidR="00833FA1">
        <w:t>s conseils des administrations [</w:t>
      </w:r>
      <w:r>
        <w:t>Direction des parcs nationaux</w:t>
      </w:r>
      <w:r w:rsidR="00833FA1">
        <w:t xml:space="preserve"> (DPN)</w:t>
      </w:r>
      <w:r>
        <w:t xml:space="preserve"> et Direction des eaux et forêts, de la chasse et de la conservation des sols</w:t>
      </w:r>
      <w:r w:rsidR="00833FA1">
        <w:t xml:space="preserve"> (DEFCCS</w:t>
      </w:r>
      <w:r>
        <w:t>)</w:t>
      </w:r>
      <w:r w:rsidR="00833FA1">
        <w:t>]</w:t>
      </w:r>
      <w:r>
        <w:t>. La RNC est le point d’entrée clé de la stratégie d’adaptation au niveau local</w:t>
      </w:r>
      <w:r w:rsidR="006A75D0">
        <w:t> </w:t>
      </w:r>
      <w:r>
        <w:t xml:space="preserve">; autour de cette réserve qui </w:t>
      </w:r>
      <w:r w:rsidR="006A75D0">
        <w:t>préservera</w:t>
      </w:r>
      <w:r>
        <w:t xml:space="preserve"> le microclimat, plusieurs actions d’adaptation au</w:t>
      </w:r>
      <w:r w:rsidR="006A75D0">
        <w:t>x</w:t>
      </w:r>
      <w:r>
        <w:t xml:space="preserve"> changement</w:t>
      </w:r>
      <w:r w:rsidR="006A75D0">
        <w:t>s</w:t>
      </w:r>
      <w:r>
        <w:t xml:space="preserve"> climatique</w:t>
      </w:r>
      <w:r w:rsidR="006A75D0">
        <w:t>s</w:t>
      </w:r>
      <w:r>
        <w:t xml:space="preserve"> seront développées telles que l’amélioration de l’accès à l’eau (</w:t>
      </w:r>
      <w:r w:rsidR="00E85E6E">
        <w:t>aménagement de mares</w:t>
      </w:r>
      <w:r>
        <w:t>, aménagement de petits périmètres irrigués pour les femmes), la restauration des terres et des zones côtières, la diffusion des pratiques agricoles résilientes, etc. Cette approche intégrée au niveau de la RNC sera combinée à l’amélioration des activités génératrices de revenus résilientes afin de soutenir les communautés vulnérables dans la diversification. 21 RNC sont concernées par le projet proposé, mais le manque de revenus conséquents ne permet pas leur gestion adéquate. Selon diverses estimations, les besoins financiers annuels des 26 RNC se situent entre 1 707 372</w:t>
      </w:r>
      <w:r w:rsidRPr="007F5D87">
        <w:rPr>
          <w:rStyle w:val="Appelnotedebasdep"/>
          <w:rFonts w:eastAsia="MS Mincho"/>
          <w:noProof/>
        </w:rPr>
        <w:footnoteReference w:id="37"/>
      </w:r>
      <w:r>
        <w:t xml:space="preserve"> et 3 505 804 dollars des États-Unis</w:t>
      </w:r>
      <w:r w:rsidRPr="007F5D87">
        <w:rPr>
          <w:rStyle w:val="Appelnotedebasdep"/>
          <w:rFonts w:eastAsia="MS Mincho"/>
          <w:noProof/>
        </w:rPr>
        <w:footnoteReference w:id="38"/>
      </w:r>
      <w:r>
        <w:t>.</w:t>
      </w:r>
    </w:p>
    <w:p w:rsidR="00876F2E" w:rsidRPr="007F5D87" w:rsidRDefault="00876F2E" w:rsidP="00876F2E">
      <w:pPr>
        <w:pStyle w:val="NumberedParas"/>
        <w:numPr>
          <w:ilvl w:val="0"/>
          <w:numId w:val="0"/>
        </w:numPr>
        <w:rPr>
          <w:rFonts w:eastAsia="MS Mincho"/>
          <w:noProof/>
        </w:rPr>
      </w:pPr>
    </w:p>
    <w:p w:rsidR="00876F2E" w:rsidRPr="007F5D87" w:rsidRDefault="00876F2E" w:rsidP="00876F2E">
      <w:pPr>
        <w:pStyle w:val="NumberedParas"/>
      </w:pPr>
      <w:r>
        <w:t>D’autres initiatives environnementales souvent pilotées par des projets et des ONG sont mises en œuvre (plantation d’arbres, pépinières, collecte des déchets, etc.), mais à petite échelle. Le récent acte III de la décentralisation (2013) renforce le rôle des communes pour relever le défi environnemental au niveau local à travers</w:t>
      </w:r>
      <w:r w:rsidR="003B7D35">
        <w:t> : i) la gestion des forêts ;</w:t>
      </w:r>
      <w:r>
        <w:t xml:space="preserve"> ii)</w:t>
      </w:r>
      <w:r w:rsidR="003B7D35">
        <w:t xml:space="preserve"> la gestion des </w:t>
      </w:r>
      <w:r w:rsidR="004A36C3">
        <w:t>mares</w:t>
      </w:r>
      <w:r w:rsidR="003B7D35">
        <w:t>; iii) la gestion de l’eau et du sol ; iv) </w:t>
      </w:r>
      <w:r>
        <w:t>des c</w:t>
      </w:r>
      <w:r w:rsidR="003B7D35">
        <w:t>ampagnes de plantation d’arbres ; v) </w:t>
      </w:r>
      <w:r>
        <w:t xml:space="preserve">la régénération naturelle assistée, etc. Cependant, très peu de ressources sont effectivement mobilisées par la commune pour faire face aux effets </w:t>
      </w:r>
      <w:r w:rsidR="00E85E6E">
        <w:t xml:space="preserve">des </w:t>
      </w:r>
      <w:r>
        <w:t>changement</w:t>
      </w:r>
      <w:r w:rsidR="00E85E6E">
        <w:t>s</w:t>
      </w:r>
      <w:r>
        <w:t xml:space="preserve"> climatique</w:t>
      </w:r>
      <w:r w:rsidR="00E85E6E">
        <w:t>s</w:t>
      </w:r>
      <w:r>
        <w:t>.</w:t>
      </w:r>
    </w:p>
    <w:p w:rsidR="00876F2E" w:rsidRPr="007F5D87" w:rsidRDefault="00876F2E" w:rsidP="00876F2E"/>
    <w:p w:rsidR="00876F2E" w:rsidRPr="007F5D87" w:rsidRDefault="003B7D35" w:rsidP="00876F2E">
      <w:pPr>
        <w:pStyle w:val="Lgende"/>
        <w:rPr>
          <w:b w:val="0"/>
          <w:i w:val="0"/>
          <w:szCs w:val="22"/>
          <w:u w:val="single"/>
        </w:rPr>
      </w:pPr>
      <w:r>
        <w:rPr>
          <w:b w:val="0"/>
          <w:szCs w:val="22"/>
          <w:u w:val="single"/>
        </w:rPr>
        <w:t>Tableau </w:t>
      </w:r>
      <w:r w:rsidR="00DD457B" w:rsidRPr="007F5D87">
        <w:rPr>
          <w:b w:val="0"/>
          <w:i w:val="0"/>
          <w:szCs w:val="22"/>
          <w:u w:val="single"/>
        </w:rPr>
        <w:fldChar w:fldCharType="begin"/>
      </w:r>
      <w:r w:rsidR="00876F2E" w:rsidRPr="007F5D87">
        <w:rPr>
          <w:b w:val="0"/>
          <w:szCs w:val="22"/>
          <w:u w:val="single"/>
        </w:rPr>
        <w:instrText xml:space="preserve"> SEQ Tableau \* ARABIC </w:instrText>
      </w:r>
      <w:r w:rsidR="00DD457B" w:rsidRPr="007F5D87">
        <w:rPr>
          <w:b w:val="0"/>
          <w:i w:val="0"/>
          <w:szCs w:val="22"/>
          <w:u w:val="single"/>
        </w:rPr>
        <w:fldChar w:fldCharType="separate"/>
      </w:r>
      <w:r w:rsidR="009375FA">
        <w:rPr>
          <w:b w:val="0"/>
          <w:noProof/>
          <w:szCs w:val="22"/>
          <w:u w:val="single"/>
        </w:rPr>
        <w:t>1</w:t>
      </w:r>
      <w:r w:rsidR="00DD457B" w:rsidRPr="007F5D87">
        <w:rPr>
          <w:b w:val="0"/>
          <w:i w:val="0"/>
          <w:szCs w:val="22"/>
          <w:u w:val="single"/>
        </w:rPr>
        <w:fldChar w:fldCharType="end"/>
      </w:r>
      <w:r w:rsidR="00876F2E">
        <w:rPr>
          <w:b w:val="0"/>
          <w:szCs w:val="22"/>
          <w:u w:val="single"/>
        </w:rPr>
        <w:t>: Budget annuel de la commune et part consacrée à l’environnement et à l’</w:t>
      </w:r>
      <w:r w:rsidR="00537B55">
        <w:rPr>
          <w:b w:val="0"/>
          <w:szCs w:val="22"/>
          <w:u w:val="single"/>
        </w:rPr>
        <w:t>adaptation aux changements climatiques</w:t>
      </w:r>
      <w:r>
        <w:rPr>
          <w:b w:val="0"/>
          <w:szCs w:val="22"/>
          <w:u w:val="single"/>
        </w:rPr>
        <w:t xml:space="preserve"> (en F</w:t>
      </w:r>
      <w:r w:rsidR="00876F2E">
        <w:rPr>
          <w:b w:val="0"/>
          <w:szCs w:val="22"/>
          <w:u w:val="single"/>
        </w:rPr>
        <w:t>CFA)</w:t>
      </w:r>
    </w:p>
    <w:p w:rsidR="00876F2E" w:rsidRPr="007F5D87" w:rsidRDefault="00876F2E" w:rsidP="00876F2E">
      <w:pPr>
        <w:pStyle w:val="NumberedParas"/>
        <w:numPr>
          <w:ilvl w:val="0"/>
          <w:numId w:val="0"/>
        </w:numPr>
      </w:pPr>
    </w:p>
    <w:tbl>
      <w:tblPr>
        <w:tblStyle w:val="Grilledutableau"/>
        <w:tblW w:w="0" w:type="auto"/>
        <w:tblLook w:val="04A0" w:firstRow="1" w:lastRow="0" w:firstColumn="1" w:lastColumn="0" w:noHBand="0" w:noVBand="1"/>
      </w:tblPr>
      <w:tblGrid>
        <w:gridCol w:w="2067"/>
        <w:gridCol w:w="2773"/>
        <w:gridCol w:w="2789"/>
        <w:gridCol w:w="1721"/>
      </w:tblGrid>
      <w:tr w:rsidR="00876F2E" w:rsidRPr="007F5D87" w:rsidTr="00A444DE">
        <w:tc>
          <w:tcPr>
            <w:tcW w:w="2093" w:type="dxa"/>
          </w:tcPr>
          <w:p w:rsidR="00876F2E" w:rsidRPr="007F5D87" w:rsidRDefault="00876F2E" w:rsidP="00A444DE">
            <w:pPr>
              <w:pStyle w:val="NumberedParas"/>
              <w:numPr>
                <w:ilvl w:val="0"/>
                <w:numId w:val="0"/>
              </w:numPr>
              <w:rPr>
                <w:b/>
                <w:sz w:val="20"/>
                <w:szCs w:val="20"/>
              </w:rPr>
            </w:pPr>
            <w:r>
              <w:rPr>
                <w:b/>
                <w:sz w:val="20"/>
                <w:szCs w:val="20"/>
              </w:rPr>
              <w:lastRenderedPageBreak/>
              <w:t>Communes</w:t>
            </w:r>
          </w:p>
        </w:tc>
        <w:tc>
          <w:tcPr>
            <w:tcW w:w="2835" w:type="dxa"/>
          </w:tcPr>
          <w:p w:rsidR="00876F2E" w:rsidRPr="007F5D87" w:rsidRDefault="003B7D35" w:rsidP="00A444DE">
            <w:pPr>
              <w:pStyle w:val="NumberedParas"/>
              <w:numPr>
                <w:ilvl w:val="0"/>
                <w:numId w:val="0"/>
              </w:numPr>
              <w:rPr>
                <w:b/>
                <w:sz w:val="20"/>
                <w:szCs w:val="20"/>
              </w:rPr>
            </w:pPr>
            <w:r>
              <w:rPr>
                <w:b/>
                <w:sz w:val="20"/>
                <w:szCs w:val="20"/>
              </w:rPr>
              <w:t>Budget annuel (en F</w:t>
            </w:r>
            <w:r w:rsidR="00876F2E">
              <w:rPr>
                <w:b/>
                <w:sz w:val="20"/>
                <w:szCs w:val="20"/>
              </w:rPr>
              <w:t>CFA)</w:t>
            </w:r>
          </w:p>
        </w:tc>
        <w:tc>
          <w:tcPr>
            <w:tcW w:w="2835" w:type="dxa"/>
          </w:tcPr>
          <w:p w:rsidR="00876F2E" w:rsidRPr="007F5D87" w:rsidRDefault="00876F2E" w:rsidP="00A444DE">
            <w:pPr>
              <w:pStyle w:val="NumberedParas"/>
              <w:numPr>
                <w:ilvl w:val="0"/>
                <w:numId w:val="0"/>
              </w:numPr>
              <w:rPr>
                <w:b/>
                <w:sz w:val="20"/>
                <w:szCs w:val="20"/>
              </w:rPr>
            </w:pPr>
            <w:r>
              <w:rPr>
                <w:b/>
                <w:sz w:val="20"/>
                <w:szCs w:val="20"/>
              </w:rPr>
              <w:t xml:space="preserve">Budget affecté à l’environnement (en </w:t>
            </w:r>
            <w:r w:rsidR="00DA7D20">
              <w:rPr>
                <w:b/>
                <w:sz w:val="20"/>
                <w:szCs w:val="20"/>
              </w:rPr>
              <w:t>FCFA</w:t>
            </w:r>
            <w:r>
              <w:rPr>
                <w:b/>
                <w:sz w:val="20"/>
                <w:szCs w:val="20"/>
              </w:rPr>
              <w:t>)</w:t>
            </w:r>
          </w:p>
        </w:tc>
        <w:tc>
          <w:tcPr>
            <w:tcW w:w="1737" w:type="dxa"/>
          </w:tcPr>
          <w:p w:rsidR="00876F2E" w:rsidRPr="007F5D87" w:rsidRDefault="00876F2E" w:rsidP="00A444DE">
            <w:pPr>
              <w:pStyle w:val="NumberedParas"/>
              <w:numPr>
                <w:ilvl w:val="0"/>
                <w:numId w:val="0"/>
              </w:numPr>
              <w:rPr>
                <w:b/>
                <w:sz w:val="20"/>
                <w:szCs w:val="20"/>
              </w:rPr>
            </w:pPr>
            <w:r>
              <w:rPr>
                <w:b/>
                <w:sz w:val="20"/>
                <w:szCs w:val="20"/>
              </w:rPr>
              <w:t>Mention de l’</w:t>
            </w:r>
            <w:r w:rsidR="00537B55">
              <w:rPr>
                <w:b/>
                <w:sz w:val="20"/>
                <w:szCs w:val="20"/>
              </w:rPr>
              <w:t>adaptation aux changements climatiques</w:t>
            </w:r>
            <w:r>
              <w:rPr>
                <w:b/>
                <w:sz w:val="20"/>
                <w:szCs w:val="20"/>
              </w:rPr>
              <w:t xml:space="preserve"> dans le plan local</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 xml:space="preserve">Site sur </w:t>
            </w:r>
            <w:r w:rsidR="00E82CB3">
              <w:rPr>
                <w:sz w:val="20"/>
                <w:szCs w:val="20"/>
              </w:rPr>
              <w:t>delta du Saloum</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Toubacouta</w:t>
            </w:r>
          </w:p>
        </w:tc>
        <w:tc>
          <w:tcPr>
            <w:tcW w:w="2835" w:type="dxa"/>
          </w:tcPr>
          <w:p w:rsidR="00876F2E" w:rsidRPr="007F5D87" w:rsidRDefault="00876F2E" w:rsidP="00A444DE">
            <w:pPr>
              <w:pStyle w:val="NumberedParas"/>
              <w:numPr>
                <w:ilvl w:val="0"/>
                <w:numId w:val="0"/>
              </w:numPr>
              <w:rPr>
                <w:sz w:val="20"/>
                <w:szCs w:val="20"/>
              </w:rPr>
            </w:pPr>
            <w:r>
              <w:rPr>
                <w:sz w:val="20"/>
                <w:szCs w:val="20"/>
              </w:rPr>
              <w:t>195 940 715</w:t>
            </w:r>
          </w:p>
        </w:tc>
        <w:tc>
          <w:tcPr>
            <w:tcW w:w="2835" w:type="dxa"/>
          </w:tcPr>
          <w:p w:rsidR="00876F2E" w:rsidRPr="007F5D87" w:rsidRDefault="00876F2E" w:rsidP="00A444DE">
            <w:pPr>
              <w:pStyle w:val="NumberedParas"/>
              <w:numPr>
                <w:ilvl w:val="0"/>
                <w:numId w:val="0"/>
              </w:numPr>
              <w:rPr>
                <w:sz w:val="20"/>
                <w:szCs w:val="20"/>
              </w:rPr>
            </w:pPr>
            <w:r>
              <w:rPr>
                <w:sz w:val="20"/>
                <w:szCs w:val="20"/>
              </w:rPr>
              <w:t>5 160 315</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Keur Samba Gueye</w:t>
            </w:r>
          </w:p>
        </w:tc>
        <w:tc>
          <w:tcPr>
            <w:tcW w:w="2835" w:type="dxa"/>
          </w:tcPr>
          <w:p w:rsidR="00876F2E" w:rsidRPr="007F5D87" w:rsidRDefault="00876F2E" w:rsidP="00A444DE">
            <w:pPr>
              <w:pStyle w:val="NumberedParas"/>
              <w:numPr>
                <w:ilvl w:val="0"/>
                <w:numId w:val="0"/>
              </w:numPr>
              <w:rPr>
                <w:sz w:val="20"/>
                <w:szCs w:val="20"/>
              </w:rPr>
            </w:pPr>
            <w:r>
              <w:rPr>
                <w:sz w:val="20"/>
                <w:szCs w:val="20"/>
              </w:rPr>
              <w:t>95 527 447</w:t>
            </w:r>
          </w:p>
        </w:tc>
        <w:tc>
          <w:tcPr>
            <w:tcW w:w="2835" w:type="dxa"/>
          </w:tcPr>
          <w:p w:rsidR="00876F2E" w:rsidRPr="007F5D87" w:rsidRDefault="00876F2E" w:rsidP="00A444DE">
            <w:pPr>
              <w:pStyle w:val="NumberedParas"/>
              <w:numPr>
                <w:ilvl w:val="0"/>
                <w:numId w:val="0"/>
              </w:numPr>
              <w:rPr>
                <w:sz w:val="20"/>
                <w:szCs w:val="20"/>
              </w:rPr>
            </w:pPr>
            <w:r>
              <w:rPr>
                <w:sz w:val="20"/>
                <w:szCs w:val="20"/>
              </w:rPr>
              <w:t>2 500 000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Sokone</w:t>
            </w:r>
          </w:p>
        </w:tc>
        <w:tc>
          <w:tcPr>
            <w:tcW w:w="2835" w:type="dxa"/>
          </w:tcPr>
          <w:p w:rsidR="00876F2E" w:rsidRPr="007F5D87" w:rsidRDefault="00876F2E" w:rsidP="00A444DE">
            <w:pPr>
              <w:pStyle w:val="NumberedParas"/>
              <w:numPr>
                <w:ilvl w:val="0"/>
                <w:numId w:val="0"/>
              </w:numPr>
              <w:rPr>
                <w:sz w:val="20"/>
                <w:szCs w:val="20"/>
              </w:rPr>
            </w:pPr>
            <w:r>
              <w:rPr>
                <w:sz w:val="20"/>
                <w:szCs w:val="20"/>
              </w:rPr>
              <w:t>175 322 659</w:t>
            </w:r>
          </w:p>
        </w:tc>
        <w:tc>
          <w:tcPr>
            <w:tcW w:w="2835" w:type="dxa"/>
          </w:tcPr>
          <w:p w:rsidR="00876F2E" w:rsidRPr="007F5D87" w:rsidRDefault="00876F2E" w:rsidP="00A444DE">
            <w:pPr>
              <w:pStyle w:val="NumberedParas"/>
              <w:numPr>
                <w:ilvl w:val="0"/>
                <w:numId w:val="0"/>
              </w:numPr>
              <w:rPr>
                <w:sz w:val="20"/>
                <w:szCs w:val="20"/>
              </w:rPr>
            </w:pPr>
            <w:r>
              <w:rPr>
                <w:sz w:val="20"/>
                <w:szCs w:val="20"/>
              </w:rPr>
              <w:t>10 065 000</w:t>
            </w:r>
          </w:p>
        </w:tc>
        <w:tc>
          <w:tcPr>
            <w:tcW w:w="1737" w:type="dxa"/>
          </w:tcPr>
          <w:p w:rsidR="00876F2E" w:rsidRPr="007F5D87" w:rsidRDefault="00876F2E" w:rsidP="00A444DE">
            <w:pPr>
              <w:pStyle w:val="NumberedParas"/>
              <w:numPr>
                <w:ilvl w:val="0"/>
                <w:numId w:val="0"/>
              </w:numPr>
              <w:rPr>
                <w:sz w:val="20"/>
                <w:szCs w:val="20"/>
              </w:rPr>
            </w:pPr>
            <w:r>
              <w:rPr>
                <w:sz w:val="20"/>
                <w:szCs w:val="20"/>
              </w:rPr>
              <w:t>Partiellement</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Site du delta du fleuve Sénégal</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Gandon</w:t>
            </w:r>
          </w:p>
        </w:tc>
        <w:tc>
          <w:tcPr>
            <w:tcW w:w="2835" w:type="dxa"/>
          </w:tcPr>
          <w:p w:rsidR="00876F2E" w:rsidRPr="007F5D87" w:rsidRDefault="00876F2E" w:rsidP="00A444DE">
            <w:pPr>
              <w:pStyle w:val="NumberedParas"/>
              <w:numPr>
                <w:ilvl w:val="0"/>
                <w:numId w:val="0"/>
              </w:numPr>
              <w:rPr>
                <w:sz w:val="20"/>
                <w:szCs w:val="20"/>
              </w:rPr>
            </w:pPr>
            <w:r>
              <w:rPr>
                <w:sz w:val="20"/>
                <w:szCs w:val="20"/>
              </w:rPr>
              <w:t>723 922 942</w:t>
            </w:r>
          </w:p>
        </w:tc>
        <w:tc>
          <w:tcPr>
            <w:tcW w:w="2835" w:type="dxa"/>
          </w:tcPr>
          <w:p w:rsidR="00876F2E" w:rsidRPr="007F5D87" w:rsidRDefault="00876F2E" w:rsidP="00A444DE">
            <w:pPr>
              <w:pStyle w:val="NumberedParas"/>
              <w:numPr>
                <w:ilvl w:val="0"/>
                <w:numId w:val="0"/>
              </w:numPr>
              <w:rPr>
                <w:sz w:val="20"/>
                <w:szCs w:val="20"/>
              </w:rPr>
            </w:pPr>
            <w:r>
              <w:rPr>
                <w:sz w:val="20"/>
                <w:szCs w:val="20"/>
              </w:rPr>
              <w:t>1 399 163</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Ndiobène Gandiole</w:t>
            </w:r>
          </w:p>
        </w:tc>
        <w:tc>
          <w:tcPr>
            <w:tcW w:w="2835" w:type="dxa"/>
          </w:tcPr>
          <w:p w:rsidR="00876F2E" w:rsidRPr="007F5D87" w:rsidRDefault="00876F2E" w:rsidP="00A444DE">
            <w:pPr>
              <w:pStyle w:val="NumberedParas"/>
              <w:numPr>
                <w:ilvl w:val="0"/>
                <w:numId w:val="0"/>
              </w:numPr>
              <w:rPr>
                <w:sz w:val="20"/>
                <w:szCs w:val="20"/>
              </w:rPr>
            </w:pPr>
            <w:r>
              <w:rPr>
                <w:sz w:val="20"/>
                <w:szCs w:val="20"/>
              </w:rPr>
              <w:t>199 306 784</w:t>
            </w:r>
          </w:p>
        </w:tc>
        <w:tc>
          <w:tcPr>
            <w:tcW w:w="2835" w:type="dxa"/>
          </w:tcPr>
          <w:p w:rsidR="00876F2E" w:rsidRPr="007F5D87" w:rsidRDefault="00876F2E" w:rsidP="00A444DE">
            <w:pPr>
              <w:pStyle w:val="NumberedParas"/>
              <w:numPr>
                <w:ilvl w:val="0"/>
                <w:numId w:val="0"/>
              </w:numPr>
              <w:rPr>
                <w:sz w:val="20"/>
                <w:szCs w:val="20"/>
              </w:rPr>
            </w:pPr>
            <w:r>
              <w:rPr>
                <w:sz w:val="20"/>
                <w:szCs w:val="20"/>
              </w:rPr>
              <w:t>3 500 000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Site de Ferlo</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Oudalaye</w:t>
            </w:r>
          </w:p>
        </w:tc>
        <w:tc>
          <w:tcPr>
            <w:tcW w:w="2835" w:type="dxa"/>
          </w:tcPr>
          <w:p w:rsidR="00876F2E" w:rsidRPr="007F5D87" w:rsidRDefault="00876F2E" w:rsidP="00A444DE">
            <w:pPr>
              <w:pStyle w:val="NumberedParas"/>
              <w:numPr>
                <w:ilvl w:val="0"/>
                <w:numId w:val="0"/>
              </w:numPr>
              <w:rPr>
                <w:sz w:val="20"/>
                <w:szCs w:val="20"/>
              </w:rPr>
            </w:pPr>
            <w:r>
              <w:rPr>
                <w:sz w:val="20"/>
                <w:szCs w:val="20"/>
              </w:rPr>
              <w:t>130 000 000</w:t>
            </w:r>
          </w:p>
        </w:tc>
        <w:tc>
          <w:tcPr>
            <w:tcW w:w="2835" w:type="dxa"/>
          </w:tcPr>
          <w:p w:rsidR="00876F2E" w:rsidRPr="007F5D87" w:rsidRDefault="00876F2E" w:rsidP="00A444DE">
            <w:pPr>
              <w:pStyle w:val="NumberedParas"/>
              <w:numPr>
                <w:ilvl w:val="0"/>
                <w:numId w:val="0"/>
              </w:numPr>
              <w:rPr>
                <w:sz w:val="20"/>
                <w:szCs w:val="20"/>
              </w:rPr>
            </w:pPr>
            <w:r>
              <w:rPr>
                <w:sz w:val="20"/>
                <w:szCs w:val="20"/>
              </w:rPr>
              <w:t>1 000 000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Ouro Sidy</w:t>
            </w:r>
          </w:p>
        </w:tc>
        <w:tc>
          <w:tcPr>
            <w:tcW w:w="2835" w:type="dxa"/>
          </w:tcPr>
          <w:p w:rsidR="00876F2E" w:rsidRPr="007F5D87" w:rsidRDefault="00876F2E" w:rsidP="00A444DE">
            <w:pPr>
              <w:pStyle w:val="NumberedParas"/>
              <w:numPr>
                <w:ilvl w:val="0"/>
                <w:numId w:val="0"/>
              </w:numPr>
              <w:rPr>
                <w:sz w:val="20"/>
                <w:szCs w:val="20"/>
              </w:rPr>
            </w:pPr>
            <w:r>
              <w:rPr>
                <w:sz w:val="20"/>
                <w:szCs w:val="20"/>
              </w:rPr>
              <w:t>149 567 185</w:t>
            </w:r>
          </w:p>
        </w:tc>
        <w:tc>
          <w:tcPr>
            <w:tcW w:w="2835" w:type="dxa"/>
          </w:tcPr>
          <w:p w:rsidR="00876F2E" w:rsidRPr="007F5D87" w:rsidRDefault="00876F2E" w:rsidP="00A444DE">
            <w:pPr>
              <w:pStyle w:val="NumberedParas"/>
              <w:numPr>
                <w:ilvl w:val="0"/>
                <w:numId w:val="0"/>
              </w:numPr>
              <w:rPr>
                <w:sz w:val="20"/>
                <w:szCs w:val="20"/>
              </w:rPr>
            </w:pPr>
            <w:r>
              <w:rPr>
                <w:sz w:val="20"/>
                <w:szCs w:val="20"/>
              </w:rPr>
              <w:t>1 130 000 (0,7 %)</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Ndendory</w:t>
            </w:r>
          </w:p>
        </w:tc>
        <w:tc>
          <w:tcPr>
            <w:tcW w:w="2835" w:type="dxa"/>
          </w:tcPr>
          <w:p w:rsidR="00876F2E" w:rsidRPr="007F5D87" w:rsidRDefault="00876F2E" w:rsidP="00A444DE">
            <w:pPr>
              <w:pStyle w:val="NumberedParas"/>
              <w:numPr>
                <w:ilvl w:val="0"/>
                <w:numId w:val="0"/>
              </w:numPr>
              <w:rPr>
                <w:sz w:val="20"/>
                <w:szCs w:val="20"/>
              </w:rPr>
            </w:pPr>
            <w:r>
              <w:rPr>
                <w:sz w:val="20"/>
                <w:szCs w:val="20"/>
              </w:rPr>
              <w:t>113 243 621</w:t>
            </w:r>
          </w:p>
        </w:tc>
        <w:tc>
          <w:tcPr>
            <w:tcW w:w="2835" w:type="dxa"/>
          </w:tcPr>
          <w:p w:rsidR="00876F2E" w:rsidRPr="007F5D87" w:rsidRDefault="00876F2E" w:rsidP="00A444DE">
            <w:pPr>
              <w:pStyle w:val="NumberedParas"/>
              <w:numPr>
                <w:ilvl w:val="0"/>
                <w:numId w:val="0"/>
              </w:numPr>
              <w:rPr>
                <w:sz w:val="20"/>
                <w:szCs w:val="20"/>
              </w:rPr>
            </w:pPr>
            <w:r>
              <w:rPr>
                <w:sz w:val="20"/>
                <w:szCs w:val="20"/>
              </w:rPr>
              <w:t>2 000 000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Louguère Thioly</w:t>
            </w:r>
          </w:p>
        </w:tc>
        <w:tc>
          <w:tcPr>
            <w:tcW w:w="2835" w:type="dxa"/>
          </w:tcPr>
          <w:p w:rsidR="00876F2E" w:rsidRPr="007F5D87" w:rsidRDefault="00876F2E" w:rsidP="00A444DE">
            <w:pPr>
              <w:pStyle w:val="NumberedParas"/>
              <w:numPr>
                <w:ilvl w:val="0"/>
                <w:numId w:val="0"/>
              </w:numPr>
              <w:rPr>
                <w:sz w:val="20"/>
                <w:szCs w:val="20"/>
              </w:rPr>
            </w:pPr>
            <w:r>
              <w:rPr>
                <w:sz w:val="20"/>
                <w:szCs w:val="20"/>
              </w:rPr>
              <w:t>183 428 183</w:t>
            </w:r>
          </w:p>
        </w:tc>
        <w:tc>
          <w:tcPr>
            <w:tcW w:w="2835" w:type="dxa"/>
          </w:tcPr>
          <w:p w:rsidR="00876F2E" w:rsidRPr="007F5D87" w:rsidRDefault="00876F2E" w:rsidP="00A444DE">
            <w:pPr>
              <w:pStyle w:val="NumberedParas"/>
              <w:numPr>
                <w:ilvl w:val="0"/>
                <w:numId w:val="0"/>
              </w:numPr>
              <w:rPr>
                <w:sz w:val="20"/>
                <w:szCs w:val="20"/>
              </w:rPr>
            </w:pPr>
            <w:r>
              <w:rPr>
                <w:sz w:val="20"/>
                <w:szCs w:val="20"/>
              </w:rPr>
              <w:t>400 000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 xml:space="preserve">Site de </w:t>
            </w:r>
            <w:r w:rsidR="008712CB">
              <w:rPr>
                <w:sz w:val="20"/>
                <w:szCs w:val="20"/>
              </w:rPr>
              <w:t>Niokolo-Koba</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Dialakoto</w:t>
            </w:r>
          </w:p>
        </w:tc>
        <w:tc>
          <w:tcPr>
            <w:tcW w:w="2835" w:type="dxa"/>
          </w:tcPr>
          <w:p w:rsidR="00876F2E" w:rsidRPr="007F5D87" w:rsidRDefault="00876F2E" w:rsidP="00A444DE">
            <w:pPr>
              <w:pStyle w:val="NumberedParas"/>
              <w:numPr>
                <w:ilvl w:val="0"/>
                <w:numId w:val="0"/>
              </w:numPr>
              <w:rPr>
                <w:sz w:val="20"/>
                <w:szCs w:val="20"/>
              </w:rPr>
            </w:pPr>
            <w:r>
              <w:rPr>
                <w:sz w:val="20"/>
                <w:szCs w:val="20"/>
              </w:rPr>
              <w:t>131 700 000</w:t>
            </w:r>
          </w:p>
        </w:tc>
        <w:tc>
          <w:tcPr>
            <w:tcW w:w="2835" w:type="dxa"/>
          </w:tcPr>
          <w:p w:rsidR="00876F2E" w:rsidRPr="007F5D87" w:rsidRDefault="00876F2E" w:rsidP="00A444DE">
            <w:pPr>
              <w:pStyle w:val="NumberedParas"/>
              <w:numPr>
                <w:ilvl w:val="0"/>
                <w:numId w:val="0"/>
              </w:numPr>
              <w:rPr>
                <w:sz w:val="20"/>
                <w:szCs w:val="20"/>
              </w:rPr>
            </w:pPr>
            <w:r>
              <w:rPr>
                <w:sz w:val="20"/>
                <w:szCs w:val="20"/>
              </w:rPr>
              <w:t>1 450 000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Missirah</w:t>
            </w:r>
          </w:p>
        </w:tc>
        <w:tc>
          <w:tcPr>
            <w:tcW w:w="2835" w:type="dxa"/>
          </w:tcPr>
          <w:p w:rsidR="00876F2E" w:rsidRPr="007F5D87" w:rsidRDefault="00876F2E" w:rsidP="00A444DE">
            <w:pPr>
              <w:pStyle w:val="NumberedParas"/>
              <w:numPr>
                <w:ilvl w:val="0"/>
                <w:numId w:val="0"/>
              </w:numPr>
              <w:rPr>
                <w:sz w:val="20"/>
                <w:szCs w:val="20"/>
              </w:rPr>
            </w:pPr>
            <w:r>
              <w:rPr>
                <w:sz w:val="20"/>
                <w:szCs w:val="20"/>
              </w:rPr>
              <w:t>43 524 000</w:t>
            </w:r>
          </w:p>
        </w:tc>
        <w:tc>
          <w:tcPr>
            <w:tcW w:w="2835" w:type="dxa"/>
          </w:tcPr>
          <w:p w:rsidR="00876F2E" w:rsidRPr="007F5D87" w:rsidRDefault="00876F2E" w:rsidP="00A444DE">
            <w:pPr>
              <w:pStyle w:val="NumberedParas"/>
              <w:numPr>
                <w:ilvl w:val="0"/>
                <w:numId w:val="0"/>
              </w:numPr>
              <w:rPr>
                <w:sz w:val="20"/>
                <w:szCs w:val="20"/>
              </w:rPr>
            </w:pPr>
            <w:r>
              <w:rPr>
                <w:sz w:val="20"/>
                <w:szCs w:val="20"/>
              </w:rPr>
              <w:t>1 865 000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Linkering</w:t>
            </w:r>
          </w:p>
        </w:tc>
        <w:tc>
          <w:tcPr>
            <w:tcW w:w="2835" w:type="dxa"/>
          </w:tcPr>
          <w:p w:rsidR="00876F2E" w:rsidRPr="007F5D87" w:rsidRDefault="00876F2E" w:rsidP="00A444DE">
            <w:pPr>
              <w:pStyle w:val="NumberedParas"/>
              <w:numPr>
                <w:ilvl w:val="0"/>
                <w:numId w:val="0"/>
              </w:numPr>
              <w:rPr>
                <w:sz w:val="20"/>
                <w:szCs w:val="20"/>
              </w:rPr>
            </w:pPr>
            <w:r>
              <w:rPr>
                <w:sz w:val="20"/>
                <w:szCs w:val="20"/>
              </w:rPr>
              <w:t>151 129 959</w:t>
            </w:r>
          </w:p>
        </w:tc>
        <w:tc>
          <w:tcPr>
            <w:tcW w:w="2835" w:type="dxa"/>
          </w:tcPr>
          <w:p w:rsidR="00876F2E" w:rsidRPr="007F5D87" w:rsidRDefault="00876F2E" w:rsidP="00A444DE">
            <w:pPr>
              <w:pStyle w:val="NumberedParas"/>
              <w:numPr>
                <w:ilvl w:val="0"/>
                <w:numId w:val="0"/>
              </w:numPr>
              <w:rPr>
                <w:sz w:val="20"/>
                <w:szCs w:val="20"/>
              </w:rPr>
            </w:pPr>
            <w:r>
              <w:rPr>
                <w:sz w:val="20"/>
                <w:szCs w:val="20"/>
              </w:rPr>
              <w:t>3 310 162</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Tomboronkoto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Médina Gounass</w:t>
            </w:r>
          </w:p>
        </w:tc>
        <w:tc>
          <w:tcPr>
            <w:tcW w:w="2835" w:type="dxa"/>
          </w:tcPr>
          <w:p w:rsidR="00876F2E" w:rsidRPr="007F5D87" w:rsidRDefault="00876F2E" w:rsidP="00A444DE">
            <w:pPr>
              <w:pStyle w:val="NumberedParas"/>
              <w:numPr>
                <w:ilvl w:val="0"/>
                <w:numId w:val="0"/>
              </w:numPr>
              <w:rPr>
                <w:sz w:val="20"/>
                <w:szCs w:val="20"/>
              </w:rPr>
            </w:pPr>
            <w:r>
              <w:rPr>
                <w:sz w:val="20"/>
                <w:szCs w:val="20"/>
              </w:rPr>
              <w:t>400 000 000</w:t>
            </w:r>
          </w:p>
        </w:tc>
        <w:tc>
          <w:tcPr>
            <w:tcW w:w="2835" w:type="dxa"/>
          </w:tcPr>
          <w:p w:rsidR="00876F2E" w:rsidRPr="007F5D87" w:rsidRDefault="00876F2E" w:rsidP="00A444DE">
            <w:pPr>
              <w:pStyle w:val="NumberedParas"/>
              <w:numPr>
                <w:ilvl w:val="0"/>
                <w:numId w:val="0"/>
              </w:numPr>
              <w:rPr>
                <w:sz w:val="20"/>
                <w:szCs w:val="20"/>
              </w:rPr>
            </w:pPr>
            <w:r>
              <w:rPr>
                <w:sz w:val="20"/>
                <w:szCs w:val="20"/>
              </w:rPr>
              <w:t>8 500 000</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Salémata</w:t>
            </w:r>
          </w:p>
        </w:tc>
        <w:tc>
          <w:tcPr>
            <w:tcW w:w="2835" w:type="dxa"/>
          </w:tcPr>
          <w:p w:rsidR="00876F2E" w:rsidRPr="007F5D87" w:rsidRDefault="00876F2E" w:rsidP="00A444DE">
            <w:pPr>
              <w:pStyle w:val="NumberedParas"/>
              <w:numPr>
                <w:ilvl w:val="0"/>
                <w:numId w:val="0"/>
              </w:numPr>
              <w:rPr>
                <w:sz w:val="20"/>
                <w:szCs w:val="20"/>
              </w:rPr>
            </w:pPr>
            <w:r>
              <w:rPr>
                <w:sz w:val="20"/>
                <w:szCs w:val="20"/>
              </w:rPr>
              <w:t>40 000 000</w:t>
            </w:r>
          </w:p>
        </w:tc>
        <w:tc>
          <w:tcPr>
            <w:tcW w:w="2835" w:type="dxa"/>
          </w:tcPr>
          <w:p w:rsidR="00876F2E" w:rsidRPr="007F5D87" w:rsidRDefault="00876F2E" w:rsidP="00A444DE">
            <w:pPr>
              <w:pStyle w:val="NumberedParas"/>
              <w:numPr>
                <w:ilvl w:val="0"/>
                <w:numId w:val="0"/>
              </w:numPr>
              <w:rPr>
                <w:sz w:val="20"/>
                <w:szCs w:val="20"/>
              </w:rPr>
            </w:pPr>
            <w:r>
              <w:rPr>
                <w:sz w:val="20"/>
                <w:szCs w:val="20"/>
              </w:rPr>
              <w:t>2 000 000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Dakatély</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Oubadji</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Dar Salam</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Kévoye</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Ethiolo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Bandafassy</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bl>
    <w:p w:rsidR="00876F2E" w:rsidRPr="007F5D87" w:rsidRDefault="00876F2E" w:rsidP="00876F2E">
      <w:pPr>
        <w:pStyle w:val="NumberedParas"/>
        <w:numPr>
          <w:ilvl w:val="0"/>
          <w:numId w:val="0"/>
        </w:numPr>
      </w:pPr>
    </w:p>
    <w:p w:rsidR="00876F2E" w:rsidRPr="007F5D87" w:rsidRDefault="00876F2E" w:rsidP="00876F2E">
      <w:pPr>
        <w:pStyle w:val="NumberedParas"/>
      </w:pPr>
      <w:r>
        <w:t>La population locale est également en proie à d’énormes difficultés pour accéder aux financements climatiques et en tirer parti</w:t>
      </w:r>
      <w:r w:rsidR="00D2405E">
        <w:t> ;</w:t>
      </w:r>
      <w:r>
        <w:t xml:space="preserve"> elle dépend principalement des ONG ou des projets qui ont la responsabilité d’opérer une sélection. Cependant, des organes sont mis sur pied au niveau local</w:t>
      </w:r>
      <w:r w:rsidR="00D2405E">
        <w:t> ;</w:t>
      </w:r>
      <w:r w:rsidR="00A05600">
        <w:t xml:space="preserve"> i</w:t>
      </w:r>
      <w:r>
        <w:t xml:space="preserve">l s’agit des Comités villageois de développement (CVD) qui sont en charge de la gestion des ressources naturelles, des Comités intervillageois de développement (CIVD) qui fédèrent </w:t>
      </w:r>
      <w:r w:rsidRPr="00D11BF5">
        <w:t>plusieurs villages autour de la RNC, le CINTRAS qui est la fédération des CIVD sur chaque site de projet et le CINTER qui est la fédération nationale des CIVD. Tous ces organes communautaires manquent de capacités techniques et financières pour attirer et gérer le financement climatique. Dans certaines communes, la société civile est très dynamique. Par exemple, à Sokone, plus de 20 associations locales</w:t>
      </w:r>
      <w:r>
        <w:t xml:space="preserve"> sont impliquées dans la protection de l’environnement.</w:t>
      </w:r>
    </w:p>
    <w:p w:rsidR="00876F2E" w:rsidRPr="007F5D87" w:rsidRDefault="00876F2E" w:rsidP="00876F2E">
      <w:pPr>
        <w:pStyle w:val="NumberedParas"/>
        <w:numPr>
          <w:ilvl w:val="0"/>
          <w:numId w:val="0"/>
        </w:numPr>
      </w:pPr>
    </w:p>
    <w:p w:rsidR="00876F2E" w:rsidRPr="007F5D87" w:rsidRDefault="00876F2E" w:rsidP="00876F2E">
      <w:pPr>
        <w:pStyle w:val="NumberedParas"/>
      </w:pPr>
      <w:r>
        <w:t>Des mutuelles d’épargne et de crédit ont été mis</w:t>
      </w:r>
      <w:r w:rsidR="00DA7D20">
        <w:t xml:space="preserve">es </w:t>
      </w:r>
      <w:r>
        <w:t>en place sur les sites du projet (dans le cadre de la mise en œuvre du Projet de gestion intégrée des écosystèmes du Sénégal) afin d’améliorer l’accès des communautés rurales au finance</w:t>
      </w:r>
      <w:r w:rsidRPr="00D11BF5">
        <w:t>ment. Cependant, ces mutuelles font face à d’importants défis. Par exemple</w:t>
      </w:r>
      <w:r>
        <w:t>, la mutuelle de Gandon détient un montant total de 1 963 050 </w:t>
      </w:r>
      <w:r w:rsidR="00DA7D20">
        <w:t>FCFA</w:t>
      </w:r>
      <w:r>
        <w:t xml:space="preserve"> d’épargne de la population locale, mais un total de 46 421 375 </w:t>
      </w:r>
      <w:r w:rsidR="00DA7D20">
        <w:t>FCFA</w:t>
      </w:r>
      <w:r>
        <w:t xml:space="preserve"> de crédits à recouvrer. Cela met en évidence la viabilité difficile de l’institution financière. Il ressort du diagnostic réalisé dans le cadre de la subvention au titre de la préparation du projet </w:t>
      </w:r>
      <w:r>
        <w:lastRenderedPageBreak/>
        <w:t xml:space="preserve">que la mutuelle du </w:t>
      </w:r>
      <w:r w:rsidR="00E82CB3">
        <w:t>delta du Saloum</w:t>
      </w:r>
      <w:r>
        <w:t xml:space="preserve"> est la seule institution viable à ce jour. Avec un montant total d’épargne de 34 218 000 </w:t>
      </w:r>
      <w:r w:rsidR="00DA7D20">
        <w:t>FCFA</w:t>
      </w:r>
      <w:r>
        <w:t xml:space="preserve"> et un total de 24 475 000 FCFA de crédits alloués aux membres (dont « seulement » 1 133 085 FCFA à recouvrer), cette mutuelle a un potentiel de croissance viable. Cependant, d’autres mutuelles sont en proie à des difficultés majeures. Les raisons suivantes expliquent cette situation</w:t>
      </w:r>
      <w:r w:rsidR="002575A2">
        <w:t> :</w:t>
      </w:r>
      <w:r w:rsidR="003B7D35">
        <w:t xml:space="preserve"> i) </w:t>
      </w:r>
      <w:r>
        <w:t>le cadre juridique de la microfinance a été renforcé par l’État dans la mesure où les 8 autres mutuelles ne sont pas enregistrées par la Direction de la réglementation et de la supervision des systèmes financiers décentralisés (ils n’ont pas l’accréditation officielle</w:t>
      </w:r>
      <w:r w:rsidR="003B7D35">
        <w:t xml:space="preserve"> du Ministère pour fonctionner) ; ii) huit</w:t>
      </w:r>
      <w:r>
        <w:t> mutuelles font face à une absence d’activités au cours des deux dernières années (aucun mouvement financier n’a été enregistré), de sorte qu’elles sont aujourd’hui dans une situation financière difficile. Cependant, la mutuelle est un outil puissant pour soutenir l’accès de la popu</w:t>
      </w:r>
      <w:r w:rsidR="003B7D35">
        <w:t>lation locale aux crédits ;</w:t>
      </w:r>
      <w:r>
        <w:t xml:space="preserve"> iii)</w:t>
      </w:r>
      <w:r w:rsidR="003B7D35">
        <w:t> </w:t>
      </w:r>
      <w:r>
        <w:t xml:space="preserve">les mutuelles fonctionnent à petite échelle et ne gèrent pas suffisamment d’activités pour être viables. Afin de promouvoir l’accès aux crédits agricoles, la mutuelle du </w:t>
      </w:r>
      <w:r w:rsidR="00E82CB3">
        <w:t>delta du Saloum</w:t>
      </w:r>
      <w:r>
        <w:t xml:space="preserve"> devrait être renforcée et des partenariats avec d’autres institutions financières reconnues devraient être noués.</w:t>
      </w:r>
    </w:p>
    <w:p w:rsidR="00876F2E" w:rsidRPr="007F5D87" w:rsidRDefault="00876F2E" w:rsidP="00876F2E">
      <w:pPr>
        <w:pStyle w:val="NumberedParas"/>
        <w:numPr>
          <w:ilvl w:val="0"/>
          <w:numId w:val="0"/>
        </w:numPr>
      </w:pPr>
    </w:p>
    <w:p w:rsidR="00876F2E" w:rsidRPr="007F5D87" w:rsidDel="00F671D2" w:rsidRDefault="00876F2E" w:rsidP="00876F2E">
      <w:pPr>
        <w:spacing w:after="0"/>
        <w:rPr>
          <w:rFonts w:ascii="Times New Roman" w:eastAsia="Times New Roman" w:hAnsi="Times New Roman"/>
          <w:i/>
          <w:sz w:val="24"/>
          <w:szCs w:val="20"/>
          <w:u w:val="single"/>
        </w:rPr>
      </w:pPr>
    </w:p>
    <w:p w:rsidR="00876F2E" w:rsidRPr="007F5D87" w:rsidRDefault="00876F2E" w:rsidP="00876F2E">
      <w:pPr>
        <w:keepNext/>
        <w:spacing w:after="0"/>
        <w:rPr>
          <w:rFonts w:ascii="Times New Roman" w:eastAsia="Times New Roman" w:hAnsi="Times New Roman"/>
          <w:i/>
          <w:sz w:val="24"/>
          <w:szCs w:val="20"/>
          <w:u w:val="single"/>
        </w:rPr>
      </w:pPr>
      <w:r>
        <w:rPr>
          <w:rFonts w:ascii="Times New Roman" w:hAnsi="Times New Roman"/>
          <w:i/>
          <w:sz w:val="24"/>
          <w:szCs w:val="20"/>
          <w:u w:val="single"/>
        </w:rPr>
        <w:t>Avec l’intervention du Fonds pour les PMA (adaptation alternative)</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Les communes doivent chercher des moyens </w:t>
      </w:r>
      <w:r w:rsidR="00311A1A">
        <w:t>novateur</w:t>
      </w:r>
      <w:r>
        <w:t>s pour s’acquitter de leur rôle de financement durable de l’</w:t>
      </w:r>
      <w:r w:rsidR="00537B55">
        <w:t>adaptation aux changements climatiques</w:t>
      </w:r>
      <w:r>
        <w:t xml:space="preserve"> sur leur territoire sans tomber dans le piège de la dépendance vis-à-vis des donateurs. En outre, elles doivent aider à faire passer les économies locales de la subsistance à des entreprises plus cohérentes et plus lucratives, adaptées </w:t>
      </w:r>
      <w:r w:rsidR="00F22AF3">
        <w:t>aux changements climatiques</w:t>
      </w:r>
      <w:r>
        <w:t xml:space="preserve"> tout en renforçant l’intérêt communautaire et politique. La première étape de ce processus consiste à élaborer un plan d’action clair et un budget rationnel. Chaque commune doit s’employer à le faire et il serait également judicieux que les Groupements d’intérêt communautaire (GIC) leur emboitent le pas afin de financer les initiatives corollaires. L’exemple de Gandon et Gandiol, qui créent un GIC avec Saint-Louis pour lever des fonds pour la gestion de la protection des mangroves, devrait être promu sur les autres sites d’intervention du projet.</w:t>
      </w:r>
    </w:p>
    <w:p w:rsidR="00876F2E" w:rsidRPr="007F5D87" w:rsidRDefault="00876F2E" w:rsidP="00876F2E">
      <w:pPr>
        <w:pStyle w:val="NumberedParas"/>
        <w:numPr>
          <w:ilvl w:val="0"/>
          <w:numId w:val="0"/>
        </w:numPr>
      </w:pPr>
    </w:p>
    <w:p w:rsidR="00876F2E" w:rsidRPr="007F5D87" w:rsidRDefault="00876F2E" w:rsidP="00876F2E">
      <w:pPr>
        <w:pStyle w:val="NumberedParas"/>
      </w:pPr>
      <w:r>
        <w:t>Il est sans doute plus favorable de développer une série d’options de croissance économique sur chaque site afin d’amortir l’instabilité politique ou du marché et de tester les valeurs ajoutées de différentes initiatives dans des conditions locales variées. Des options de diversification peuvent également s’avérer utiles en ce qui concerne les délais requis pour le développement du marché. Il est bien entendu que les partenariats sont essentiels à la durabilité. Les partenariats public-privé entre les entreprises, les communautés et les promoteurs d’ONG sont essentiels</w:t>
      </w:r>
      <w:r w:rsidR="00B8712C">
        <w:t> </w:t>
      </w:r>
      <w:r>
        <w:t>; dès lors qu’ils fonctionnent de manière efficace, les ONG peuvent opérer un désengagement progressif.</w:t>
      </w:r>
      <w:r w:rsidR="004533D6">
        <w:t xml:space="preserve"> </w:t>
      </w:r>
      <w:r>
        <w:t>Les partenariats d’affaires sembleraient essentiels pour engendrer des attitudes et des approches entrepreneuriales novatrices en matière de gestion du changement climatique. Enfin, la stimulation de la croissance économique au sein des groupes de parties prenantes locales à elle seule ne suffira pas. Les communes doivent également être en mesure de générer des revenus afin de couvrir progressivement leurs charges récurrentes. Les « taxes » ou les contributions convenues pour les groupes d’intérêt économique locaux peuvent constituer la source d’une partie de ces revenus</w:t>
      </w:r>
      <w:r w:rsidR="00B8712C">
        <w:t> </w:t>
      </w:r>
      <w:r>
        <w:t xml:space="preserve">; toutefois, l’exploration des possibilités de puiser dans les taxes communales et régionales par le projet </w:t>
      </w:r>
      <w:r>
        <w:lastRenderedPageBreak/>
        <w:t>du Fonds pour les PMA peut s’avérer une approche judicieuse. En théorie, les mécanismes font l’objet de lois, mais à l’heure actuelle, la mise en œuvre est loin d’être effective.</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La Mutuelle du </w:t>
      </w:r>
      <w:r w:rsidR="00E82CB3">
        <w:t>delta du Saloum</w:t>
      </w:r>
      <w:r>
        <w:t xml:space="preserve"> sera renforcée et des partenariats seront noués avec d’autres institutions de microfinance afin d’augmenter l’allocation des crédits aux populations vulnérables. Le projet pilotera un Fonds décentralisé d’adaptation au climat (</w:t>
      </w:r>
      <w:r w:rsidR="00A5434B">
        <w:t>FCD</w:t>
      </w:r>
      <w:r w:rsidR="00BB0DD5">
        <w:t>FCD</w:t>
      </w:r>
      <w:r>
        <w:t xml:space="preserve">) </w:t>
      </w:r>
      <w:r w:rsidR="00311A1A">
        <w:t>novateur</w:t>
      </w:r>
      <w:r>
        <w:t xml:space="preserve"> qui pe</w:t>
      </w:r>
      <w:r w:rsidR="003B7D35">
        <w:t>rmettra aux populations locales : i) </w:t>
      </w:r>
      <w:r>
        <w:t>d’accéder aux fonds climatiques po</w:t>
      </w:r>
      <w:r w:rsidR="003B7D35">
        <w:t>ur financer l’adaptation locale ; ii) </w:t>
      </w:r>
      <w:r>
        <w:t>de renforcer la résilience climatique dans leur planification et leur budgétisation.</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1.1</w:t>
      </w:r>
      <w:r w:rsidR="002575A2">
        <w:rPr>
          <w:rFonts w:ascii="Times New Roman" w:hAnsi="Times New Roman"/>
          <w:b/>
          <w:i/>
          <w:sz w:val="24"/>
          <w:szCs w:val="20"/>
        </w:rPr>
        <w:t> :</w:t>
      </w:r>
      <w:r>
        <w:rPr>
          <w:rFonts w:ascii="Times New Roman" w:hAnsi="Times New Roman"/>
          <w:b/>
          <w:i/>
          <w:sz w:val="24"/>
          <w:szCs w:val="20"/>
        </w:rPr>
        <w:t xml:space="preserve"> Des mesures d’</w:t>
      </w:r>
      <w:r w:rsidR="00537B55">
        <w:rPr>
          <w:rFonts w:ascii="Times New Roman" w:hAnsi="Times New Roman"/>
          <w:b/>
          <w:i/>
          <w:sz w:val="24"/>
          <w:szCs w:val="20"/>
        </w:rPr>
        <w:t>adaptation aux changements climatiques</w:t>
      </w:r>
      <w:r>
        <w:rPr>
          <w:rFonts w:ascii="Times New Roman" w:hAnsi="Times New Roman"/>
          <w:b/>
          <w:i/>
          <w:sz w:val="24"/>
          <w:szCs w:val="20"/>
        </w:rPr>
        <w:t xml:space="preserve"> sont intégrées dans les plans et budgets de développement locaux et des </w:t>
      </w:r>
      <w:r w:rsidR="00A5434B">
        <w:rPr>
          <w:rFonts w:ascii="Times New Roman" w:hAnsi="Times New Roman"/>
          <w:b/>
          <w:i/>
          <w:sz w:val="24"/>
          <w:szCs w:val="20"/>
        </w:rPr>
        <w:t>FCD</w:t>
      </w:r>
      <w:r w:rsidR="00BB0DD5">
        <w:rPr>
          <w:rFonts w:ascii="Times New Roman" w:hAnsi="Times New Roman"/>
          <w:b/>
          <w:i/>
          <w:sz w:val="24"/>
          <w:szCs w:val="20"/>
        </w:rPr>
        <w:t xml:space="preserve">FCD </w:t>
      </w:r>
      <w:r>
        <w:rPr>
          <w:rFonts w:ascii="Times New Roman" w:hAnsi="Times New Roman"/>
          <w:b/>
          <w:i/>
          <w:sz w:val="24"/>
          <w:szCs w:val="20"/>
        </w:rPr>
        <w:t>sont établis</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projet financé par le Fonds pour les PMA soutiendra l’élaboration d’un plan convaincant pour chaque commune, indiquant clairement des actions prioritaires d’</w:t>
      </w:r>
      <w:r w:rsidR="00537B55">
        <w:t>adaptation aux changements climatiques</w:t>
      </w:r>
      <w:r>
        <w:t xml:space="preserve"> et un budget incluant le cofinancement d’initiatives mises en œuvre sur le territoire communal. Il examinera l’expérience réussie de l’établissement du </w:t>
      </w:r>
      <w:r w:rsidR="00A5434B">
        <w:t>FCD</w:t>
      </w:r>
      <w:r w:rsidR="00BB0DD5">
        <w:t xml:space="preserve">FCD </w:t>
      </w:r>
      <w:r>
        <w:t>dans 3 communes du Sénégal. Il sera basé sur le Plan de développement communal (PDC) et le plan de gestion de l’utilisation des terres et intégrera le Plan d’aménagement et de gestion de la RNC, les priorités d’</w:t>
      </w:r>
      <w:r w:rsidR="00537B55">
        <w:t>adaptation aux changements climatiques</w:t>
      </w:r>
      <w:r>
        <w:t xml:space="preserve"> évaluées dans le cadre de la subvention au titre de préparation du projet et complété par d’autres enquêtes. La RNC/UP sera au cœur de la stratégie d’adaptation (voir la </w:t>
      </w:r>
      <w:r w:rsidR="00384043">
        <w:t>F</w:t>
      </w:r>
      <w:r>
        <w:t xml:space="preserve">igure 6) qui est déjà mise en œuvre sur les sites d’intervention du projet. Un budget sera élaboré à partir de ces plans d’action et tiendra compte de toutes les initiatives de toutes les parties prenantes contribuant à l’adaptation dans la commune. </w:t>
      </w:r>
      <w:r>
        <w:rPr>
          <w:color w:val="000000"/>
        </w:rPr>
        <w:t>Les plans de site doivent être approuvés par la majorité (des parties prenantes ou l’ensemble de celles-ci) et intégrés dans le PDC. La coopération des communes d’un même site pour établir un ou plusieurs plans d’activités couvrant des interventions sectorielles touchant plus d’une commune (sous la forme institutionnelle d’un GIC) contribuera à améliorer les chances de succès.</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personnel communal et de la société civile locale bénéficiera d’un renforcement des capacités qui inclura</w:t>
      </w:r>
      <w:r w:rsidR="003B7D35">
        <w:t> : i) </w:t>
      </w:r>
      <w:r>
        <w:t>une meilleure compréhe</w:t>
      </w:r>
      <w:r w:rsidR="003B7D35">
        <w:t xml:space="preserve">nsion </w:t>
      </w:r>
      <w:r w:rsidR="00BB0DD5">
        <w:t xml:space="preserve">des </w:t>
      </w:r>
      <w:r w:rsidR="003B7D35">
        <w:t>changement</w:t>
      </w:r>
      <w:r w:rsidR="00BB0DD5">
        <w:t>s</w:t>
      </w:r>
      <w:r w:rsidR="003B7D35">
        <w:t xml:space="preserve"> climatique</w:t>
      </w:r>
      <w:r w:rsidR="00BB0DD5">
        <w:t>s</w:t>
      </w:r>
      <w:r w:rsidR="003B7D35">
        <w:t> ; ii) </w:t>
      </w:r>
      <w:r>
        <w:t>des compétences pour évaluer et gérer l</w:t>
      </w:r>
      <w:r w:rsidR="003B7D35">
        <w:t>es risques liés à ce phénomène ; iii) </w:t>
      </w:r>
      <w:r>
        <w:t>des compétences d’apprentissage pour accroître la sensibilisation de la population locale.</w:t>
      </w:r>
    </w:p>
    <w:p w:rsidR="00876F2E" w:rsidRPr="007F5D87" w:rsidRDefault="00876F2E" w:rsidP="00876F2E">
      <w:pPr>
        <w:rPr>
          <w:rFonts w:ascii="Times New Roman" w:hAnsi="Times New Roman"/>
          <w:sz w:val="24"/>
          <w:szCs w:val="20"/>
        </w:rPr>
      </w:pPr>
    </w:p>
    <w:p w:rsidR="00876F2E" w:rsidRPr="007F5D87" w:rsidRDefault="00876F2E" w:rsidP="00876F2E">
      <w:pPr>
        <w:pStyle w:val="NumberedParas"/>
      </w:pPr>
      <w:r>
        <w:t>Les activités suivantes contribueront à atteindre ce produit 1.1</w:t>
      </w:r>
      <w:r w:rsidR="002575A2">
        <w:t> :</w:t>
      </w:r>
    </w:p>
    <w:p w:rsidR="00876F2E" w:rsidRPr="007F5D87" w:rsidRDefault="00876F2E" w:rsidP="00876F2E">
      <w:pPr>
        <w:rPr>
          <w:rFonts w:ascii="Times New Roman" w:hAnsi="Times New Roman"/>
          <w:sz w:val="24"/>
          <w:szCs w:val="20"/>
        </w:rPr>
      </w:pPr>
    </w:p>
    <w:p w:rsidR="00876F2E" w:rsidRPr="007F5D87" w:rsidRDefault="00876F2E" w:rsidP="00876F2E">
      <w:pPr>
        <w:rPr>
          <w:rFonts w:ascii="Times New Roman" w:hAnsi="Times New Roman"/>
          <w:sz w:val="24"/>
          <w:szCs w:val="20"/>
        </w:rPr>
      </w:pPr>
      <w:r>
        <w:rPr>
          <w:rFonts w:ascii="Times New Roman" w:hAnsi="Times New Roman"/>
          <w:sz w:val="24"/>
          <w:szCs w:val="20"/>
          <w:u w:val="single"/>
        </w:rPr>
        <w:t>Activité 1.1.1</w:t>
      </w:r>
      <w:r w:rsidR="002575A2">
        <w:rPr>
          <w:rFonts w:ascii="Times New Roman" w:hAnsi="Times New Roman"/>
          <w:sz w:val="24"/>
          <w:szCs w:val="20"/>
        </w:rPr>
        <w:t> :</w:t>
      </w:r>
      <w:r>
        <w:rPr>
          <w:rFonts w:ascii="Times New Roman" w:hAnsi="Times New Roman"/>
          <w:sz w:val="24"/>
          <w:szCs w:val="20"/>
        </w:rPr>
        <w:t xml:space="preserve"> Concevoir un plan d’action d’adaptation au</w:t>
      </w:r>
      <w:r w:rsidR="00537B55">
        <w:rPr>
          <w:rFonts w:ascii="Times New Roman" w:hAnsi="Times New Roman"/>
          <w:sz w:val="24"/>
          <w:szCs w:val="20"/>
        </w:rPr>
        <w:t>x</w:t>
      </w:r>
      <w:r>
        <w:rPr>
          <w:rFonts w:ascii="Times New Roman" w:hAnsi="Times New Roman"/>
          <w:sz w:val="24"/>
          <w:szCs w:val="20"/>
        </w:rPr>
        <w:t xml:space="preserve"> changement</w:t>
      </w:r>
      <w:r w:rsidR="00537B55">
        <w:rPr>
          <w:rFonts w:ascii="Times New Roman" w:hAnsi="Times New Roman"/>
          <w:sz w:val="24"/>
          <w:szCs w:val="20"/>
        </w:rPr>
        <w:t>s</w:t>
      </w:r>
      <w:r>
        <w:rPr>
          <w:rFonts w:ascii="Times New Roman" w:hAnsi="Times New Roman"/>
          <w:sz w:val="24"/>
          <w:szCs w:val="20"/>
        </w:rPr>
        <w:t xml:space="preserve"> climatique</w:t>
      </w:r>
      <w:r w:rsidR="00537B55">
        <w:rPr>
          <w:rFonts w:ascii="Times New Roman" w:hAnsi="Times New Roman"/>
          <w:sz w:val="24"/>
          <w:szCs w:val="20"/>
        </w:rPr>
        <w:t>s</w:t>
      </w:r>
      <w:r>
        <w:rPr>
          <w:rFonts w:ascii="Times New Roman" w:hAnsi="Times New Roman"/>
          <w:sz w:val="24"/>
          <w:szCs w:val="20"/>
        </w:rPr>
        <w:t xml:space="preserve"> clair assorti d’un budget convaincant</w:t>
      </w:r>
    </w:p>
    <w:p w:rsidR="00876F2E" w:rsidRPr="007F5D87" w:rsidRDefault="00876F2E" w:rsidP="00876F2E">
      <w:pPr>
        <w:pStyle w:val="NumberedParas"/>
        <w:numPr>
          <w:ilvl w:val="0"/>
          <w:numId w:val="0"/>
        </w:numPr>
      </w:pPr>
      <w:r>
        <w:t>Les actions à entreprendre sont les suivantes</w:t>
      </w:r>
      <w:r w:rsidR="002575A2">
        <w:t> :</w:t>
      </w:r>
    </w:p>
    <w:p w:rsidR="00876F2E" w:rsidRPr="00A5434B" w:rsidRDefault="00876F2E" w:rsidP="00CA03E8">
      <w:pPr>
        <w:pStyle w:val="Paragraphedeliste"/>
        <w:numPr>
          <w:ilvl w:val="0"/>
          <w:numId w:val="17"/>
        </w:numPr>
        <w:rPr>
          <w:szCs w:val="20"/>
        </w:rPr>
      </w:pPr>
      <w:r w:rsidRPr="00C4155B">
        <w:t>Établir un partenariat avec le Programme national de développement local (PNDL) pour le renforcement des capacités du personnel municipal et piloter le Fonds décentralisé d’adaptation au climat.</w:t>
      </w:r>
    </w:p>
    <w:p w:rsidR="00876F2E" w:rsidRPr="007F5D87" w:rsidRDefault="00876F2E" w:rsidP="00CA03E8">
      <w:pPr>
        <w:pStyle w:val="Paragraphedeliste"/>
        <w:numPr>
          <w:ilvl w:val="0"/>
          <w:numId w:val="17"/>
        </w:numPr>
        <w:rPr>
          <w:szCs w:val="20"/>
        </w:rPr>
      </w:pPr>
      <w:r>
        <w:t>Mener des enquêtes supplémentaires si nécessaire, et assurer le suivi des initiatives d’</w:t>
      </w:r>
      <w:r w:rsidR="00537B55">
        <w:t>adaptation aux changements climatiques</w:t>
      </w:r>
      <w:r>
        <w:t xml:space="preserve"> mises en œuvre sur le territoire communal.</w:t>
      </w:r>
    </w:p>
    <w:p w:rsidR="00876F2E" w:rsidRPr="007F5D87" w:rsidRDefault="00876F2E" w:rsidP="00CA03E8">
      <w:pPr>
        <w:pStyle w:val="Paragraphedeliste"/>
        <w:numPr>
          <w:ilvl w:val="0"/>
          <w:numId w:val="17"/>
        </w:numPr>
        <w:rPr>
          <w:szCs w:val="20"/>
        </w:rPr>
      </w:pPr>
      <w:r>
        <w:lastRenderedPageBreak/>
        <w:t xml:space="preserve">Mettre à jour le Plan d’aménagement et de gestion de la RNC en y intégrant des interventions de lutte contre le changement climatique définies </w:t>
      </w:r>
      <w:r w:rsidR="00C4155B">
        <w:t xml:space="preserve">à travers </w:t>
      </w:r>
      <w:r>
        <w:t>une approche participative.</w:t>
      </w:r>
    </w:p>
    <w:p w:rsidR="00876F2E" w:rsidRPr="007F5D87" w:rsidRDefault="00876F2E" w:rsidP="00CA03E8">
      <w:pPr>
        <w:pStyle w:val="Paragraphedeliste"/>
        <w:numPr>
          <w:ilvl w:val="0"/>
          <w:numId w:val="17"/>
        </w:numPr>
        <w:rPr>
          <w:szCs w:val="20"/>
        </w:rPr>
      </w:pPr>
      <w:r>
        <w:t>Concevoir de manière cohérente deux outils clés</w:t>
      </w:r>
      <w:r w:rsidR="002575A2">
        <w:t> :</w:t>
      </w:r>
      <w:r w:rsidR="003B7D35">
        <w:t xml:space="preserve"> 1) </w:t>
      </w:r>
      <w:r>
        <w:t>un plan d’action pour les mesures d’</w:t>
      </w:r>
      <w:r w:rsidR="00537B55">
        <w:t>adaptation aux changements climatiques</w:t>
      </w:r>
      <w:r>
        <w:t>, 2) un budget incluant un cofinancement.</w:t>
      </w:r>
    </w:p>
    <w:p w:rsidR="00876F2E" w:rsidRPr="007F5D87" w:rsidRDefault="00876F2E" w:rsidP="00876F2E">
      <w:pPr>
        <w:spacing w:after="0"/>
        <w:rPr>
          <w:rFonts w:ascii="Times New Roman" w:hAnsi="Times New Roman"/>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1.1.2</w:t>
      </w:r>
      <w:r w:rsidR="002575A2">
        <w:rPr>
          <w:rFonts w:ascii="Times New Roman" w:hAnsi="Times New Roman"/>
          <w:sz w:val="24"/>
          <w:szCs w:val="20"/>
        </w:rPr>
        <w:t> :</w:t>
      </w:r>
      <w:r>
        <w:rPr>
          <w:rFonts w:ascii="Times New Roman" w:hAnsi="Times New Roman"/>
          <w:sz w:val="24"/>
          <w:szCs w:val="20"/>
        </w:rPr>
        <w:t xml:space="preserve"> Appuyer la mise en place et le lancement du Fonds décentralisé d’adaptation au climat </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 xml:space="preserve">Le </w:t>
      </w:r>
      <w:r w:rsidR="00A5434B">
        <w:rPr>
          <w:rFonts w:ascii="Times New Roman" w:hAnsi="Times New Roman"/>
          <w:sz w:val="24"/>
          <w:szCs w:val="20"/>
        </w:rPr>
        <w:t>FCD</w:t>
      </w:r>
      <w:r w:rsidR="00C4155B">
        <w:rPr>
          <w:rFonts w:ascii="Times New Roman" w:hAnsi="Times New Roman"/>
          <w:sz w:val="24"/>
          <w:szCs w:val="20"/>
        </w:rPr>
        <w:t xml:space="preserve">FCD </w:t>
      </w:r>
      <w:r>
        <w:rPr>
          <w:rFonts w:ascii="Times New Roman" w:hAnsi="Times New Roman"/>
          <w:sz w:val="24"/>
          <w:szCs w:val="20"/>
        </w:rPr>
        <w:t xml:space="preserve">sera régi par le régime des comptes publics </w:t>
      </w:r>
      <w:r w:rsidR="00A5434B">
        <w:rPr>
          <w:rFonts w:ascii="Times New Roman" w:hAnsi="Times New Roman"/>
          <w:sz w:val="24"/>
          <w:szCs w:val="20"/>
        </w:rPr>
        <w:t xml:space="preserve">nationaux </w:t>
      </w:r>
      <w:r>
        <w:rPr>
          <w:rFonts w:ascii="Times New Roman" w:hAnsi="Times New Roman"/>
          <w:sz w:val="24"/>
          <w:szCs w:val="20"/>
        </w:rPr>
        <w:t xml:space="preserve">et un accord de partenariat avec le PNDL devra être signé dès le début de la mise en œuvre du projet (produit 1.1). Cet accord permettra de gérer le </w:t>
      </w:r>
      <w:r w:rsidR="00A5434B">
        <w:rPr>
          <w:rFonts w:ascii="Times New Roman" w:hAnsi="Times New Roman"/>
          <w:sz w:val="24"/>
          <w:szCs w:val="20"/>
        </w:rPr>
        <w:t>FCD</w:t>
      </w:r>
      <w:r>
        <w:rPr>
          <w:rFonts w:ascii="Times New Roman" w:hAnsi="Times New Roman"/>
          <w:sz w:val="24"/>
          <w:szCs w:val="20"/>
        </w:rPr>
        <w:t xml:space="preserve"> pilote dans le cadre des dispositions de financement du PNDL au profit des comm</w:t>
      </w:r>
      <w:r w:rsidR="00833FA1">
        <w:rPr>
          <w:rFonts w:ascii="Times New Roman" w:hAnsi="Times New Roman"/>
          <w:sz w:val="24"/>
          <w:szCs w:val="20"/>
        </w:rPr>
        <w:t>unautés locales. L’expérience tirée du</w:t>
      </w:r>
      <w:r>
        <w:rPr>
          <w:rFonts w:ascii="Times New Roman" w:hAnsi="Times New Roman"/>
          <w:sz w:val="24"/>
          <w:szCs w:val="20"/>
        </w:rPr>
        <w:t xml:space="preserve"> projet du </w:t>
      </w:r>
      <w:r w:rsidR="00833FA1" w:rsidRPr="00833FA1">
        <w:rPr>
          <w:rFonts w:ascii="Times New Roman" w:hAnsi="Times New Roman"/>
          <w:sz w:val="24"/>
          <w:szCs w:val="20"/>
        </w:rPr>
        <w:t>Ministère du développement international du Royaume-Uni</w:t>
      </w:r>
      <w:r>
        <w:rPr>
          <w:rFonts w:ascii="Times New Roman" w:hAnsi="Times New Roman"/>
          <w:sz w:val="24"/>
          <w:szCs w:val="20"/>
        </w:rPr>
        <w:t xml:space="preserve"> (DFID), dirigé par Innovation environnement développement (IED) au Sénégal, sera mise à profit. Ce mécanisme de financement a l’avantage de responsabiliser les élus locaux tout en préservant le principe de transparence et de bonne gouvernance. Le </w:t>
      </w:r>
      <w:r w:rsidR="00A5434B">
        <w:rPr>
          <w:rFonts w:ascii="Times New Roman" w:hAnsi="Times New Roman"/>
          <w:sz w:val="24"/>
          <w:szCs w:val="20"/>
        </w:rPr>
        <w:t>FCD</w:t>
      </w:r>
      <w:r>
        <w:rPr>
          <w:rFonts w:ascii="Times New Roman" w:hAnsi="Times New Roman"/>
          <w:sz w:val="24"/>
          <w:szCs w:val="20"/>
        </w:rPr>
        <w:t xml:space="preserve"> sera mis en place dans un premier temps </w:t>
      </w:r>
      <w:r w:rsidR="00A5434B">
        <w:rPr>
          <w:rFonts w:ascii="Times New Roman" w:hAnsi="Times New Roman"/>
          <w:sz w:val="24"/>
          <w:szCs w:val="20"/>
        </w:rPr>
        <w:t xml:space="preserve">dans </w:t>
      </w:r>
      <w:r>
        <w:rPr>
          <w:rFonts w:ascii="Times New Roman" w:hAnsi="Times New Roman"/>
          <w:sz w:val="24"/>
          <w:szCs w:val="20"/>
        </w:rPr>
        <w:t>deux sites pilotes</w:t>
      </w:r>
      <w:r w:rsidR="005E2B58">
        <w:rPr>
          <w:rFonts w:ascii="Times New Roman" w:hAnsi="Times New Roman"/>
          <w:sz w:val="24"/>
          <w:szCs w:val="20"/>
        </w:rPr>
        <w:t xml:space="preserve"> </w:t>
      </w:r>
      <w:r>
        <w:rPr>
          <w:rFonts w:ascii="Times New Roman" w:hAnsi="Times New Roman"/>
          <w:sz w:val="24"/>
          <w:szCs w:val="20"/>
        </w:rPr>
        <w:t xml:space="preserve">: le site du </w:t>
      </w:r>
      <w:r w:rsidR="00E82CB3">
        <w:rPr>
          <w:rFonts w:ascii="Times New Roman" w:hAnsi="Times New Roman"/>
          <w:sz w:val="24"/>
          <w:szCs w:val="20"/>
        </w:rPr>
        <w:t>delta du Saloum</w:t>
      </w:r>
      <w:r>
        <w:rPr>
          <w:rFonts w:ascii="Times New Roman" w:hAnsi="Times New Roman"/>
          <w:sz w:val="24"/>
          <w:szCs w:val="20"/>
        </w:rPr>
        <w:t xml:space="preserve"> (où il pourrait être établi dans la mutuelle) et le bassin du fleuve Sénégal (où il pourrait être soutenu par l’Agence régionale de développement dans le cadre du GIC qui vient d’être lancé). Après un processus d’apprentissage (enseignement</w:t>
      </w:r>
      <w:r w:rsidR="00DA7D20">
        <w:rPr>
          <w:rFonts w:ascii="Times New Roman" w:hAnsi="Times New Roman"/>
          <w:sz w:val="24"/>
          <w:szCs w:val="20"/>
        </w:rPr>
        <w:t xml:space="preserve">s </w:t>
      </w:r>
      <w:r>
        <w:rPr>
          <w:rFonts w:ascii="Times New Roman" w:hAnsi="Times New Roman"/>
          <w:sz w:val="24"/>
          <w:szCs w:val="20"/>
        </w:rPr>
        <w:t>ti</w:t>
      </w:r>
      <w:r w:rsidR="00F95C3E">
        <w:rPr>
          <w:rFonts w:ascii="Times New Roman" w:hAnsi="Times New Roman"/>
          <w:sz w:val="24"/>
          <w:szCs w:val="20"/>
        </w:rPr>
        <w:t>rés de la mise en place de ces deux</w:t>
      </w:r>
      <w:r>
        <w:rPr>
          <w:rFonts w:ascii="Times New Roman" w:hAnsi="Times New Roman"/>
          <w:sz w:val="24"/>
          <w:szCs w:val="20"/>
        </w:rPr>
        <w:t> </w:t>
      </w:r>
      <w:r w:rsidR="00A5434B">
        <w:rPr>
          <w:rFonts w:ascii="Times New Roman" w:hAnsi="Times New Roman"/>
          <w:sz w:val="24"/>
          <w:szCs w:val="20"/>
        </w:rPr>
        <w:t>FCD</w:t>
      </w:r>
      <w:r>
        <w:rPr>
          <w:rFonts w:ascii="Times New Roman" w:hAnsi="Times New Roman"/>
          <w:sz w:val="24"/>
          <w:szCs w:val="20"/>
        </w:rPr>
        <w:t xml:space="preserve"> pilotes et partage d’expérience avec l’initiative DFID/IED), le </w:t>
      </w:r>
      <w:r w:rsidR="00A5434B">
        <w:rPr>
          <w:rFonts w:ascii="Times New Roman" w:hAnsi="Times New Roman"/>
          <w:sz w:val="24"/>
          <w:szCs w:val="20"/>
        </w:rPr>
        <w:t>FCD</w:t>
      </w:r>
      <w:r>
        <w:rPr>
          <w:rFonts w:ascii="Times New Roman" w:hAnsi="Times New Roman"/>
          <w:sz w:val="24"/>
          <w:szCs w:val="20"/>
        </w:rPr>
        <w:t xml:space="preserve"> sera étendu aux autres sites.</w:t>
      </w:r>
    </w:p>
    <w:p w:rsidR="00876F2E" w:rsidRPr="007F5D87" w:rsidRDefault="00876F2E" w:rsidP="00876F2E">
      <w:pPr>
        <w:spacing w:after="0"/>
        <w:rPr>
          <w:rFonts w:ascii="Times New Roman" w:hAnsi="Times New Roman"/>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1.1.3</w:t>
      </w:r>
      <w:r w:rsidR="002575A2">
        <w:rPr>
          <w:rFonts w:ascii="Times New Roman" w:hAnsi="Times New Roman"/>
          <w:sz w:val="24"/>
          <w:szCs w:val="20"/>
        </w:rPr>
        <w:t> :</w:t>
      </w:r>
      <w:r>
        <w:rPr>
          <w:rFonts w:ascii="Times New Roman" w:hAnsi="Times New Roman"/>
          <w:sz w:val="24"/>
          <w:szCs w:val="20"/>
        </w:rPr>
        <w:t xml:space="preserve"> Cartographier les sources existantes de financement climatique qui peuvent être attirées au niveau local</w:t>
      </w:r>
    </w:p>
    <w:p w:rsidR="00876F2E" w:rsidRPr="007F5D87" w:rsidRDefault="00876F2E" w:rsidP="00876F2E">
      <w:pPr>
        <w:spacing w:after="0"/>
        <w:rPr>
          <w:rFonts w:ascii="Times New Roman" w:hAnsi="Times New Roman"/>
          <w:szCs w:val="20"/>
        </w:rPr>
      </w:pPr>
      <w:r>
        <w:rPr>
          <w:rFonts w:ascii="Times New Roman" w:hAnsi="Times New Roman"/>
          <w:sz w:val="24"/>
          <w:szCs w:val="20"/>
        </w:rPr>
        <w:t>Un consultant à court terme réalisera une étude visant à cartographier l’ensemble des sources de financement climatique existantes pouvant être attirées par les parties prenantes locales (communes, groupements villageois, CVD/CIVD, OSC/ONG). Le consultant fournira une base de données avec des entrées clés (nom de la source de financement, montant du budget, délais, critères d’attribution des fonds, etc.). L’Unité de gestion du projet</w:t>
      </w:r>
      <w:r w:rsidR="00FE1153">
        <w:rPr>
          <w:rFonts w:ascii="Times New Roman" w:hAnsi="Times New Roman"/>
          <w:sz w:val="24"/>
          <w:szCs w:val="20"/>
        </w:rPr>
        <w:t xml:space="preserve"> (UGP)</w:t>
      </w:r>
      <w:r>
        <w:rPr>
          <w:rFonts w:ascii="Times New Roman" w:hAnsi="Times New Roman"/>
          <w:sz w:val="24"/>
          <w:szCs w:val="20"/>
        </w:rPr>
        <w:t xml:space="preserve"> utilisera cette base de données pendant le cycle de vie du projet et fournira cette information aux communes et aux parties prenantes locales.</w:t>
      </w:r>
    </w:p>
    <w:p w:rsidR="00876F2E" w:rsidRPr="007F5D87" w:rsidRDefault="00876F2E" w:rsidP="00876F2E">
      <w:pPr>
        <w:spacing w:after="0"/>
        <w:rPr>
          <w:rFonts w:ascii="Times New Roman" w:eastAsia="Times New Roman" w:hAnsi="Times New Roman"/>
          <w:szCs w:val="20"/>
        </w:rPr>
      </w:pPr>
    </w:p>
    <w:p w:rsidR="00876F2E" w:rsidRPr="007F5D87" w:rsidRDefault="00876F2E" w:rsidP="00876F2E">
      <w:pPr>
        <w:spacing w:after="0"/>
        <w:rPr>
          <w:rFonts w:ascii="Times New Roman" w:eastAsia="Times New Roman" w:hAnsi="Times New Roman"/>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1.2</w:t>
      </w:r>
      <w:r w:rsidR="002575A2">
        <w:rPr>
          <w:rFonts w:ascii="Times New Roman" w:hAnsi="Times New Roman"/>
          <w:b/>
          <w:i/>
          <w:sz w:val="24"/>
          <w:szCs w:val="20"/>
        </w:rPr>
        <w:t> :</w:t>
      </w:r>
      <w:r>
        <w:rPr>
          <w:rFonts w:ascii="Times New Roman" w:hAnsi="Times New Roman"/>
          <w:b/>
          <w:i/>
          <w:sz w:val="24"/>
          <w:szCs w:val="20"/>
        </w:rPr>
        <w:t xml:space="preserve"> Des mécanismes de financement </w:t>
      </w:r>
      <w:r w:rsidR="00311A1A">
        <w:rPr>
          <w:rFonts w:ascii="Times New Roman" w:hAnsi="Times New Roman"/>
          <w:b/>
          <w:i/>
          <w:sz w:val="24"/>
          <w:szCs w:val="20"/>
        </w:rPr>
        <w:t>novateur</w:t>
      </w:r>
      <w:r>
        <w:rPr>
          <w:rFonts w:ascii="Times New Roman" w:hAnsi="Times New Roman"/>
          <w:b/>
          <w:i/>
          <w:sz w:val="24"/>
          <w:szCs w:val="20"/>
        </w:rPr>
        <w:t>s sont mis en place et contribuent à financer des mesures d’adaptation au niveau local</w:t>
      </w:r>
    </w:p>
    <w:p w:rsidR="00876F2E" w:rsidRPr="007F5D87" w:rsidRDefault="00876F2E" w:rsidP="00876F2E">
      <w:pPr>
        <w:pStyle w:val="NumberedParas"/>
        <w:numPr>
          <w:ilvl w:val="0"/>
          <w:numId w:val="0"/>
        </w:numPr>
      </w:pPr>
    </w:p>
    <w:p w:rsidR="00876F2E" w:rsidRPr="007F5D87" w:rsidRDefault="00A5434B" w:rsidP="00876F2E">
      <w:pPr>
        <w:pStyle w:val="NumberedParas"/>
      </w:pPr>
      <w:r>
        <w:t>Dans le cadre</w:t>
      </w:r>
      <w:r w:rsidR="00876F2E">
        <w:t xml:space="preserve"> de ce produit, le projet financé par le</w:t>
      </w:r>
      <w:r>
        <w:t>s</w:t>
      </w:r>
      <w:r w:rsidR="00876F2E">
        <w:t xml:space="preserve"> Fonds PMA mettra en place des mécanismes de financement </w:t>
      </w:r>
      <w:r w:rsidR="00311A1A">
        <w:t>novateur</w:t>
      </w:r>
      <w:r w:rsidR="00876F2E">
        <w:t>s dans l’optique de disposer d’une source de financement récurrente et pérenne pour la mise en œuvre des mesures d’</w:t>
      </w:r>
      <w:r w:rsidR="00537B55">
        <w:t>adaptation aux changements climatiques</w:t>
      </w:r>
      <w:r w:rsidR="00876F2E">
        <w:t xml:space="preserve">. Grâce au développement de ces instruments financiers, en collaboration avec les communes, la Direction </w:t>
      </w:r>
      <w:r w:rsidR="00286E4F">
        <w:t>du financement vert</w:t>
      </w:r>
      <w:r w:rsidR="00876F2E">
        <w:t xml:space="preserve"> (MEDD), le PNDL et l’expertise internationale, les autorités locales disposeront de fonds supplémentaires pour soutenir les mesures d’</w:t>
      </w:r>
      <w:r w:rsidR="00537B55">
        <w:t>adaptation aux changements climatiques</w:t>
      </w:r>
      <w:r w:rsidR="00876F2E">
        <w:t xml:space="preserve"> sous le produit 1.1).</w:t>
      </w:r>
    </w:p>
    <w:p w:rsidR="00876F2E" w:rsidRPr="007F5D87" w:rsidRDefault="00876F2E" w:rsidP="00876F2E">
      <w:pPr>
        <w:rPr>
          <w:rFonts w:ascii="Times New Roman" w:hAnsi="Times New Roman"/>
          <w:sz w:val="24"/>
          <w:szCs w:val="20"/>
        </w:rPr>
      </w:pPr>
    </w:p>
    <w:p w:rsidR="00876F2E" w:rsidRPr="007F5D87" w:rsidRDefault="00876F2E" w:rsidP="00876F2E">
      <w:pPr>
        <w:rPr>
          <w:rFonts w:ascii="Times New Roman" w:hAnsi="Times New Roman"/>
          <w:sz w:val="24"/>
          <w:szCs w:val="20"/>
        </w:rPr>
      </w:pPr>
      <w:r>
        <w:rPr>
          <w:rFonts w:ascii="Times New Roman" w:hAnsi="Times New Roman"/>
          <w:sz w:val="24"/>
          <w:szCs w:val="20"/>
          <w:u w:val="single"/>
        </w:rPr>
        <w:t>Activité 1.2.1</w:t>
      </w:r>
      <w:r w:rsidR="002575A2">
        <w:rPr>
          <w:rFonts w:ascii="Times New Roman" w:hAnsi="Times New Roman"/>
          <w:sz w:val="24"/>
          <w:szCs w:val="20"/>
        </w:rPr>
        <w:t> :</w:t>
      </w:r>
      <w:r>
        <w:rPr>
          <w:rFonts w:ascii="Times New Roman" w:hAnsi="Times New Roman"/>
          <w:sz w:val="24"/>
          <w:szCs w:val="20"/>
        </w:rPr>
        <w:t xml:space="preserve"> Établir des </w:t>
      </w:r>
      <w:r w:rsidR="00384043" w:rsidRPr="00384043">
        <w:rPr>
          <w:rFonts w:ascii="Times New Roman" w:hAnsi="Times New Roman"/>
          <w:sz w:val="24"/>
          <w:szCs w:val="20"/>
        </w:rPr>
        <w:t>partenariat</w:t>
      </w:r>
      <w:r w:rsidR="00384043">
        <w:rPr>
          <w:rFonts w:ascii="Times New Roman" w:hAnsi="Times New Roman"/>
          <w:sz w:val="24"/>
          <w:szCs w:val="20"/>
        </w:rPr>
        <w:t>s</w:t>
      </w:r>
      <w:r w:rsidR="00384043" w:rsidRPr="00384043">
        <w:rPr>
          <w:rFonts w:ascii="Times New Roman" w:hAnsi="Times New Roman"/>
          <w:sz w:val="24"/>
          <w:szCs w:val="20"/>
        </w:rPr>
        <w:t xml:space="preserve"> entre secteur public et secteur privé</w:t>
      </w:r>
      <w:r>
        <w:rPr>
          <w:rFonts w:ascii="Times New Roman" w:hAnsi="Times New Roman"/>
          <w:sz w:val="24"/>
          <w:szCs w:val="20"/>
        </w:rPr>
        <w:t xml:space="preserve"> (PPP) pour augmenter le financement de l’</w:t>
      </w:r>
      <w:r w:rsidR="00537B55">
        <w:rPr>
          <w:rFonts w:ascii="Times New Roman" w:hAnsi="Times New Roman"/>
          <w:sz w:val="24"/>
          <w:szCs w:val="20"/>
        </w:rPr>
        <w:t>adaptation aux changements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 xml:space="preserve">La récente loi de février 2014 vise à faciliter les PPP entre une collectivité locale (par exemple, une commune) et une entreprise privée exerçant des activités sur son territoire. L’objectif est de </w:t>
      </w:r>
      <w:r>
        <w:rPr>
          <w:rFonts w:ascii="Times New Roman" w:hAnsi="Times New Roman"/>
          <w:sz w:val="24"/>
          <w:szCs w:val="20"/>
        </w:rPr>
        <w:lastRenderedPageBreak/>
        <w:t>générer davantage de revenus pour la commune avec la conclusion d’accords tels que le contrat de concession de bail, la prise de participation (article 241 du code des collectivités locales) et l’exploitation. Cependant, dans le cadre de la subvention de préparation du projet</w:t>
      </w:r>
      <w:r w:rsidR="008F70F2">
        <w:rPr>
          <w:rFonts w:ascii="Times New Roman" w:hAnsi="Times New Roman"/>
          <w:sz w:val="24"/>
          <w:szCs w:val="20"/>
        </w:rPr>
        <w:t>,</w:t>
      </w:r>
      <w:r>
        <w:rPr>
          <w:rFonts w:ascii="Times New Roman" w:hAnsi="Times New Roman"/>
          <w:sz w:val="24"/>
          <w:szCs w:val="20"/>
        </w:rPr>
        <w:t xml:space="preserve"> il a été souligné qu’aucun membre du personnel communal n’est au courant de ces nouvelles opportunités. Si certaines communes bénéficient d’une formation en la matière, il leur serait possible d’établir directement ce type de partenariats. Par exemple, une entreprise privée est en négociation à l’heure actuelle avec la commune de Sokone pour investir dans une industrie de transformation de la noix de cajou et de la mangue sur le territoire communal. Dotées de meilleures connaissances et capacités, les communes pourraient établir dans de meilleures conditions un PPP </w:t>
      </w:r>
      <w:r w:rsidR="00311A1A">
        <w:rPr>
          <w:rFonts w:ascii="Times New Roman" w:hAnsi="Times New Roman"/>
          <w:sz w:val="24"/>
          <w:szCs w:val="20"/>
        </w:rPr>
        <w:t>novateur</w:t>
      </w:r>
      <w:r>
        <w:rPr>
          <w:rFonts w:ascii="Times New Roman" w:hAnsi="Times New Roman"/>
          <w:sz w:val="24"/>
          <w:szCs w:val="20"/>
        </w:rPr>
        <w:t xml:space="preserve"> qui aurait pour but d’aider les agriculteurs à adopter des pratiques agricoles résilientes. Ce PPP procurera les avantages de l’adaptation aux communautés locales par le biais de la représentation des collectivités locales aux conseils d’administration des entreprises et la promotion d’une meilleure gestion dans le secteur (investissements dans la gestion des sols et la qualité de l’eau) en rétablissant les avantages écosystémiques d’un sol et d’une eau de grande qualité. </w:t>
      </w:r>
    </w:p>
    <w:p w:rsidR="00876F2E" w:rsidRPr="007E3761" w:rsidRDefault="00876F2E" w:rsidP="00876F2E">
      <w:pPr>
        <w:pStyle w:val="NumberedParas"/>
        <w:numPr>
          <w:ilvl w:val="0"/>
          <w:numId w:val="0"/>
        </w:numPr>
      </w:pPr>
      <w:r>
        <w:t>Les actions à entreprendre sont les suivantes</w:t>
      </w:r>
      <w:r w:rsidR="002575A2">
        <w:t> :</w:t>
      </w:r>
    </w:p>
    <w:p w:rsidR="00876F2E" w:rsidRPr="007E3761" w:rsidRDefault="008A02C1" w:rsidP="00CA03E8">
      <w:pPr>
        <w:pStyle w:val="NumberedParas"/>
        <w:numPr>
          <w:ilvl w:val="0"/>
          <w:numId w:val="18"/>
        </w:numPr>
      </w:pPr>
      <w:r>
        <w:t>é</w:t>
      </w:r>
      <w:r w:rsidR="00876F2E">
        <w:t>valuer les possibilités de PPP pour les activités d’</w:t>
      </w:r>
      <w:r w:rsidR="00537B55">
        <w:t>adaptation aux changements climatiques</w:t>
      </w:r>
      <w:r w:rsidR="00876F2E">
        <w:t xml:space="preserve"> sur chacun des sites du projet</w:t>
      </w:r>
      <w:r w:rsidR="00B8712C">
        <w:t> </w:t>
      </w:r>
      <w:r w:rsidR="00876F2E">
        <w:t>;</w:t>
      </w:r>
    </w:p>
    <w:p w:rsidR="00876F2E" w:rsidRPr="007E3761" w:rsidRDefault="008A02C1" w:rsidP="00CA03E8">
      <w:pPr>
        <w:pStyle w:val="NumberedParas"/>
        <w:numPr>
          <w:ilvl w:val="0"/>
          <w:numId w:val="18"/>
        </w:numPr>
      </w:pPr>
      <w:r>
        <w:t>f</w:t>
      </w:r>
      <w:r w:rsidR="00876F2E">
        <w:t>ormer le personnel communal (sur la nouvelle loi, y compris le cadre juridique de l’adaptation au</w:t>
      </w:r>
      <w:r w:rsidR="00537B55">
        <w:t>x</w:t>
      </w:r>
      <w:r w:rsidR="00876F2E">
        <w:t xml:space="preserve"> changement</w:t>
      </w:r>
      <w:r w:rsidR="00537B55">
        <w:t>s</w:t>
      </w:r>
      <w:r w:rsidR="00876F2E">
        <w:t xml:space="preserve"> climatique</w:t>
      </w:r>
      <w:r w:rsidR="00537B55">
        <w:t>s</w:t>
      </w:r>
      <w:r w:rsidR="00876F2E">
        <w:t>)</w:t>
      </w:r>
      <w:r w:rsidR="00B8712C">
        <w:t> </w:t>
      </w:r>
      <w:r w:rsidR="00876F2E">
        <w:t>;</w:t>
      </w:r>
    </w:p>
    <w:p w:rsidR="00876F2E" w:rsidRPr="007E3761" w:rsidRDefault="008A02C1" w:rsidP="00CA03E8">
      <w:pPr>
        <w:pStyle w:val="Paragraphedeliste"/>
        <w:numPr>
          <w:ilvl w:val="0"/>
          <w:numId w:val="18"/>
        </w:numPr>
        <w:rPr>
          <w:szCs w:val="20"/>
        </w:rPr>
      </w:pPr>
      <w:r>
        <w:t>é</w:t>
      </w:r>
      <w:r w:rsidR="00876F2E">
        <w:t>tablir un partenariat avec le Comité national d’appui aux partenariats public-privé qui a pour objectif de soutenir ce type de partenariat et de renforcer l’accent mis sur l’</w:t>
      </w:r>
      <w:r w:rsidR="00537B55">
        <w:t>adaptation aux changements climatiques</w:t>
      </w:r>
      <w:r w:rsidR="00B8712C">
        <w:t> </w:t>
      </w:r>
      <w:r w:rsidR="00876F2E">
        <w:t>;</w:t>
      </w:r>
    </w:p>
    <w:p w:rsidR="00876F2E" w:rsidRPr="007E3761" w:rsidRDefault="008A02C1" w:rsidP="00CA03E8">
      <w:pPr>
        <w:pStyle w:val="NumberedParas"/>
        <w:numPr>
          <w:ilvl w:val="0"/>
          <w:numId w:val="18"/>
        </w:numPr>
      </w:pPr>
      <w:r>
        <w:t>f</w:t>
      </w:r>
      <w:r w:rsidR="00876F2E">
        <w:t>aciliter la création d’opportunités d’augmenter les revenus par le biais des mesures d’</w:t>
      </w:r>
      <w:r w:rsidR="00537B55">
        <w:t>adaptation aux changements climatiques</w:t>
      </w:r>
      <w:r w:rsidR="00B8712C">
        <w:t> </w:t>
      </w:r>
      <w:r w:rsidR="00876F2E">
        <w:t>;</w:t>
      </w:r>
    </w:p>
    <w:p w:rsidR="00876F2E" w:rsidRPr="007E3761" w:rsidRDefault="008A02C1" w:rsidP="00CA03E8">
      <w:pPr>
        <w:pStyle w:val="NumberedParas"/>
        <w:numPr>
          <w:ilvl w:val="0"/>
          <w:numId w:val="18"/>
        </w:numPr>
      </w:pPr>
      <w:r>
        <w:t>c</w:t>
      </w:r>
      <w:r w:rsidR="00876F2E">
        <w:t xml:space="preserve">oncevoir un mécanisme de règles qui apporte des revenus supplémentaires au financement de l’adaptation climatique, notamment par le biais des </w:t>
      </w:r>
      <w:r w:rsidR="00A5434B">
        <w:t>FCD</w:t>
      </w:r>
      <w:r w:rsidR="00B8712C">
        <w:t> </w:t>
      </w:r>
      <w:r w:rsidR="00876F2E">
        <w:t>;</w:t>
      </w:r>
    </w:p>
    <w:p w:rsidR="00876F2E" w:rsidRPr="007E3761" w:rsidRDefault="008A02C1" w:rsidP="00CA03E8">
      <w:pPr>
        <w:pStyle w:val="NumberedParas"/>
        <w:numPr>
          <w:ilvl w:val="0"/>
          <w:numId w:val="18"/>
        </w:numPr>
      </w:pPr>
      <w:r>
        <w:t>é</w:t>
      </w:r>
      <w:r w:rsidR="00876F2E">
        <w:t>tablir des ententes contractuelles et assurer le suivi du financement supplémentaire en vue de s’assurer qu’il est axé sur des mesures d’adaptation au changement climat en faveur des collectivités les plus vulnérables.</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1.2.2</w:t>
      </w:r>
      <w:r w:rsidR="002575A2">
        <w:rPr>
          <w:rFonts w:ascii="Times New Roman" w:hAnsi="Times New Roman"/>
          <w:sz w:val="24"/>
          <w:szCs w:val="20"/>
        </w:rPr>
        <w:t> :</w:t>
      </w:r>
      <w:r>
        <w:rPr>
          <w:rFonts w:ascii="Times New Roman" w:hAnsi="Times New Roman"/>
          <w:sz w:val="24"/>
          <w:szCs w:val="20"/>
        </w:rPr>
        <w:t xml:space="preserve"> Établir des mécanismes de partage des avantages tirés des revenus des chaînes de valeur afin de financer les mesures d’</w:t>
      </w:r>
      <w:r w:rsidR="00537B55">
        <w:rPr>
          <w:rFonts w:ascii="Times New Roman" w:hAnsi="Times New Roman"/>
          <w:sz w:val="24"/>
          <w:szCs w:val="20"/>
        </w:rPr>
        <w:t>adaptation aux changements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Les programmes antérieurs (et en particulier le PGIES dans le</w:t>
      </w:r>
      <w:r w:rsidR="008F70F2">
        <w:rPr>
          <w:rFonts w:ascii="Times New Roman" w:hAnsi="Times New Roman"/>
          <w:sz w:val="24"/>
          <w:szCs w:val="20"/>
        </w:rPr>
        <w:t>s</w:t>
      </w:r>
      <w:r>
        <w:rPr>
          <w:rFonts w:ascii="Times New Roman" w:hAnsi="Times New Roman"/>
          <w:sz w:val="24"/>
          <w:szCs w:val="20"/>
        </w:rPr>
        <w:t xml:space="preserve"> village</w:t>
      </w:r>
      <w:r w:rsidR="008F70F2">
        <w:rPr>
          <w:rFonts w:ascii="Times New Roman" w:hAnsi="Times New Roman"/>
          <w:sz w:val="24"/>
          <w:szCs w:val="20"/>
        </w:rPr>
        <w:t>s</w:t>
      </w:r>
      <w:r>
        <w:rPr>
          <w:rFonts w:ascii="Times New Roman" w:hAnsi="Times New Roman"/>
          <w:sz w:val="24"/>
          <w:szCs w:val="20"/>
        </w:rPr>
        <w:t xml:space="preserve"> concerné</w:t>
      </w:r>
      <w:r w:rsidR="008F70F2">
        <w:rPr>
          <w:rFonts w:ascii="Times New Roman" w:hAnsi="Times New Roman"/>
          <w:sz w:val="24"/>
          <w:szCs w:val="20"/>
        </w:rPr>
        <w:t>s</w:t>
      </w:r>
      <w:r>
        <w:rPr>
          <w:rFonts w:ascii="Times New Roman" w:hAnsi="Times New Roman"/>
          <w:sz w:val="24"/>
          <w:szCs w:val="20"/>
        </w:rPr>
        <w:t xml:space="preserve"> par le projet </w:t>
      </w:r>
      <w:r w:rsidR="008F70F2">
        <w:rPr>
          <w:rFonts w:ascii="Times New Roman" w:hAnsi="Times New Roman"/>
          <w:sz w:val="24"/>
          <w:szCs w:val="20"/>
        </w:rPr>
        <w:t xml:space="preserve">des </w:t>
      </w:r>
      <w:r>
        <w:rPr>
          <w:rFonts w:ascii="Times New Roman" w:hAnsi="Times New Roman"/>
          <w:sz w:val="24"/>
          <w:szCs w:val="20"/>
        </w:rPr>
        <w:t>Fonds PMA) ont investi des fonds importants dans la plantation d’arbres qui entrent maintenant en production et deviennent ainsi une importante source de revenus pour la population locale. Par exemple, sur le site de Ferlo, au moins 1 850 ha d’acacias ont été plantés (par le PGIES et d’autres programmes) dans 44 villages</w:t>
      </w:r>
      <w:r w:rsidR="00D2405E">
        <w:rPr>
          <w:rFonts w:ascii="Times New Roman" w:hAnsi="Times New Roman"/>
          <w:sz w:val="24"/>
          <w:szCs w:val="20"/>
        </w:rPr>
        <w:t> ;</w:t>
      </w:r>
      <w:r>
        <w:rPr>
          <w:rFonts w:ascii="Times New Roman" w:hAnsi="Times New Roman"/>
          <w:sz w:val="24"/>
          <w:szCs w:val="20"/>
        </w:rPr>
        <w:t xml:space="preserve"> ces arbres ont commencé à produire de la gomme arabique l’année dernière. Les périmètres d’acacia sont clôturés et bien protégés. Cependant, un simple renforcement des capacités techniques et organisationnelles (produits 2.1 et 2.2) permettrait d’améliorer de manière considérable la productivité et la commercialisation (activité qui sera couverte par le projet au titre de la composante 2).</w:t>
      </w:r>
    </w:p>
    <w:p w:rsidR="00876F2E" w:rsidRPr="007E3761" w:rsidRDefault="00876F2E" w:rsidP="00876F2E">
      <w:pPr>
        <w:rPr>
          <w:rFonts w:ascii="Times New Roman" w:hAnsi="Times New Roman"/>
          <w:sz w:val="24"/>
          <w:szCs w:val="20"/>
        </w:rPr>
      </w:pPr>
      <w:r>
        <w:rPr>
          <w:rFonts w:ascii="Times New Roman" w:hAnsi="Times New Roman"/>
          <w:sz w:val="24"/>
          <w:szCs w:val="20"/>
        </w:rPr>
        <w:t>Par conséquent, il devrait être possible d’introduire des mécanismes de partage des bénéfices pour couvrir les coûts récurrents d’</w:t>
      </w:r>
      <w:r w:rsidR="00537B55">
        <w:rPr>
          <w:rFonts w:ascii="Times New Roman" w:hAnsi="Times New Roman"/>
          <w:sz w:val="24"/>
          <w:szCs w:val="20"/>
        </w:rPr>
        <w:t>adaptation aux changements climatiques</w:t>
      </w:r>
      <w:r>
        <w:rPr>
          <w:rFonts w:ascii="Times New Roman" w:hAnsi="Times New Roman"/>
          <w:sz w:val="24"/>
          <w:szCs w:val="20"/>
        </w:rPr>
        <w:t xml:space="preserve"> (et l’investissement continu dans des activités résilientes telles que la filière de la gomme arabique). Les producteurs locaux ont reconnu que </w:t>
      </w:r>
      <w:r w:rsidR="008F70F2">
        <w:rPr>
          <w:rFonts w:ascii="Times New Roman" w:hAnsi="Times New Roman"/>
          <w:sz w:val="24"/>
          <w:szCs w:val="20"/>
        </w:rPr>
        <w:t xml:space="preserve">l’amélioration de </w:t>
      </w:r>
      <w:r>
        <w:rPr>
          <w:rFonts w:ascii="Times New Roman" w:hAnsi="Times New Roman"/>
          <w:sz w:val="24"/>
          <w:szCs w:val="20"/>
        </w:rPr>
        <w:t xml:space="preserve">leur richesse est directement ou indirectement liée au projet </w:t>
      </w:r>
      <w:r>
        <w:rPr>
          <w:rFonts w:ascii="Times New Roman" w:hAnsi="Times New Roman"/>
          <w:sz w:val="24"/>
          <w:szCs w:val="20"/>
        </w:rPr>
        <w:lastRenderedPageBreak/>
        <w:t xml:space="preserve">précédent (PGIES en particulier) et aux communes (en leur qualité de responsable légal des RNC). Le projet apportera un appui à la mise en place d’un mécanisme de redistribution d’une part (un pourcentage) des revenus générés par les </w:t>
      </w:r>
      <w:r w:rsidR="00B8712C" w:rsidRPr="00B8712C">
        <w:rPr>
          <w:rFonts w:ascii="Times New Roman" w:hAnsi="Times New Roman"/>
          <w:sz w:val="24"/>
          <w:szCs w:val="20"/>
        </w:rPr>
        <w:t>chaînes de valeur pour un</w:t>
      </w:r>
      <w:r w:rsidRPr="00B8712C">
        <w:rPr>
          <w:rFonts w:ascii="Times New Roman" w:hAnsi="Times New Roman"/>
          <w:sz w:val="24"/>
          <w:szCs w:val="20"/>
        </w:rPr>
        <w:t xml:space="preserve"> fonds climatique</w:t>
      </w:r>
      <w:r>
        <w:rPr>
          <w:rFonts w:ascii="Times New Roman" w:hAnsi="Times New Roman"/>
          <w:sz w:val="24"/>
          <w:szCs w:val="20"/>
        </w:rPr>
        <w:t xml:space="preserve"> (</w:t>
      </w:r>
      <w:r w:rsidR="00A5434B">
        <w:rPr>
          <w:rFonts w:ascii="Times New Roman" w:hAnsi="Times New Roman"/>
          <w:sz w:val="24"/>
          <w:szCs w:val="20"/>
        </w:rPr>
        <w:t>FCD</w:t>
      </w:r>
      <w:r>
        <w:rPr>
          <w:rFonts w:ascii="Times New Roman" w:hAnsi="Times New Roman"/>
          <w:sz w:val="24"/>
          <w:szCs w:val="20"/>
        </w:rPr>
        <w:t xml:space="preserve">, voir le produit 1.1). Elle sera appliquée aux bénéfices des chaînes de valeur tirés des activités du projet, du PGIES et d’autres projets. Les éléments clés de la conception participative de ce mécanisme de partage des bénéfices sont présentés en annexe F (expert en foresterie de la phase de préparation du projet) et comprennent des questions telles que la juste quantité de la « taxe » appropriée. Est-elle basée sur la quantité produite ? Qui contrôle la production et le montant de la taxe à payer ? Qui décide de l’investissement à réaliser à l’aide des fonds ? </w:t>
      </w:r>
    </w:p>
    <w:p w:rsidR="00876F2E" w:rsidRPr="007E3761" w:rsidRDefault="00876F2E" w:rsidP="00876F2E">
      <w:pPr>
        <w:rPr>
          <w:rFonts w:ascii="Times New Roman" w:hAnsi="Times New Roman"/>
          <w:sz w:val="24"/>
          <w:szCs w:val="20"/>
        </w:rPr>
      </w:pPr>
      <w:r>
        <w:rPr>
          <w:rFonts w:ascii="Times New Roman" w:hAnsi="Times New Roman"/>
          <w:sz w:val="24"/>
          <w:szCs w:val="20"/>
        </w:rPr>
        <w:t>D’autres initiatives seront mises à profit. Par exemple, le projet Wula Nafa a conçu une taxe de 15 FCFA par kilogramme de fruits de baobab vendus. Le montant recueilli a ensuite été réparti comme suit</w:t>
      </w:r>
      <w:r w:rsidR="002575A2">
        <w:rPr>
          <w:rFonts w:ascii="Times New Roman" w:hAnsi="Times New Roman"/>
          <w:sz w:val="24"/>
          <w:szCs w:val="20"/>
        </w:rPr>
        <w:t> :</w:t>
      </w:r>
      <w:r>
        <w:rPr>
          <w:rFonts w:ascii="Times New Roman" w:hAnsi="Times New Roman"/>
          <w:sz w:val="24"/>
          <w:szCs w:val="20"/>
        </w:rPr>
        <w:t xml:space="preserve"> 50 % pour le fonds de gestion et 50 % pour la commune. Dans le cas </w:t>
      </w:r>
      <w:r w:rsidR="008F70F2">
        <w:rPr>
          <w:rFonts w:ascii="Times New Roman" w:hAnsi="Times New Roman"/>
          <w:sz w:val="24"/>
          <w:szCs w:val="20"/>
        </w:rPr>
        <w:t xml:space="preserve">de ce </w:t>
      </w:r>
      <w:r>
        <w:rPr>
          <w:rFonts w:ascii="Times New Roman" w:hAnsi="Times New Roman"/>
          <w:sz w:val="24"/>
          <w:szCs w:val="20"/>
        </w:rPr>
        <w:t xml:space="preserve">projet </w:t>
      </w:r>
      <w:r w:rsidR="008F70F2">
        <w:rPr>
          <w:rFonts w:ascii="Times New Roman" w:hAnsi="Times New Roman"/>
          <w:sz w:val="24"/>
          <w:szCs w:val="20"/>
        </w:rPr>
        <w:t xml:space="preserve">des </w:t>
      </w:r>
      <w:r>
        <w:rPr>
          <w:rFonts w:ascii="Times New Roman" w:hAnsi="Times New Roman"/>
          <w:sz w:val="24"/>
          <w:szCs w:val="20"/>
        </w:rPr>
        <w:t>Fonds PMA, le niveau de compensation financière sera établi selon une approche participative impliquant les parties prenantes concernées et sera différent pour chaque produit.</w:t>
      </w:r>
    </w:p>
    <w:p w:rsidR="00876F2E" w:rsidRPr="007E3761" w:rsidRDefault="00876F2E" w:rsidP="00876F2E">
      <w:pPr>
        <w:rPr>
          <w:rFonts w:ascii="Times New Roman" w:hAnsi="Times New Roman"/>
          <w:sz w:val="24"/>
          <w:szCs w:val="20"/>
        </w:rPr>
      </w:pPr>
      <w:r>
        <w:rPr>
          <w:rFonts w:ascii="Times New Roman" w:hAnsi="Times New Roman"/>
          <w:sz w:val="24"/>
          <w:szCs w:val="20"/>
        </w:rPr>
        <w:t xml:space="preserve">Un autre exemple est la production de crustacés qui a augmenté ces dernières années grâce aux investissements du PGIES dans la restauration des mangroves dans les communes de Gandon et Gandiole. Ces activités constituent à présent la plus grande source de revenus. </w:t>
      </w:r>
    </w:p>
    <w:p w:rsidR="00876F2E" w:rsidRPr="007E3761" w:rsidRDefault="00876F2E" w:rsidP="00876F2E">
      <w:pPr>
        <w:pStyle w:val="NumberedParas"/>
        <w:numPr>
          <w:ilvl w:val="0"/>
          <w:numId w:val="0"/>
        </w:numPr>
      </w:pPr>
      <w:r>
        <w:t xml:space="preserve">Les actions à </w:t>
      </w:r>
      <w:r w:rsidR="00B8712C">
        <w:t>entreprendre sont les suivantes</w:t>
      </w:r>
      <w:r w:rsidR="002575A2">
        <w:t> :</w:t>
      </w:r>
    </w:p>
    <w:p w:rsidR="00876F2E" w:rsidRPr="007E3761" w:rsidRDefault="008A02C1" w:rsidP="00771667">
      <w:pPr>
        <w:pStyle w:val="NumberedParas"/>
        <w:numPr>
          <w:ilvl w:val="0"/>
          <w:numId w:val="38"/>
        </w:numPr>
      </w:pPr>
      <w:r>
        <w:t>é</w:t>
      </w:r>
      <w:r w:rsidR="00876F2E">
        <w:t xml:space="preserve">valuer les principaux chiffres économiques des filières résilientes face </w:t>
      </w:r>
      <w:r w:rsidR="00F22AF3">
        <w:t>aux changements climatiques</w:t>
      </w:r>
      <w:r w:rsidR="00876F2E">
        <w:t xml:space="preserve"> dans les régions</w:t>
      </w:r>
      <w:r w:rsidR="002575A2">
        <w:t> :</w:t>
      </w:r>
      <w:r w:rsidR="00876F2E">
        <w:t xml:space="preserve"> la gomme arabique, les crustacés, le sel, le miel, etc.</w:t>
      </w:r>
    </w:p>
    <w:p w:rsidR="00876F2E" w:rsidRPr="007E3761" w:rsidRDefault="008A02C1" w:rsidP="00771667">
      <w:pPr>
        <w:pStyle w:val="NumberedParas"/>
        <w:numPr>
          <w:ilvl w:val="0"/>
          <w:numId w:val="38"/>
        </w:numPr>
      </w:pPr>
      <w:r>
        <w:t>c</w:t>
      </w:r>
      <w:r w:rsidR="00876F2E">
        <w:t>oncevoir un mécanisme équitable de partage des bénéfices et en discuter avec les principales parties prenantes dans le cadre d’ateliers participatifs pour aborder la question de l’intérêt commun de financer durablement l’</w:t>
      </w:r>
      <w:r w:rsidR="00537B55">
        <w:t>adaptation aux changements climatiques</w:t>
      </w:r>
      <w:r w:rsidR="00876F2E">
        <w:t xml:space="preserve"> de ces activités (ces activités génératrices de revenus ont été financées par le PGIES et d’autres projets).</w:t>
      </w:r>
    </w:p>
    <w:p w:rsidR="00876F2E" w:rsidRPr="007E3761" w:rsidRDefault="008A02C1" w:rsidP="00771667">
      <w:pPr>
        <w:pStyle w:val="NumberedParas"/>
        <w:numPr>
          <w:ilvl w:val="0"/>
          <w:numId w:val="38"/>
        </w:numPr>
      </w:pPr>
      <w:r>
        <w:t>é</w:t>
      </w:r>
      <w:r w:rsidR="00876F2E">
        <w:t>tudier la faisabilité d</w:t>
      </w:r>
      <w:r w:rsidR="00AE3BD3">
        <w:t>’allouer des fonds du mécanisme</w:t>
      </w:r>
      <w:r w:rsidR="00876F2E">
        <w:t xml:space="preserve"> de partage des bénéfices au </w:t>
      </w:r>
      <w:r w:rsidR="00A5434B">
        <w:t>FCD</w:t>
      </w:r>
      <w:r w:rsidR="00876F2E">
        <w:t>.</w:t>
      </w:r>
    </w:p>
    <w:p w:rsidR="00876F2E" w:rsidRPr="007E3761" w:rsidRDefault="008A02C1" w:rsidP="00771667">
      <w:pPr>
        <w:pStyle w:val="NumberedParas"/>
        <w:numPr>
          <w:ilvl w:val="0"/>
          <w:numId w:val="38"/>
        </w:numPr>
      </w:pPr>
      <w:r>
        <w:t>é</w:t>
      </w:r>
      <w:r w:rsidR="00876F2E">
        <w:t>tablir le mécanisme avec les dispositions légales appropriées.</w:t>
      </w:r>
    </w:p>
    <w:p w:rsidR="00876F2E" w:rsidRPr="007E3761" w:rsidRDefault="008A02C1" w:rsidP="00771667">
      <w:pPr>
        <w:pStyle w:val="NumberedParas"/>
        <w:numPr>
          <w:ilvl w:val="0"/>
          <w:numId w:val="38"/>
        </w:numPr>
      </w:pPr>
      <w:r>
        <w:t>s</w:t>
      </w:r>
      <w:r w:rsidR="00876F2E">
        <w:t>urveiller le flux au sein de la chaîne de valeur (quantité produite, taxe à payer, etc.)</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1.2.3</w:t>
      </w:r>
      <w:r w:rsidR="002575A2">
        <w:rPr>
          <w:rFonts w:ascii="Times New Roman" w:hAnsi="Times New Roman"/>
          <w:sz w:val="24"/>
          <w:szCs w:val="20"/>
        </w:rPr>
        <w:t> :</w:t>
      </w:r>
      <w:r>
        <w:rPr>
          <w:rFonts w:ascii="Times New Roman" w:hAnsi="Times New Roman"/>
          <w:sz w:val="24"/>
          <w:szCs w:val="20"/>
        </w:rPr>
        <w:t xml:space="preserve"> Développer les compensations et la RSE pour le financement de l’</w:t>
      </w:r>
      <w:r w:rsidR="00537B55">
        <w:rPr>
          <w:rFonts w:ascii="Times New Roman" w:hAnsi="Times New Roman"/>
          <w:sz w:val="24"/>
          <w:szCs w:val="20"/>
        </w:rPr>
        <w:t>adaptation aux changements climatiques</w:t>
      </w:r>
      <w:r>
        <w:rPr>
          <w:rFonts w:ascii="Times New Roman" w:hAnsi="Times New Roman"/>
          <w:sz w:val="24"/>
          <w:szCs w:val="20"/>
        </w:rPr>
        <w:t xml:space="preserve"> en collaboration avec le secteur privé</w:t>
      </w:r>
    </w:p>
    <w:p w:rsidR="00876F2E" w:rsidRPr="007F5D87" w:rsidRDefault="00876F2E" w:rsidP="00876F2E">
      <w:pPr>
        <w:rPr>
          <w:rFonts w:ascii="Times New Roman" w:hAnsi="Times New Roman"/>
          <w:sz w:val="24"/>
          <w:szCs w:val="20"/>
        </w:rPr>
      </w:pPr>
      <w:r>
        <w:rPr>
          <w:rFonts w:ascii="Times New Roman" w:hAnsi="Times New Roman"/>
          <w:sz w:val="24"/>
          <w:szCs w:val="20"/>
        </w:rPr>
        <w:t>Les compensations pour la biodiversité intéressent de plus en plus les sociétés minières (voir annexe F), en particulier lorsque ces dernières sont dotées de bonnes politiques environnementales et sociales</w:t>
      </w:r>
      <w:r w:rsidRPr="007E3761">
        <w:rPr>
          <w:rStyle w:val="Appelnotedebasdep"/>
          <w:rFonts w:ascii="Times New Roman" w:hAnsi="Times New Roman"/>
          <w:sz w:val="24"/>
          <w:szCs w:val="20"/>
        </w:rPr>
        <w:footnoteReference w:id="39"/>
      </w:r>
      <w:r>
        <w:rPr>
          <w:rFonts w:ascii="Times New Roman" w:hAnsi="Times New Roman"/>
          <w:sz w:val="24"/>
          <w:szCs w:val="20"/>
        </w:rPr>
        <w:t>. Au cours de la phase de préparation du projet, plusieurs entreprises exerçant leurs activités dans les communes concernées par le projet ont été identifiées et associées à des consultations (elles seront invitées à l’atelier de lancement du projet et plusieurs ateliers spécifiques seront organisés au co</w:t>
      </w:r>
      <w:r w:rsidR="00AE3BD3">
        <w:rPr>
          <w:rFonts w:ascii="Times New Roman" w:hAnsi="Times New Roman"/>
          <w:sz w:val="24"/>
          <w:szCs w:val="20"/>
        </w:rPr>
        <w:t>urs du projet). Il s’agit d’</w:t>
      </w:r>
      <w:r>
        <w:rPr>
          <w:rFonts w:ascii="Times New Roman" w:hAnsi="Times New Roman"/>
          <w:sz w:val="24"/>
          <w:szCs w:val="20"/>
        </w:rPr>
        <w:t xml:space="preserve">OROMIN, IAM Gold à Sadio et Teranga Gold </w:t>
      </w:r>
      <w:r w:rsidR="003535DC">
        <w:rPr>
          <w:rFonts w:ascii="Times New Roman" w:hAnsi="Times New Roman"/>
          <w:sz w:val="24"/>
          <w:szCs w:val="20"/>
        </w:rPr>
        <w:t>Operations</w:t>
      </w:r>
      <w:r>
        <w:rPr>
          <w:rFonts w:ascii="Times New Roman" w:hAnsi="Times New Roman"/>
          <w:sz w:val="24"/>
          <w:szCs w:val="20"/>
        </w:rPr>
        <w:t xml:space="preserve"> in Sabadola. Ce mécanisme pourrait également être appliqué à la SODEFITEX ou à d’autres entreprises présentes dans la zone.</w:t>
      </w:r>
    </w:p>
    <w:p w:rsidR="00876F2E" w:rsidRPr="007F5D87" w:rsidRDefault="00876F2E" w:rsidP="00876F2E">
      <w:pPr>
        <w:rPr>
          <w:rFonts w:ascii="Times New Roman" w:hAnsi="Times New Roman"/>
          <w:sz w:val="24"/>
          <w:szCs w:val="20"/>
        </w:rPr>
      </w:pPr>
      <w:r>
        <w:rPr>
          <w:rFonts w:ascii="Times New Roman" w:hAnsi="Times New Roman"/>
          <w:sz w:val="24"/>
          <w:szCs w:val="20"/>
        </w:rPr>
        <w:t xml:space="preserve">Selon le cadre légal régissant l’exploitation minière au Sénégal, chaque concession est astreinte à réaliser une </w:t>
      </w:r>
      <w:r w:rsidR="00286E4F" w:rsidRPr="00286E4F">
        <w:rPr>
          <w:rFonts w:ascii="Times New Roman" w:hAnsi="Times New Roman"/>
          <w:sz w:val="24"/>
          <w:szCs w:val="20"/>
        </w:rPr>
        <w:t xml:space="preserve">évaluation de l'impact sur l'environnement </w:t>
      </w:r>
      <w:r>
        <w:rPr>
          <w:rFonts w:ascii="Times New Roman" w:hAnsi="Times New Roman"/>
          <w:sz w:val="24"/>
          <w:szCs w:val="20"/>
        </w:rPr>
        <w:t xml:space="preserve">(EIE) et à concevoir un plan d’action assorti d’un budget pour sa mise en œuvre. Cependant, en raison de l’absence de suivi par le MEDD et </w:t>
      </w:r>
      <w:r>
        <w:rPr>
          <w:rFonts w:ascii="Times New Roman" w:hAnsi="Times New Roman"/>
          <w:sz w:val="24"/>
          <w:szCs w:val="20"/>
        </w:rPr>
        <w:lastRenderedPageBreak/>
        <w:t>les autorités locales, très peu de plans d’action sont mis en œuvre de manière effective. En conséquence, le projet apportera un appui à la réalisation d’une étude devant aboutir à la conception d’un mécanisme qui mobilise efficacement des fonds (Fonds minier) pour la mise en œuvre des activités d’</w:t>
      </w:r>
      <w:r w:rsidR="00537B55">
        <w:rPr>
          <w:rFonts w:ascii="Times New Roman" w:hAnsi="Times New Roman"/>
          <w:sz w:val="24"/>
          <w:szCs w:val="20"/>
        </w:rPr>
        <w:t>adaptation aux changements climatiques</w:t>
      </w:r>
      <w:r>
        <w:rPr>
          <w:rFonts w:ascii="Times New Roman" w:hAnsi="Times New Roman"/>
          <w:sz w:val="24"/>
          <w:szCs w:val="20"/>
        </w:rPr>
        <w:t>. Ce mécanisme examinera également les meilleures pratiques de suivi que le MEDD devra adopter pour assurer la mise en œuvre durable des activités. Le projet lancer</w:t>
      </w:r>
      <w:r w:rsidR="006F2A4B">
        <w:rPr>
          <w:rFonts w:ascii="Times New Roman" w:hAnsi="Times New Roman"/>
          <w:sz w:val="24"/>
          <w:szCs w:val="20"/>
        </w:rPr>
        <w:t>a le Programme de compensation pour l</w:t>
      </w:r>
      <w:r>
        <w:rPr>
          <w:rFonts w:ascii="Times New Roman" w:hAnsi="Times New Roman"/>
          <w:sz w:val="24"/>
          <w:szCs w:val="20"/>
        </w:rPr>
        <w:t xml:space="preserve">es entreprises et la biodiversité (BBOP) et la responsabilité </w:t>
      </w:r>
      <w:r w:rsidR="005A37B5">
        <w:rPr>
          <w:rFonts w:ascii="Times New Roman" w:hAnsi="Times New Roman"/>
          <w:sz w:val="24"/>
          <w:szCs w:val="20"/>
        </w:rPr>
        <w:t xml:space="preserve">sociétale </w:t>
      </w:r>
      <w:r>
        <w:rPr>
          <w:rFonts w:ascii="Times New Roman" w:hAnsi="Times New Roman"/>
          <w:sz w:val="24"/>
          <w:szCs w:val="20"/>
        </w:rPr>
        <w:t>des entreprises (RSE) par le biais d’ateliers spécifiques destinés à renforcer les capacités des entreprises minières ciblées</w:t>
      </w:r>
      <w:r w:rsidR="00D2405E">
        <w:rPr>
          <w:rFonts w:ascii="Times New Roman" w:hAnsi="Times New Roman"/>
          <w:sz w:val="24"/>
          <w:szCs w:val="20"/>
        </w:rPr>
        <w:t> ;</w:t>
      </w:r>
      <w:r>
        <w:rPr>
          <w:rFonts w:ascii="Times New Roman" w:hAnsi="Times New Roman"/>
          <w:sz w:val="24"/>
          <w:szCs w:val="20"/>
        </w:rPr>
        <w:t xml:space="preserve"> elles seront ainsi outillées pour identifier et mettre en œuvre des activités qui aideront les communautés environnantes à s’adapter </w:t>
      </w:r>
      <w:r w:rsidR="00F22AF3">
        <w:rPr>
          <w:rFonts w:ascii="Times New Roman" w:hAnsi="Times New Roman"/>
          <w:sz w:val="24"/>
          <w:szCs w:val="20"/>
        </w:rPr>
        <w:t>aux changements climatiques</w:t>
      </w:r>
      <w:r>
        <w:rPr>
          <w:rFonts w:ascii="Times New Roman" w:hAnsi="Times New Roman"/>
          <w:sz w:val="24"/>
          <w:szCs w:val="20"/>
        </w:rPr>
        <w:t>. L’objectif est de mobiliser des fonds supplémentaires par le biais du Fonds minier/BBOP/RSE pour les activités liées aux changements climatiques au niveau local.</w:t>
      </w:r>
    </w:p>
    <w:p w:rsidR="00876F2E" w:rsidRPr="007F5D87" w:rsidRDefault="00876F2E" w:rsidP="00876F2E">
      <w:pPr>
        <w:rPr>
          <w:rFonts w:ascii="Times New Roman" w:hAnsi="Times New Roman"/>
          <w:sz w:val="24"/>
          <w:szCs w:val="20"/>
        </w:rPr>
      </w:pPr>
      <w:r>
        <w:rPr>
          <w:rFonts w:ascii="Times New Roman" w:hAnsi="Times New Roman"/>
          <w:sz w:val="24"/>
          <w:szCs w:val="20"/>
        </w:rPr>
        <w:t>Les compensations sont en grande partie inexploitées à ce jour au Sénégal, mais des opportunités sont attendues dans un proche avenir lorsque ces industries deviendront opérationnelles. De nombreuses entreprises apprécient positivement la hiérarchie du BBOP et l’on appelle de plus en plus à aller au-delà de ces normes en visant un gain net de biodiversité plutôt qu’une perte nette. La politique RSE de l’industrie extractive est une option potentiellement intéressante pour les communes soucieuses de leur croissance économique. Comme indiqué précédemment, a priori aucune raison juridique n’empêche la production minière dans les communes tant que les objectifs de biodiversité sont respectés et que les communautés locales sont d’accord. Au contraire, le Sénégal est engagé dans un processus de révision de ses lois dans le but d’identifier les domaines à améliorer afin de pouvoir tirer parti de l’industrie minière en plein essor pour faire progresser le développement durable</w:t>
      </w:r>
      <w:r>
        <w:rPr>
          <w:rStyle w:val="Appelnotedebasdep"/>
          <w:rFonts w:ascii="Times New Roman" w:hAnsi="Times New Roman"/>
          <w:sz w:val="24"/>
          <w:szCs w:val="20"/>
        </w:rPr>
        <w:footnoteReference w:id="40"/>
      </w:r>
      <w:r>
        <w:rPr>
          <w:rFonts w:ascii="Times New Roman" w:hAnsi="Times New Roman"/>
          <w:sz w:val="24"/>
          <w:szCs w:val="20"/>
        </w:rPr>
        <w:t>.</w:t>
      </w:r>
      <w:r w:rsidR="004533D6">
        <w:rPr>
          <w:rFonts w:ascii="Times New Roman" w:hAnsi="Times New Roman"/>
          <w:sz w:val="24"/>
          <w:szCs w:val="20"/>
        </w:rPr>
        <w:t xml:space="preserve"> </w:t>
      </w:r>
      <w:r>
        <w:rPr>
          <w:rFonts w:ascii="Times New Roman" w:hAnsi="Times New Roman"/>
          <w:sz w:val="24"/>
          <w:szCs w:val="20"/>
        </w:rPr>
        <w:t xml:space="preserve">Au niveau mondial, il existe des modèles prometteurs d’intégration et de complémentarités de la RSE qui offrent des lignes directrices pour des partenariats similaires au Sénégal. Enfin, les discussions menées au cours de la phase de préparation du projet ont </w:t>
      </w:r>
      <w:r w:rsidR="00AA0797">
        <w:rPr>
          <w:rFonts w:ascii="Times New Roman" w:hAnsi="Times New Roman"/>
          <w:sz w:val="24"/>
          <w:szCs w:val="20"/>
        </w:rPr>
        <w:t>permis de constater que l</w:t>
      </w:r>
      <w:r>
        <w:rPr>
          <w:rFonts w:ascii="Times New Roman" w:hAnsi="Times New Roman"/>
          <w:sz w:val="24"/>
          <w:szCs w:val="20"/>
        </w:rPr>
        <w:t xml:space="preserve">es compagnies minières </w:t>
      </w:r>
      <w:r w:rsidR="00AA0797">
        <w:rPr>
          <w:rFonts w:ascii="Times New Roman" w:hAnsi="Times New Roman"/>
          <w:sz w:val="24"/>
          <w:szCs w:val="20"/>
        </w:rPr>
        <w:t>étaient disposées à</w:t>
      </w:r>
      <w:r>
        <w:rPr>
          <w:rFonts w:ascii="Times New Roman" w:hAnsi="Times New Roman"/>
          <w:sz w:val="24"/>
          <w:szCs w:val="20"/>
        </w:rPr>
        <w:t xml:space="preserve"> contribuer au </w:t>
      </w:r>
      <w:r w:rsidR="00A5434B">
        <w:rPr>
          <w:rFonts w:ascii="Times New Roman" w:hAnsi="Times New Roman"/>
          <w:sz w:val="24"/>
          <w:szCs w:val="20"/>
        </w:rPr>
        <w:t>FCD</w:t>
      </w:r>
      <w:r w:rsidRPr="00AA0797">
        <w:rPr>
          <w:rFonts w:ascii="Times New Roman" w:hAnsi="Times New Roman"/>
          <w:sz w:val="24"/>
          <w:szCs w:val="20"/>
        </w:rPr>
        <w:t xml:space="preserve"> affecté</w:t>
      </w:r>
      <w:r w:rsidR="00AA0797" w:rsidRPr="00AA0797">
        <w:rPr>
          <w:rFonts w:ascii="Times New Roman" w:hAnsi="Times New Roman"/>
          <w:sz w:val="24"/>
          <w:szCs w:val="20"/>
        </w:rPr>
        <w:t xml:space="preserve"> à l’exploitation des mines</w:t>
      </w:r>
      <w:r w:rsidRPr="00AA0797">
        <w:rPr>
          <w:rFonts w:ascii="Times New Roman" w:hAnsi="Times New Roman"/>
          <w:sz w:val="24"/>
          <w:szCs w:val="20"/>
        </w:rPr>
        <w:t>.</w:t>
      </w:r>
    </w:p>
    <w:p w:rsidR="00876F2E" w:rsidRPr="007F5D87" w:rsidRDefault="00876F2E" w:rsidP="00876F2E">
      <w:pPr>
        <w:rPr>
          <w:rFonts w:ascii="Times New Roman" w:hAnsi="Times New Roman"/>
          <w:sz w:val="24"/>
          <w:szCs w:val="20"/>
        </w:rPr>
      </w:pPr>
      <w:r>
        <w:rPr>
          <w:rFonts w:ascii="Times New Roman" w:hAnsi="Times New Roman"/>
          <w:sz w:val="24"/>
          <w:szCs w:val="20"/>
        </w:rPr>
        <w:t>Même si, comme indiqué précédemment, l’obligation d’EIE n’est pas totalement respectée, le Sénégal a tout de même enregistré des conceptions d’évaluation positives qui pourraient s’avérer pertinentes pour ce projet. C’est le cas de Toro Gold Ltd, qui installe une mine d’or dans la région de Kedougou, dans le sud-est du pays. Le projet est actuellement dans sa phase de construction, après la</w:t>
      </w:r>
      <w:r w:rsidR="00286E4F">
        <w:rPr>
          <w:rFonts w:ascii="Times New Roman" w:hAnsi="Times New Roman"/>
          <w:sz w:val="24"/>
          <w:szCs w:val="20"/>
        </w:rPr>
        <w:t xml:space="preserve"> réalisation de l’évaluation de</w:t>
      </w:r>
      <w:r>
        <w:rPr>
          <w:rFonts w:ascii="Times New Roman" w:hAnsi="Times New Roman"/>
          <w:sz w:val="24"/>
          <w:szCs w:val="20"/>
        </w:rPr>
        <w:t xml:space="preserve"> </w:t>
      </w:r>
      <w:r w:rsidR="00286E4F">
        <w:rPr>
          <w:rFonts w:ascii="Times New Roman" w:hAnsi="Times New Roman"/>
          <w:sz w:val="24"/>
          <w:szCs w:val="20"/>
        </w:rPr>
        <w:t>l’</w:t>
      </w:r>
      <w:r>
        <w:rPr>
          <w:rFonts w:ascii="Times New Roman" w:hAnsi="Times New Roman"/>
          <w:sz w:val="24"/>
          <w:szCs w:val="20"/>
        </w:rPr>
        <w:t>impact</w:t>
      </w:r>
      <w:r w:rsidR="00286E4F">
        <w:rPr>
          <w:rFonts w:ascii="Times New Roman" w:hAnsi="Times New Roman"/>
          <w:sz w:val="24"/>
          <w:szCs w:val="20"/>
        </w:rPr>
        <w:t xml:space="preserve"> sur l’environnement</w:t>
      </w:r>
      <w:r>
        <w:rPr>
          <w:rFonts w:ascii="Times New Roman" w:hAnsi="Times New Roman"/>
          <w:sz w:val="24"/>
          <w:szCs w:val="20"/>
        </w:rPr>
        <w:t xml:space="preserve"> et </w:t>
      </w:r>
      <w:r w:rsidR="00286E4F">
        <w:rPr>
          <w:rFonts w:ascii="Times New Roman" w:hAnsi="Times New Roman"/>
          <w:sz w:val="24"/>
          <w:szCs w:val="20"/>
        </w:rPr>
        <w:t xml:space="preserve">la </w:t>
      </w:r>
      <w:r>
        <w:rPr>
          <w:rFonts w:ascii="Times New Roman" w:hAnsi="Times New Roman"/>
          <w:sz w:val="24"/>
          <w:szCs w:val="20"/>
        </w:rPr>
        <w:t>soci</w:t>
      </w:r>
      <w:r w:rsidR="00286E4F">
        <w:rPr>
          <w:rFonts w:ascii="Times New Roman" w:hAnsi="Times New Roman"/>
          <w:sz w:val="24"/>
          <w:szCs w:val="20"/>
        </w:rPr>
        <w:t>été</w:t>
      </w:r>
      <w:r>
        <w:rPr>
          <w:rFonts w:ascii="Times New Roman" w:hAnsi="Times New Roman"/>
          <w:sz w:val="24"/>
          <w:szCs w:val="20"/>
        </w:rPr>
        <w:t xml:space="preserve"> (EIES) au troisième trimestre de 2015. Le paysage du projet comprend des zones </w:t>
      </w:r>
      <w:r w:rsidRPr="00AA0797">
        <w:rPr>
          <w:rFonts w:ascii="Times New Roman" w:hAnsi="Times New Roman"/>
          <w:sz w:val="24"/>
          <w:szCs w:val="20"/>
        </w:rPr>
        <w:t>de forêt</w:t>
      </w:r>
      <w:r w:rsidR="00AA0797" w:rsidRPr="00AA0797">
        <w:rPr>
          <w:rFonts w:ascii="Times New Roman" w:hAnsi="Times New Roman"/>
          <w:sz w:val="24"/>
          <w:szCs w:val="20"/>
        </w:rPr>
        <w:t xml:space="preserve"> </w:t>
      </w:r>
      <w:r w:rsidRPr="00AA0797">
        <w:rPr>
          <w:rFonts w:ascii="Times New Roman" w:hAnsi="Times New Roman"/>
          <w:sz w:val="24"/>
          <w:szCs w:val="20"/>
        </w:rPr>
        <w:t>galerie</w:t>
      </w:r>
      <w:r>
        <w:rPr>
          <w:rFonts w:ascii="Times New Roman" w:hAnsi="Times New Roman"/>
          <w:sz w:val="24"/>
          <w:szCs w:val="20"/>
        </w:rPr>
        <w:t>, situées dans une matrice de savane boisée. Ses principales valeurs de biodiversité sont le chimpanzé de l’ouest, deux espèces de plantes à répartition géographique limitée et les hippopotames</w:t>
      </w:r>
      <w:r w:rsidRPr="00AA0797">
        <w:rPr>
          <w:rFonts w:ascii="Times New Roman" w:hAnsi="Times New Roman"/>
          <w:sz w:val="24"/>
          <w:szCs w:val="20"/>
        </w:rPr>
        <w:t>. Le projet se trouve également à proxim</w:t>
      </w:r>
      <w:r w:rsidR="003535DC" w:rsidRPr="00AA0797">
        <w:rPr>
          <w:rFonts w:ascii="Times New Roman" w:hAnsi="Times New Roman"/>
          <w:sz w:val="24"/>
          <w:szCs w:val="20"/>
        </w:rPr>
        <w:t>ité du parc national</w:t>
      </w:r>
      <w:r w:rsidR="003535DC">
        <w:rPr>
          <w:rFonts w:ascii="Times New Roman" w:hAnsi="Times New Roman"/>
          <w:sz w:val="24"/>
          <w:szCs w:val="20"/>
        </w:rPr>
        <w:t xml:space="preserve"> de </w:t>
      </w:r>
      <w:r w:rsidR="008712CB">
        <w:rPr>
          <w:rFonts w:ascii="Times New Roman" w:hAnsi="Times New Roman"/>
          <w:sz w:val="24"/>
          <w:szCs w:val="20"/>
        </w:rPr>
        <w:t>Niokolo-Koba</w:t>
      </w:r>
      <w:r>
        <w:rPr>
          <w:rFonts w:ascii="Times New Roman" w:hAnsi="Times New Roman"/>
          <w:sz w:val="24"/>
          <w:szCs w:val="20"/>
        </w:rPr>
        <w:t xml:space="preserve"> (site classé au patrimoine mondial), où l’on recense un certain nombre de </w:t>
      </w:r>
      <w:r w:rsidR="00AA0797">
        <w:rPr>
          <w:rFonts w:ascii="Times New Roman" w:hAnsi="Times New Roman"/>
          <w:sz w:val="24"/>
          <w:szCs w:val="20"/>
        </w:rPr>
        <w:t>mammifères et d’oiseaux menacés</w:t>
      </w:r>
      <w:r>
        <w:rPr>
          <w:rFonts w:ascii="Times New Roman" w:hAnsi="Times New Roman"/>
          <w:sz w:val="24"/>
          <w:szCs w:val="20"/>
        </w:rPr>
        <w:t xml:space="preserve"> (vautours, lions, chiens sauvages et éléphants). Le projet comporte un plan d’action pour la biodiversité et a utilisé la hiérarchie des mesures d’atténuation pendant sa conception et l’EIES, dans le but d’éviter d’occasionner une quelconque perte nette de la biodiversité. Il s’est doté d’une stratégie et un plan d’action de compensation, et en est aux premiers stades de leur mise en œuvre effective. Toro Gold a travaillé en étroite collaboration avec les parties prenantes tout au long de la conception de sa gestion de la biodiversité et reste dans la même dynamique. Ce projet financé par le</w:t>
      </w:r>
      <w:r w:rsidR="005A37B5">
        <w:rPr>
          <w:rFonts w:ascii="Times New Roman" w:hAnsi="Times New Roman"/>
          <w:sz w:val="24"/>
          <w:szCs w:val="20"/>
        </w:rPr>
        <w:t>s</w:t>
      </w:r>
      <w:r>
        <w:rPr>
          <w:rFonts w:ascii="Times New Roman" w:hAnsi="Times New Roman"/>
          <w:sz w:val="24"/>
          <w:szCs w:val="20"/>
        </w:rPr>
        <w:t xml:space="preserve"> Fonds PMA s’appuiera dès lors sur cette expérience pour partager le mécanisme à développer avec d’autres </w:t>
      </w:r>
      <w:r>
        <w:rPr>
          <w:rFonts w:ascii="Times New Roman" w:hAnsi="Times New Roman"/>
          <w:sz w:val="24"/>
          <w:szCs w:val="20"/>
        </w:rPr>
        <w:lastRenderedPageBreak/>
        <w:t>entreprises extractives et accompagner Toro Gold Ltd dans la mise en œuvre efficace de ce plan par le biais du renforcement des capacités.</w:t>
      </w:r>
    </w:p>
    <w:p w:rsidR="00876F2E" w:rsidRPr="007F5D87" w:rsidRDefault="00876F2E" w:rsidP="00876F2E">
      <w:pPr>
        <w:rPr>
          <w:rFonts w:ascii="Times New Roman" w:hAnsi="Times New Roman"/>
          <w:sz w:val="24"/>
          <w:szCs w:val="20"/>
        </w:rPr>
      </w:pPr>
      <w:r>
        <w:rPr>
          <w:rFonts w:ascii="Times New Roman" w:hAnsi="Times New Roman"/>
          <w:sz w:val="24"/>
          <w:szCs w:val="20"/>
        </w:rPr>
        <w:t>Cette activité fera l’objet d’une expérience pilote da</w:t>
      </w:r>
      <w:r w:rsidR="003011BE">
        <w:rPr>
          <w:rFonts w:ascii="Times New Roman" w:hAnsi="Times New Roman"/>
          <w:sz w:val="24"/>
          <w:szCs w:val="20"/>
        </w:rPr>
        <w:t>ns les zones minières du site du</w:t>
      </w:r>
      <w:r>
        <w:rPr>
          <w:rFonts w:ascii="Times New Roman" w:hAnsi="Times New Roman"/>
          <w:sz w:val="24"/>
          <w:szCs w:val="20"/>
        </w:rPr>
        <w:t xml:space="preserve"> </w:t>
      </w:r>
      <w:r w:rsidR="003535DC">
        <w:rPr>
          <w:rFonts w:ascii="Times New Roman" w:hAnsi="Times New Roman"/>
          <w:sz w:val="24"/>
          <w:szCs w:val="20"/>
        </w:rPr>
        <w:t>Niokolo</w:t>
      </w:r>
      <w:r w:rsidR="00BC6E26">
        <w:rPr>
          <w:rFonts w:ascii="Times New Roman" w:hAnsi="Times New Roman"/>
          <w:sz w:val="24"/>
          <w:szCs w:val="20"/>
        </w:rPr>
        <w:t>-K</w:t>
      </w:r>
      <w:r w:rsidR="003535DC">
        <w:rPr>
          <w:rFonts w:ascii="Times New Roman" w:hAnsi="Times New Roman"/>
          <w:sz w:val="24"/>
          <w:szCs w:val="20"/>
        </w:rPr>
        <w:t>oba</w:t>
      </w:r>
      <w:r>
        <w:rPr>
          <w:rFonts w:ascii="Times New Roman" w:hAnsi="Times New Roman"/>
          <w:sz w:val="24"/>
          <w:szCs w:val="20"/>
        </w:rPr>
        <w:t xml:space="preserve"> (en partenariat avec le programme social minier) et c</w:t>
      </w:r>
      <w:r w:rsidR="00B8712C">
        <w:rPr>
          <w:rFonts w:ascii="Times New Roman" w:hAnsi="Times New Roman"/>
          <w:sz w:val="24"/>
          <w:szCs w:val="20"/>
        </w:rPr>
        <w:t>omprendra les actions suivantes</w:t>
      </w:r>
      <w:r w:rsidR="002575A2">
        <w:rPr>
          <w:rFonts w:ascii="Times New Roman" w:hAnsi="Times New Roman"/>
          <w:sz w:val="24"/>
          <w:szCs w:val="20"/>
        </w:rPr>
        <w:t> :</w:t>
      </w:r>
    </w:p>
    <w:p w:rsidR="00876F2E" w:rsidRPr="007F5D87" w:rsidRDefault="008A02C1" w:rsidP="00CA03E8">
      <w:pPr>
        <w:pStyle w:val="Paragraphedeliste"/>
        <w:numPr>
          <w:ilvl w:val="0"/>
          <w:numId w:val="19"/>
        </w:numPr>
        <w:rPr>
          <w:szCs w:val="20"/>
        </w:rPr>
      </w:pPr>
      <w:r>
        <w:t>c</w:t>
      </w:r>
      <w:r w:rsidR="00876F2E">
        <w:t>artographier les entreprises exerçant des activités dans les communes concernées par le projet et évaluer leur EIE, leur plan d’action et leur budget ainsi que leur politique de RSE</w:t>
      </w:r>
      <w:r w:rsidR="00B8712C">
        <w:t> </w:t>
      </w:r>
      <w:r w:rsidR="00876F2E">
        <w:t>;</w:t>
      </w:r>
    </w:p>
    <w:p w:rsidR="00876F2E" w:rsidRPr="007F5D87" w:rsidRDefault="008A02C1" w:rsidP="00CA03E8">
      <w:pPr>
        <w:pStyle w:val="Paragraphedeliste"/>
        <w:numPr>
          <w:ilvl w:val="0"/>
          <w:numId w:val="19"/>
        </w:numPr>
        <w:rPr>
          <w:szCs w:val="20"/>
        </w:rPr>
      </w:pPr>
      <w:r>
        <w:t>m</w:t>
      </w:r>
      <w:r w:rsidR="00876F2E">
        <w:t>ener une étude pour identifier un mécanisme capable de mobiliser des fonds pour le MEDD et les communes afin de mettre en œuvre les activités d’</w:t>
      </w:r>
      <w:r w:rsidR="00537B55">
        <w:t>adaptation aux changements climatiques</w:t>
      </w:r>
      <w:r w:rsidR="00876F2E">
        <w:t xml:space="preserve"> sur le terrain, assorti d’un plan de suivi efficace pour le MEDD</w:t>
      </w:r>
      <w:r w:rsidR="00B8712C">
        <w:t> </w:t>
      </w:r>
      <w:r w:rsidR="00876F2E">
        <w:t>;</w:t>
      </w:r>
    </w:p>
    <w:p w:rsidR="00876F2E" w:rsidRPr="007F5D87" w:rsidRDefault="008A02C1" w:rsidP="00CA03E8">
      <w:pPr>
        <w:pStyle w:val="Paragraphedeliste"/>
        <w:numPr>
          <w:ilvl w:val="0"/>
          <w:numId w:val="19"/>
        </w:numPr>
        <w:rPr>
          <w:szCs w:val="20"/>
        </w:rPr>
      </w:pPr>
      <w:r>
        <w:t>i</w:t>
      </w:r>
      <w:r w:rsidR="00876F2E">
        <w:t>nitier des échanges avec des entreprises privées et proposer un mécanisme basé sur les compensations BBOP</w:t>
      </w:r>
      <w:r w:rsidR="00B8712C">
        <w:t> </w:t>
      </w:r>
      <w:r w:rsidR="00876F2E">
        <w:t>;</w:t>
      </w:r>
    </w:p>
    <w:p w:rsidR="00876F2E" w:rsidRPr="007F5D87" w:rsidRDefault="008A02C1" w:rsidP="00CA03E8">
      <w:pPr>
        <w:pStyle w:val="Paragraphedeliste"/>
        <w:numPr>
          <w:ilvl w:val="0"/>
          <w:numId w:val="19"/>
        </w:numPr>
        <w:rPr>
          <w:szCs w:val="20"/>
        </w:rPr>
      </w:pPr>
      <w:r>
        <w:t>c</w:t>
      </w:r>
      <w:r w:rsidR="00876F2E">
        <w:t>oncevoir une stratégie de collaboration pour canaliser les fonds en mesures d’</w:t>
      </w:r>
      <w:r w:rsidR="00537B55">
        <w:t>adaptation aux changements climatiques</w:t>
      </w:r>
      <w:r w:rsidR="00876F2E">
        <w:t xml:space="preserve"> sur le terrain</w:t>
      </w:r>
      <w:r w:rsidR="00B8712C">
        <w:t> ;</w:t>
      </w:r>
    </w:p>
    <w:p w:rsidR="00876F2E" w:rsidRPr="007F5D87" w:rsidRDefault="008A02C1" w:rsidP="00CA03E8">
      <w:pPr>
        <w:pStyle w:val="Paragraphedeliste"/>
        <w:numPr>
          <w:ilvl w:val="0"/>
          <w:numId w:val="19"/>
        </w:numPr>
        <w:rPr>
          <w:szCs w:val="20"/>
        </w:rPr>
      </w:pPr>
      <w:r>
        <w:t>r</w:t>
      </w:r>
      <w:r w:rsidR="00876F2E">
        <w:t>enforcer les capacités des autorités nationales et locales en matière de compensations BBOP.</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1.3</w:t>
      </w:r>
      <w:r w:rsidR="002575A2">
        <w:rPr>
          <w:rFonts w:ascii="Times New Roman" w:hAnsi="Times New Roman"/>
          <w:b/>
          <w:i/>
          <w:sz w:val="24"/>
          <w:szCs w:val="20"/>
        </w:rPr>
        <w:t> :</w:t>
      </w:r>
      <w:r>
        <w:rPr>
          <w:rFonts w:ascii="Times New Roman" w:hAnsi="Times New Roman"/>
          <w:b/>
          <w:i/>
          <w:sz w:val="24"/>
          <w:szCs w:val="20"/>
        </w:rPr>
        <w:t xml:space="preserve"> Le réseau de mutuelles d’épargne et de crédit est renforcé et des crédits agricoles octroyés aux populations vulnérables </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projet financé par le</w:t>
      </w:r>
      <w:r w:rsidR="00576C37">
        <w:t>s</w:t>
      </w:r>
      <w:r>
        <w:t xml:space="preserve"> Fonds PMA augmentera le montant des fonds alloués aux populations vulnérables pour les aider à s’adapter au</w:t>
      </w:r>
      <w:r w:rsidR="00576C37">
        <w:t>x</w:t>
      </w:r>
      <w:r>
        <w:t xml:space="preserve"> changement</w:t>
      </w:r>
      <w:r w:rsidR="00576C37">
        <w:t>s</w:t>
      </w:r>
      <w:r>
        <w:t xml:space="preserve"> climatique</w:t>
      </w:r>
      <w:r w:rsidR="00576C37">
        <w:t>s</w:t>
      </w:r>
      <w:r>
        <w:t>. Pour le réaliser, deux axes principaux seront développés en parallèle</w:t>
      </w:r>
      <w:r w:rsidR="002575A2">
        <w:t> :</w:t>
      </w:r>
      <w:r w:rsidR="003B7D35">
        <w:t xml:space="preserve"> i) </w:t>
      </w:r>
      <w:r>
        <w:t>le renforcement et l’expansion du réseau de mut</w:t>
      </w:r>
      <w:r w:rsidR="003B7D35">
        <w:t>uelles d’épargne et de crédit ; ii) </w:t>
      </w:r>
      <w:r>
        <w:t xml:space="preserve">l’établissement de partenariats avec d’autres institutions de microfinance. Une compréhension complète des causes du succès de la Mutuelle de Saloum et des causes des difficultés rencontrées par les autres mutuelles est nécessaire pour tirer parti des efforts déployés pendant dix (10) ans pour établir ce réseau de mutuelles. </w:t>
      </w:r>
    </w:p>
    <w:p w:rsidR="00876F2E" w:rsidRPr="007F5D87" w:rsidRDefault="00876F2E" w:rsidP="00876F2E">
      <w:pPr>
        <w:pStyle w:val="NumberedParas"/>
        <w:numPr>
          <w:ilvl w:val="0"/>
          <w:numId w:val="0"/>
        </w:numPr>
      </w:pPr>
    </w:p>
    <w:p w:rsidR="00876F2E" w:rsidRPr="007F5D87" w:rsidRDefault="00876F2E" w:rsidP="00876F2E">
      <w:pPr>
        <w:pStyle w:val="NumberedParas"/>
      </w:pPr>
      <w:r>
        <w:t>S’il est vrai que les mutuelles d’épargne et de crédit sont en proie à d’énormes difficultés (voir le diagnostic en annexe F), il n’en demeure pas moins que le développement de la microfinance constitue un élément clé d’une stratégie d’adaptation réussie et devrait se faire (OCDE 2010) car il réduit la vulnérabilité des pauvres. Il ne fait aucun doute que le « financement de la microfinance » pose un défi fondamental dans de nombreux pays d’Afrique</w:t>
      </w:r>
      <w:r w:rsidR="00B8712C">
        <w:t> </w:t>
      </w:r>
      <w:r>
        <w:t>; un financem</w:t>
      </w:r>
      <w:r w:rsidR="008A02C1">
        <w:t>ent de démarrage est essentiel.</w:t>
      </w:r>
    </w:p>
    <w:p w:rsidR="00A444DE" w:rsidRPr="00A444DE" w:rsidRDefault="00A444DE" w:rsidP="00876F2E">
      <w:pPr>
        <w:rPr>
          <w:rFonts w:ascii="Times New Roman" w:hAnsi="Times New Roman"/>
          <w:sz w:val="24"/>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1.3.1</w:t>
      </w:r>
      <w:r w:rsidR="002575A2">
        <w:rPr>
          <w:rFonts w:ascii="Times New Roman" w:hAnsi="Times New Roman"/>
          <w:sz w:val="24"/>
          <w:szCs w:val="20"/>
        </w:rPr>
        <w:t> :</w:t>
      </w:r>
      <w:r>
        <w:rPr>
          <w:rFonts w:ascii="Times New Roman" w:hAnsi="Times New Roman"/>
          <w:sz w:val="24"/>
          <w:szCs w:val="20"/>
        </w:rPr>
        <w:t xml:space="preserve"> Procéder à une évaluation approfondie des succès et des échecs des mutuelles</w:t>
      </w:r>
    </w:p>
    <w:p w:rsidR="00876F2E" w:rsidRPr="007F5D87" w:rsidRDefault="00876F2E" w:rsidP="00876F2E">
      <w:pPr>
        <w:spacing w:after="0"/>
        <w:rPr>
          <w:rFonts w:ascii="Times New Roman" w:hAnsi="Times New Roman"/>
          <w:sz w:val="24"/>
        </w:rPr>
      </w:pPr>
      <w:r>
        <w:rPr>
          <w:rFonts w:ascii="Times New Roman" w:hAnsi="Times New Roman"/>
          <w:sz w:val="24"/>
          <w:szCs w:val="20"/>
        </w:rPr>
        <w:t xml:space="preserve">Les 9 mutuelles ont obtenu un certain nombre de succès, par exemple en octroyant des crédits aux populations pauvres et isolées, généralement considérées comme non bancables par les institutions financières traditionnelles. Les neuf mutuelles ont été créées par le PGIES avec le soutien de fonds publics. Après la clôture du programme, les mutuelles ont éprouvé des difficultés à maintenir leurs activités. </w:t>
      </w:r>
      <w:r>
        <w:rPr>
          <w:rFonts w:ascii="Times New Roman" w:hAnsi="Times New Roman"/>
          <w:sz w:val="24"/>
        </w:rPr>
        <w:t>Les raisons suivantes expliquent cette situation</w:t>
      </w:r>
      <w:r w:rsidR="002575A2">
        <w:rPr>
          <w:rFonts w:ascii="Times New Roman" w:hAnsi="Times New Roman"/>
          <w:sz w:val="24"/>
        </w:rPr>
        <w:t> :</w:t>
      </w:r>
      <w:r w:rsidR="003B7D35">
        <w:rPr>
          <w:rFonts w:ascii="Times New Roman" w:hAnsi="Times New Roman"/>
          <w:sz w:val="24"/>
        </w:rPr>
        <w:t xml:space="preserve"> i) </w:t>
      </w:r>
      <w:r>
        <w:rPr>
          <w:rFonts w:ascii="Times New Roman" w:hAnsi="Times New Roman"/>
          <w:sz w:val="24"/>
        </w:rPr>
        <w:t xml:space="preserve">le cadre juridique de la microfinance a été renforcé par l’État dans la mesure où les 8 autres mutuelles ne sont pas enregistrées par la Direction de la réglementation et de la supervision des systèmes financiers décentralisés (ils n’ont </w:t>
      </w:r>
      <w:r>
        <w:rPr>
          <w:rFonts w:ascii="Times New Roman" w:hAnsi="Times New Roman"/>
          <w:sz w:val="24"/>
        </w:rPr>
        <w:lastRenderedPageBreak/>
        <w:t>pas l’accréditation officielle</w:t>
      </w:r>
      <w:r w:rsidR="003B7D35">
        <w:rPr>
          <w:rFonts w:ascii="Times New Roman" w:hAnsi="Times New Roman"/>
          <w:sz w:val="24"/>
        </w:rPr>
        <w:t xml:space="preserve"> du Ministère pour fonctionner) ;</w:t>
      </w:r>
      <w:r>
        <w:rPr>
          <w:rFonts w:ascii="Times New Roman" w:hAnsi="Times New Roman"/>
          <w:sz w:val="24"/>
        </w:rPr>
        <w:t xml:space="preserve"> ii)</w:t>
      </w:r>
      <w:r w:rsidR="003B7D35">
        <w:rPr>
          <w:rFonts w:ascii="Times New Roman" w:hAnsi="Times New Roman"/>
          <w:sz w:val="24"/>
        </w:rPr>
        <w:t> huit</w:t>
      </w:r>
      <w:r>
        <w:rPr>
          <w:rFonts w:ascii="Times New Roman" w:hAnsi="Times New Roman"/>
          <w:sz w:val="24"/>
        </w:rPr>
        <w:t> mutuelles font face à une absence d’activités au cours des deux dernières années (aucun mouvement financier n’a été enregistré), de sorte qu’elles sont aujourd’hui dans une si</w:t>
      </w:r>
      <w:r w:rsidR="003B7D35">
        <w:rPr>
          <w:rFonts w:ascii="Times New Roman" w:hAnsi="Times New Roman"/>
          <w:sz w:val="24"/>
        </w:rPr>
        <w:t>tuation financière difficile ; iii) </w:t>
      </w:r>
      <w:r>
        <w:rPr>
          <w:rFonts w:ascii="Times New Roman" w:hAnsi="Times New Roman"/>
          <w:sz w:val="24"/>
        </w:rPr>
        <w:t xml:space="preserve">les mutuelles fonctionnent à petite échelle et ne gèrent pas suffisamment d’activités pour être viables. </w:t>
      </w:r>
    </w:p>
    <w:p w:rsidR="00876F2E" w:rsidRPr="007F5D87" w:rsidRDefault="00876F2E" w:rsidP="00876F2E">
      <w:pPr>
        <w:spacing w:after="0"/>
        <w:rPr>
          <w:rFonts w:ascii="Times New Roman" w:hAnsi="Times New Roman"/>
          <w:sz w:val="24"/>
        </w:rPr>
      </w:pPr>
      <w:r>
        <w:rPr>
          <w:rFonts w:ascii="Times New Roman" w:hAnsi="Times New Roman"/>
          <w:sz w:val="24"/>
        </w:rPr>
        <w:t xml:space="preserve">Il ressort de la phase de préparation du projet que la Mutuelle du </w:t>
      </w:r>
      <w:r w:rsidR="00E82CB3">
        <w:rPr>
          <w:rFonts w:ascii="Times New Roman" w:hAnsi="Times New Roman"/>
          <w:sz w:val="24"/>
        </w:rPr>
        <w:t>delta du Saloum</w:t>
      </w:r>
      <w:r>
        <w:rPr>
          <w:rFonts w:ascii="Times New Roman" w:hAnsi="Times New Roman"/>
          <w:sz w:val="24"/>
        </w:rPr>
        <w:t xml:space="preserve"> (dont la population cible est de 40 180 personnes) semble viable, contrairement aux 8 autres qui sont confrontées à d’énormes difficultés. La Mutuelle du </w:t>
      </w:r>
      <w:r w:rsidR="00E82CB3">
        <w:rPr>
          <w:rFonts w:ascii="Times New Roman" w:hAnsi="Times New Roman"/>
          <w:sz w:val="24"/>
        </w:rPr>
        <w:t>delta du Saloum</w:t>
      </w:r>
      <w:r>
        <w:rPr>
          <w:rFonts w:ascii="Times New Roman" w:hAnsi="Times New Roman"/>
          <w:sz w:val="24"/>
        </w:rPr>
        <w:t xml:space="preserve"> a récemment financé l’ach</w:t>
      </w:r>
      <w:r w:rsidRPr="00495DF4">
        <w:rPr>
          <w:rFonts w:ascii="Times New Roman" w:hAnsi="Times New Roman"/>
          <w:sz w:val="24"/>
        </w:rPr>
        <w:t xml:space="preserve">at de </w:t>
      </w:r>
      <w:r w:rsidR="00495DF4" w:rsidRPr="00495DF4">
        <w:rPr>
          <w:rFonts w:ascii="Times New Roman" w:hAnsi="Times New Roman"/>
          <w:sz w:val="24"/>
        </w:rPr>
        <w:t>20 moteurs</w:t>
      </w:r>
      <w:r>
        <w:rPr>
          <w:rFonts w:ascii="Times New Roman" w:hAnsi="Times New Roman"/>
          <w:sz w:val="24"/>
        </w:rPr>
        <w:t xml:space="preserve"> pour les jeune</w:t>
      </w:r>
      <w:r w:rsidR="00495DF4">
        <w:rPr>
          <w:rFonts w:ascii="Times New Roman" w:hAnsi="Times New Roman"/>
          <w:sz w:val="24"/>
        </w:rPr>
        <w:t>s de la commune de Toubacouta ainsi que</w:t>
      </w:r>
      <w:r>
        <w:rPr>
          <w:rFonts w:ascii="Times New Roman" w:hAnsi="Times New Roman"/>
          <w:sz w:val="24"/>
        </w:rPr>
        <w:t xml:space="preserve"> d’un moulin à mil dans le village de Nema Bah.</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rPr>
        <w:t>Au titre de cette activité, une évaluation approfondie des succès et des échecs des mutuelles sera effectuée.</w:t>
      </w:r>
      <w:r>
        <w:rPr>
          <w:rFonts w:ascii="Times New Roman" w:hAnsi="Times New Roman"/>
          <w:sz w:val="24"/>
          <w:szCs w:val="20"/>
        </w:rPr>
        <w:t xml:space="preserve"> L’objectif est de comprendre les raisons pour lesquelles la Mutuelle du </w:t>
      </w:r>
      <w:r w:rsidR="00E82CB3">
        <w:rPr>
          <w:rFonts w:ascii="Times New Roman" w:hAnsi="Times New Roman"/>
          <w:sz w:val="24"/>
          <w:szCs w:val="20"/>
        </w:rPr>
        <w:t>delta du Saloum</w:t>
      </w:r>
      <w:r>
        <w:rPr>
          <w:rFonts w:ascii="Times New Roman" w:hAnsi="Times New Roman"/>
          <w:sz w:val="24"/>
          <w:szCs w:val="20"/>
        </w:rPr>
        <w:t xml:space="preserve"> fonctionne (notamment, les facteurs clés) et celles qui empêchent le bon fonctionnement des autres. En particulier, la gouvernance du comité qui sélectionne les projets à financer sera analysée. De plus, les populations ne comprennent pas les avantages qu’elles peuvent tirer de l’accès au crédit et du remboursement. Les défis de gouvernance feront l’objet d’une attention particulière. </w:t>
      </w:r>
    </w:p>
    <w:p w:rsidR="00876F2E" w:rsidRPr="007F5D87" w:rsidRDefault="00876F2E" w:rsidP="00876F2E">
      <w:pPr>
        <w:pStyle w:val="NumberedParas"/>
        <w:numPr>
          <w:ilvl w:val="0"/>
          <w:numId w:val="0"/>
        </w:numPr>
      </w:pPr>
      <w:r>
        <w:t>L’évaluation inclura au moins</w:t>
      </w:r>
      <w:r w:rsidR="002575A2">
        <w:t> :</w:t>
      </w:r>
    </w:p>
    <w:p w:rsidR="00876F2E" w:rsidRPr="007F5D87" w:rsidRDefault="008A02C1" w:rsidP="00771667">
      <w:pPr>
        <w:pStyle w:val="NumberedParas"/>
        <w:numPr>
          <w:ilvl w:val="0"/>
          <w:numId w:val="39"/>
        </w:numPr>
      </w:pPr>
      <w:r>
        <w:t>u</w:t>
      </w:r>
      <w:r w:rsidR="00876F2E">
        <w:t>ne analyse de la gouvernance.</w:t>
      </w:r>
    </w:p>
    <w:p w:rsidR="00876F2E" w:rsidRPr="007F5D87" w:rsidRDefault="008A02C1" w:rsidP="00771667">
      <w:pPr>
        <w:pStyle w:val="NumberedParas"/>
        <w:numPr>
          <w:ilvl w:val="0"/>
          <w:numId w:val="39"/>
        </w:numPr>
      </w:pPr>
      <w:r>
        <w:t>l</w:t>
      </w:r>
      <w:r w:rsidR="00876F2E">
        <w:t>a conception d’un plan stratégique pluriannuel avec des objectifs, des activités et un budget clairs.</w:t>
      </w:r>
    </w:p>
    <w:p w:rsidR="00876F2E" w:rsidRPr="007F5D87" w:rsidRDefault="008A02C1" w:rsidP="00771667">
      <w:pPr>
        <w:pStyle w:val="NumberedParas"/>
        <w:numPr>
          <w:ilvl w:val="0"/>
          <w:numId w:val="39"/>
        </w:numPr>
      </w:pPr>
      <w:r>
        <w:t>l</w:t>
      </w:r>
      <w:r w:rsidR="00876F2E">
        <w:t>a mise en œuvre d’une réforme stricte de la gouvernance de la mutuelle.</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1.3.2</w:t>
      </w:r>
      <w:r w:rsidR="002575A2">
        <w:rPr>
          <w:rFonts w:ascii="Times New Roman" w:hAnsi="Times New Roman"/>
          <w:sz w:val="24"/>
          <w:szCs w:val="20"/>
        </w:rPr>
        <w:t> :</w:t>
      </w:r>
      <w:r>
        <w:rPr>
          <w:rFonts w:ascii="Times New Roman" w:hAnsi="Times New Roman"/>
          <w:sz w:val="24"/>
          <w:szCs w:val="20"/>
        </w:rPr>
        <w:t xml:space="preserve"> Renforcer le rôle moteur de la Mutuelle de Saloum pour attirer, gérer et financer les mesures d’adaptation identifiées par les communautés vulnérables</w:t>
      </w:r>
    </w:p>
    <w:p w:rsidR="00876F2E" w:rsidRPr="007F5D87" w:rsidRDefault="00876F2E" w:rsidP="00876F2E">
      <w:pPr>
        <w:spacing w:after="0"/>
        <w:rPr>
          <w:rFonts w:ascii="Times New Roman" w:hAnsi="Times New Roman"/>
          <w:sz w:val="24"/>
        </w:rPr>
      </w:pPr>
      <w:r>
        <w:rPr>
          <w:rFonts w:ascii="Times New Roman" w:hAnsi="Times New Roman"/>
          <w:sz w:val="24"/>
        </w:rPr>
        <w:t xml:space="preserve">La Mutuelle d’épargne et de crédit du </w:t>
      </w:r>
      <w:r w:rsidR="00E82CB3">
        <w:rPr>
          <w:rFonts w:ascii="Times New Roman" w:hAnsi="Times New Roman"/>
          <w:sz w:val="24"/>
        </w:rPr>
        <w:t>delta du Saloum</w:t>
      </w:r>
      <w:r>
        <w:rPr>
          <w:rFonts w:ascii="Times New Roman" w:hAnsi="Times New Roman"/>
          <w:sz w:val="24"/>
        </w:rPr>
        <w:t xml:space="preserve"> est un outil puissant pour soutenir l’accès de la population locale aux crédits. Afin de promouvoir l’accès aux crédits agricoles, en mettant l’accent sur les activités d’</w:t>
      </w:r>
      <w:r w:rsidR="00537B55">
        <w:rPr>
          <w:rFonts w:ascii="Times New Roman" w:hAnsi="Times New Roman"/>
          <w:sz w:val="24"/>
        </w:rPr>
        <w:t>adaptation aux changements climatiques</w:t>
      </w:r>
      <w:r>
        <w:rPr>
          <w:rFonts w:ascii="Times New Roman" w:hAnsi="Times New Roman"/>
          <w:sz w:val="24"/>
        </w:rPr>
        <w:t>, elle devrait être renforcée et des partenariats avec d’autres institutions financières reconnues devraient être noués. Au titre de cette activité, les principales recommandations issues de l’évaluation approfondie (activité 1.3.1) seront mises en œuvre par le biais d’une assistance technique. Un cabinet-conseil spécialisé en microfinance rurale sera recruté pour cette activité spécifique.</w:t>
      </w:r>
      <w:r w:rsidRPr="0039204D">
        <w:rPr>
          <w:rFonts w:ascii="Times New Roman" w:hAnsi="Times New Roman"/>
          <w:sz w:val="24"/>
        </w:rPr>
        <w:t>L’analyse préliminaire et le plan d’action sont décrits en annexe </w:t>
      </w:r>
      <w:r w:rsidR="00763C77">
        <w:rPr>
          <w:rFonts w:ascii="Times New Roman" w:hAnsi="Times New Roman"/>
          <w:sz w:val="24"/>
        </w:rPr>
        <w:t>F</w:t>
      </w:r>
      <w:r>
        <w:rPr>
          <w:rFonts w:ascii="Times New Roman" w:hAnsi="Times New Roman"/>
          <w:sz w:val="24"/>
        </w:rPr>
        <w:t xml:space="preserve">. La Mutuelle du </w:t>
      </w:r>
      <w:r w:rsidR="00E82CB3">
        <w:rPr>
          <w:rFonts w:ascii="Times New Roman" w:hAnsi="Times New Roman"/>
          <w:sz w:val="24"/>
        </w:rPr>
        <w:t>delta du Saloum</w:t>
      </w:r>
      <w:r>
        <w:rPr>
          <w:rFonts w:ascii="Times New Roman" w:hAnsi="Times New Roman"/>
          <w:sz w:val="24"/>
        </w:rPr>
        <w:t xml:space="preserve"> jouera un rôle clé dans le réseau national en utilisant les autres mutuelles comme filiales lorsque cela est adéquat. </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En outre, bien que les groupements de producteurs (en particulier les groupements de femmes) soient des clients à haut potentiel, la mutuelle les prend très peu en compte, notamment en raison de leur grande vulnérabilité au</w:t>
      </w:r>
      <w:r w:rsidR="00576C37">
        <w:rPr>
          <w:rFonts w:ascii="Times New Roman" w:hAnsi="Times New Roman"/>
          <w:sz w:val="24"/>
          <w:szCs w:val="20"/>
        </w:rPr>
        <w:t>x</w:t>
      </w:r>
      <w:r>
        <w:rPr>
          <w:rFonts w:ascii="Times New Roman" w:hAnsi="Times New Roman"/>
          <w:sz w:val="24"/>
          <w:szCs w:val="20"/>
        </w:rPr>
        <w:t xml:space="preserve"> changement</w:t>
      </w:r>
      <w:r w:rsidR="00576C37">
        <w:rPr>
          <w:rFonts w:ascii="Times New Roman" w:hAnsi="Times New Roman"/>
          <w:sz w:val="24"/>
          <w:szCs w:val="20"/>
        </w:rPr>
        <w:t>s</w:t>
      </w:r>
      <w:r>
        <w:rPr>
          <w:rFonts w:ascii="Times New Roman" w:hAnsi="Times New Roman"/>
          <w:sz w:val="24"/>
          <w:szCs w:val="20"/>
        </w:rPr>
        <w:t xml:space="preserve"> climatique</w:t>
      </w:r>
      <w:r w:rsidR="00576C37">
        <w:rPr>
          <w:rFonts w:ascii="Times New Roman" w:hAnsi="Times New Roman"/>
          <w:sz w:val="24"/>
          <w:szCs w:val="20"/>
        </w:rPr>
        <w:t>s</w:t>
      </w:r>
      <w:r>
        <w:rPr>
          <w:rFonts w:ascii="Times New Roman" w:hAnsi="Times New Roman"/>
          <w:sz w:val="24"/>
          <w:szCs w:val="20"/>
        </w:rPr>
        <w:t>. Par conséquent, le projet soutiendra la stratégie visant à augmenter l’octroi de crédit à ces groupements pour des interventions d’</w:t>
      </w:r>
      <w:r w:rsidR="00537B55">
        <w:rPr>
          <w:rFonts w:ascii="Times New Roman" w:hAnsi="Times New Roman"/>
          <w:sz w:val="24"/>
          <w:szCs w:val="20"/>
        </w:rPr>
        <w:t>adaptation aux changements climatiques</w:t>
      </w:r>
      <w:r>
        <w:rPr>
          <w:rFonts w:ascii="Times New Roman" w:hAnsi="Times New Roman"/>
          <w:sz w:val="24"/>
          <w:szCs w:val="20"/>
        </w:rPr>
        <w:t xml:space="preserve"> et pour améliorer la compréhension mutuelle des avantages de la participation des petits exploitants agricoles à ces efforts d’adaptation.</w:t>
      </w:r>
    </w:p>
    <w:p w:rsidR="00876F2E" w:rsidRPr="007F5D87" w:rsidRDefault="00876F2E" w:rsidP="00876F2E">
      <w:pPr>
        <w:pStyle w:val="NumberedParas"/>
        <w:numPr>
          <w:ilvl w:val="0"/>
          <w:numId w:val="0"/>
        </w:numPr>
      </w:pPr>
      <w:r>
        <w:t>L’évaluation de l’assistance technique inclura au moins les activités suivantes</w:t>
      </w:r>
      <w:r w:rsidR="002575A2">
        <w:t> :</w:t>
      </w:r>
    </w:p>
    <w:p w:rsidR="00876F2E" w:rsidRPr="007F5D87" w:rsidRDefault="008A02C1" w:rsidP="00771667">
      <w:pPr>
        <w:pStyle w:val="Paragraphedeliste"/>
        <w:numPr>
          <w:ilvl w:val="0"/>
          <w:numId w:val="40"/>
        </w:numPr>
        <w:rPr>
          <w:rFonts w:eastAsia="Times New Roman"/>
          <w:szCs w:val="20"/>
        </w:rPr>
      </w:pPr>
      <w:r>
        <w:t>r</w:t>
      </w:r>
      <w:r w:rsidR="00876F2E">
        <w:t>enforcer la gouvernance par le biais du renforcement des capacités, l’encadrement du personnel professionnel pour la mutuelle et l’amélioration du processus d’octroi de crédits et leur remboursement</w:t>
      </w:r>
      <w:r w:rsidR="00B8712C">
        <w:t> </w:t>
      </w:r>
      <w:r w:rsidR="00876F2E">
        <w:t>;</w:t>
      </w:r>
    </w:p>
    <w:p w:rsidR="00876F2E" w:rsidRPr="007F5D87" w:rsidRDefault="008A02C1" w:rsidP="00771667">
      <w:pPr>
        <w:pStyle w:val="Paragraphedeliste"/>
        <w:numPr>
          <w:ilvl w:val="0"/>
          <w:numId w:val="40"/>
        </w:numPr>
        <w:rPr>
          <w:rFonts w:eastAsia="Times New Roman"/>
          <w:szCs w:val="20"/>
        </w:rPr>
      </w:pPr>
      <w:r>
        <w:t>t</w:t>
      </w:r>
      <w:r w:rsidR="00876F2E">
        <w:t xml:space="preserve">ransformer la Mutuelle d’épargne et de crédit du </w:t>
      </w:r>
      <w:r w:rsidR="00E82CB3">
        <w:t>delta du Saloum</w:t>
      </w:r>
      <w:r w:rsidR="00876F2E">
        <w:t xml:space="preserve"> en une mutuelle nationale travaillant avec d’autres mutuelles fonctionnelles (y compris l’amélioration du bureau de Toubacouta)</w:t>
      </w:r>
      <w:r w:rsidR="00B8712C">
        <w:t> </w:t>
      </w:r>
      <w:r w:rsidR="00876F2E">
        <w:t>;</w:t>
      </w:r>
    </w:p>
    <w:p w:rsidR="00876F2E" w:rsidRPr="007F5D87" w:rsidRDefault="008A02C1" w:rsidP="00771667">
      <w:pPr>
        <w:pStyle w:val="Paragraphedeliste"/>
        <w:numPr>
          <w:ilvl w:val="0"/>
          <w:numId w:val="40"/>
        </w:numPr>
        <w:rPr>
          <w:rFonts w:eastAsia="Times New Roman"/>
          <w:szCs w:val="20"/>
        </w:rPr>
      </w:pPr>
      <w:r>
        <w:lastRenderedPageBreak/>
        <w:t>f</w:t>
      </w:r>
      <w:r w:rsidR="00876F2E">
        <w:t>ormer le personnel de la mutuelle sur la sélection d’investissements viables présentant un fort potentiel de recouvrement de crédit, avec un accent particulier sur les investissements dans l’</w:t>
      </w:r>
      <w:r w:rsidR="00537B55">
        <w:t>adaptation aux changements climatiques</w:t>
      </w:r>
      <w:r w:rsidR="00876F2E">
        <w:t xml:space="preserve"> des groupements de producteurs et de femmes</w:t>
      </w:r>
      <w:r w:rsidR="00B8712C">
        <w:t> </w:t>
      </w:r>
      <w:r w:rsidR="00876F2E">
        <w:t>;</w:t>
      </w:r>
    </w:p>
    <w:p w:rsidR="00876F2E" w:rsidRPr="007F5D87" w:rsidRDefault="008A02C1" w:rsidP="00771667">
      <w:pPr>
        <w:pStyle w:val="Paragraphedeliste"/>
        <w:numPr>
          <w:ilvl w:val="0"/>
          <w:numId w:val="40"/>
        </w:numPr>
        <w:rPr>
          <w:rFonts w:eastAsia="Times New Roman"/>
          <w:szCs w:val="20"/>
        </w:rPr>
      </w:pPr>
      <w:r>
        <w:t>a</w:t>
      </w:r>
      <w:r w:rsidR="00876F2E">
        <w:t>ider à la sélection des groupements de producteurs à financer (y compris l’augmentation du nombre de clients) avec un accent particulier sur les interventions d’</w:t>
      </w:r>
      <w:r w:rsidR="00537B55">
        <w:t>adaptation aux changements climatiques</w:t>
      </w:r>
      <w:r w:rsidR="00B8712C">
        <w:t> </w:t>
      </w:r>
      <w:r w:rsidR="00876F2E">
        <w:t>;</w:t>
      </w:r>
    </w:p>
    <w:p w:rsidR="00876F2E" w:rsidRPr="007F5D87" w:rsidRDefault="008A02C1" w:rsidP="00771667">
      <w:pPr>
        <w:pStyle w:val="Paragraphedeliste"/>
        <w:numPr>
          <w:ilvl w:val="0"/>
          <w:numId w:val="40"/>
        </w:numPr>
        <w:rPr>
          <w:rFonts w:eastAsia="Times New Roman"/>
          <w:szCs w:val="20"/>
        </w:rPr>
      </w:pPr>
      <w:r>
        <w:t>é</w:t>
      </w:r>
      <w:r w:rsidR="00876F2E">
        <w:t>tablir des règles et des processus clairs à respecter pour la sélection des financements</w:t>
      </w:r>
      <w:r w:rsidR="00B8712C">
        <w:t> </w:t>
      </w:r>
      <w:r w:rsidR="00876F2E">
        <w:t>;</w:t>
      </w:r>
    </w:p>
    <w:p w:rsidR="00876F2E" w:rsidRPr="007F5D87" w:rsidRDefault="008A02C1" w:rsidP="00771667">
      <w:pPr>
        <w:pStyle w:val="NumberedParas"/>
        <w:numPr>
          <w:ilvl w:val="0"/>
          <w:numId w:val="39"/>
        </w:numPr>
      </w:pPr>
      <w:r>
        <w:t>c</w:t>
      </w:r>
      <w:r w:rsidR="00876F2E">
        <w:t>oncevoir une stratégie claire, détaillée étape par étape, pour augmenter le volume d’activité et augmenter la probabilité de recouvrement des crédits.</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1.3.3</w:t>
      </w:r>
      <w:r w:rsidR="002575A2">
        <w:rPr>
          <w:rFonts w:ascii="Times New Roman" w:hAnsi="Times New Roman"/>
          <w:sz w:val="24"/>
          <w:szCs w:val="20"/>
        </w:rPr>
        <w:t> :</w:t>
      </w:r>
      <w:r>
        <w:rPr>
          <w:rFonts w:ascii="Times New Roman" w:hAnsi="Times New Roman"/>
          <w:sz w:val="24"/>
          <w:szCs w:val="20"/>
        </w:rPr>
        <w:t xml:space="preserve"> Organiser des sessions de formation à l’intention des groupements de femmes afin de les outiller pour accéder à la microfinance pour le financement des activités d’adaptation au</w:t>
      </w:r>
      <w:r w:rsidR="004C60DC">
        <w:rPr>
          <w:rFonts w:ascii="Times New Roman" w:hAnsi="Times New Roman"/>
          <w:sz w:val="24"/>
          <w:szCs w:val="20"/>
        </w:rPr>
        <w:t>x</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w:t>
      </w:r>
      <w:r w:rsidR="004C60DC">
        <w:rPr>
          <w:rFonts w:ascii="Times New Roman" w:hAnsi="Times New Roman"/>
          <w:sz w:val="24"/>
          <w:szCs w:val="20"/>
        </w:rPr>
        <w:t>iques</w:t>
      </w:r>
      <w:r w:rsidR="008A02C1">
        <w:rPr>
          <w:rFonts w:ascii="Times New Roman" w:hAnsi="Times New Roman"/>
          <w:sz w:val="24"/>
          <w:szCs w:val="20"/>
        </w:rPr>
        <w:t>.</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Au titre de cette activité, au moins 40 sessions de formation seront organisées à l’intention des groupements de femmes sur</w:t>
      </w:r>
      <w:r w:rsidR="003B7D35">
        <w:rPr>
          <w:rFonts w:ascii="Times New Roman" w:hAnsi="Times New Roman"/>
          <w:sz w:val="24"/>
          <w:szCs w:val="20"/>
        </w:rPr>
        <w:t> : i) </w:t>
      </w:r>
      <w:r>
        <w:rPr>
          <w:rFonts w:ascii="Times New Roman" w:hAnsi="Times New Roman"/>
          <w:sz w:val="24"/>
          <w:szCs w:val="20"/>
        </w:rPr>
        <w:t>la compréhension de la microfinance</w:t>
      </w:r>
      <w:r w:rsidR="0095414C">
        <w:rPr>
          <w:rFonts w:ascii="Times New Roman" w:hAnsi="Times New Roman"/>
          <w:sz w:val="24"/>
          <w:szCs w:val="20"/>
        </w:rPr>
        <w:t> </w:t>
      </w:r>
      <w:r w:rsidR="00680A0D">
        <w:rPr>
          <w:rFonts w:ascii="Times New Roman" w:hAnsi="Times New Roman"/>
          <w:sz w:val="24"/>
          <w:szCs w:val="20"/>
        </w:rPr>
        <w:t>; ii</w:t>
      </w:r>
      <w:r w:rsidR="003B7D35">
        <w:rPr>
          <w:rFonts w:ascii="Times New Roman" w:hAnsi="Times New Roman"/>
          <w:sz w:val="24"/>
          <w:szCs w:val="20"/>
        </w:rPr>
        <w:t>) </w:t>
      </w:r>
      <w:r>
        <w:rPr>
          <w:rFonts w:ascii="Times New Roman" w:hAnsi="Times New Roman"/>
          <w:sz w:val="24"/>
          <w:szCs w:val="20"/>
        </w:rPr>
        <w:t>les responsabilités et les rôles de chacune des pa</w:t>
      </w:r>
      <w:r w:rsidR="003B7D35">
        <w:rPr>
          <w:rFonts w:ascii="Times New Roman" w:hAnsi="Times New Roman"/>
          <w:sz w:val="24"/>
          <w:szCs w:val="20"/>
        </w:rPr>
        <w:t>rties dans le cadre d’un crédit ; iii) </w:t>
      </w:r>
      <w:r>
        <w:rPr>
          <w:rFonts w:ascii="Times New Roman" w:hAnsi="Times New Roman"/>
          <w:sz w:val="24"/>
          <w:szCs w:val="20"/>
        </w:rPr>
        <w:t>l’entrepren</w:t>
      </w:r>
      <w:r w:rsidR="00DA7D20">
        <w:rPr>
          <w:rFonts w:ascii="Times New Roman" w:hAnsi="Times New Roman"/>
          <w:sz w:val="24"/>
          <w:szCs w:val="20"/>
        </w:rPr>
        <w:t>eu</w:t>
      </w:r>
      <w:r>
        <w:rPr>
          <w:rFonts w:ascii="Times New Roman" w:hAnsi="Times New Roman"/>
          <w:sz w:val="24"/>
          <w:szCs w:val="20"/>
        </w:rPr>
        <w:t>riat et l’aide à l’entreprise, en tenant compte des défis d</w:t>
      </w:r>
      <w:r w:rsidR="004C60DC">
        <w:rPr>
          <w:rFonts w:ascii="Times New Roman" w:hAnsi="Times New Roman"/>
          <w:sz w:val="24"/>
          <w:szCs w:val="20"/>
        </w:rPr>
        <w:t xml:space="preserve">es </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xml:space="preserve"> et des options d’adaptation, etc.</w:t>
      </w:r>
    </w:p>
    <w:p w:rsidR="00876F2E" w:rsidRPr="007F5D87" w:rsidRDefault="00876F2E" w:rsidP="00876F2E">
      <w:pPr>
        <w:spacing w:after="0"/>
        <w:rPr>
          <w:rFonts w:ascii="Times New Roman" w:eastAsia="Times New Roman" w:hAnsi="Times New Roman"/>
          <w:sz w:val="24"/>
          <w:szCs w:val="20"/>
        </w:rPr>
      </w:pPr>
    </w:p>
    <w:tbl>
      <w:tblPr>
        <w:tblStyle w:val="Grilledutableau"/>
        <w:tblW w:w="0" w:type="auto"/>
        <w:tblLook w:val="04A0" w:firstRow="1" w:lastRow="0" w:firstColumn="1" w:lastColumn="0" w:noHBand="0" w:noVBand="1"/>
      </w:tblPr>
      <w:tblGrid>
        <w:gridCol w:w="9350"/>
      </w:tblGrid>
      <w:tr w:rsidR="00876F2E" w:rsidRPr="007F5D87" w:rsidTr="00A444DE">
        <w:tc>
          <w:tcPr>
            <w:tcW w:w="9500" w:type="dxa"/>
          </w:tcPr>
          <w:p w:rsidR="00876F2E" w:rsidRPr="007F5D87" w:rsidRDefault="00876F2E" w:rsidP="00A444DE">
            <w:pPr>
              <w:spacing w:after="0"/>
              <w:jc w:val="center"/>
              <w:rPr>
                <w:rFonts w:ascii="Times New Roman" w:eastAsia="Times New Roman" w:hAnsi="Times New Roman"/>
                <w:sz w:val="24"/>
                <w:szCs w:val="20"/>
              </w:rPr>
            </w:pPr>
            <w:r>
              <w:rPr>
                <w:rFonts w:ascii="Times New Roman" w:hAnsi="Times New Roman"/>
                <w:noProof/>
                <w:sz w:val="24"/>
                <w:szCs w:val="20"/>
              </w:rPr>
              <w:drawing>
                <wp:inline distT="0" distB="0" distL="0" distR="0" wp14:anchorId="25277A25" wp14:editId="7685AA17">
                  <wp:extent cx="3695148" cy="215944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95148" cy="2159440"/>
                          </a:xfrm>
                          <a:prstGeom prst="rect">
                            <a:avLst/>
                          </a:prstGeom>
                          <a:noFill/>
                          <a:ln>
                            <a:noFill/>
                          </a:ln>
                        </pic:spPr>
                      </pic:pic>
                    </a:graphicData>
                  </a:graphic>
                </wp:inline>
              </w:drawing>
            </w:r>
          </w:p>
        </w:tc>
      </w:tr>
      <w:tr w:rsidR="00876F2E" w:rsidRPr="007F5D87" w:rsidTr="00A444DE">
        <w:tc>
          <w:tcPr>
            <w:tcW w:w="9500" w:type="dxa"/>
          </w:tcPr>
          <w:p w:rsidR="00876F2E" w:rsidRPr="007F5D87" w:rsidRDefault="00384043" w:rsidP="00A444DE">
            <w:pPr>
              <w:pStyle w:val="NumberedParas"/>
              <w:numPr>
                <w:ilvl w:val="0"/>
                <w:numId w:val="0"/>
              </w:numPr>
              <w:jc w:val="center"/>
              <w:rPr>
                <w:b/>
                <w:i/>
              </w:rPr>
            </w:pPr>
            <w:r>
              <w:rPr>
                <w:b/>
                <w:i/>
                <w:sz w:val="22"/>
              </w:rPr>
              <w:t>Figure </w:t>
            </w:r>
            <w:r w:rsidR="00DD457B" w:rsidRPr="007F5D87">
              <w:rPr>
                <w:b/>
                <w:i/>
                <w:sz w:val="22"/>
              </w:rPr>
              <w:fldChar w:fldCharType="begin"/>
            </w:r>
            <w:r w:rsidR="00876F2E" w:rsidRPr="007F5D87">
              <w:rPr>
                <w:b/>
                <w:i/>
                <w:sz w:val="22"/>
              </w:rPr>
              <w:instrText xml:space="preserve"> SEQ Figure \* ARABIC </w:instrText>
            </w:r>
            <w:r w:rsidR="00DD457B" w:rsidRPr="007F5D87">
              <w:rPr>
                <w:b/>
                <w:i/>
                <w:sz w:val="22"/>
              </w:rPr>
              <w:fldChar w:fldCharType="separate"/>
            </w:r>
            <w:r w:rsidR="009375FA">
              <w:rPr>
                <w:b/>
                <w:i/>
                <w:noProof/>
                <w:sz w:val="22"/>
              </w:rPr>
              <w:t>6</w:t>
            </w:r>
            <w:r w:rsidR="00DD457B" w:rsidRPr="007F5D87">
              <w:rPr>
                <w:b/>
                <w:i/>
                <w:sz w:val="22"/>
              </w:rPr>
              <w:fldChar w:fldCharType="end"/>
            </w:r>
            <w:r>
              <w:rPr>
                <w:b/>
                <w:i/>
                <w:sz w:val="22"/>
              </w:rPr>
              <w:t> </w:t>
            </w:r>
            <w:r w:rsidR="00876F2E">
              <w:rPr>
                <w:b/>
                <w:i/>
                <w:sz w:val="22"/>
              </w:rPr>
              <w:t>: Formation des groupements de femmes sur la microfinance dans la commune de Linkering (source</w:t>
            </w:r>
            <w:r w:rsidR="002575A2">
              <w:rPr>
                <w:b/>
                <w:i/>
                <w:sz w:val="22"/>
              </w:rPr>
              <w:t> :</w:t>
            </w:r>
            <w:r w:rsidR="00876F2E">
              <w:rPr>
                <w:b/>
                <w:i/>
                <w:sz w:val="22"/>
              </w:rPr>
              <w:t xml:space="preserve"> phase de préparation du projet)</w:t>
            </w:r>
          </w:p>
        </w:tc>
      </w:tr>
    </w:tbl>
    <w:p w:rsidR="00876F2E" w:rsidRPr="007F5D87" w:rsidRDefault="00876F2E" w:rsidP="00876F2E">
      <w:pPr>
        <w:spacing w:after="0"/>
        <w:rPr>
          <w:rFonts w:ascii="Times New Roman" w:eastAsia="Times New Roman" w:hAnsi="Times New Roman"/>
          <w:sz w:val="24"/>
          <w:szCs w:val="20"/>
        </w:rPr>
      </w:pPr>
    </w:p>
    <w:p w:rsidR="00876F2E" w:rsidRPr="007E3761"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1.3.4</w:t>
      </w:r>
      <w:r w:rsidR="002575A2">
        <w:rPr>
          <w:rFonts w:ascii="Times New Roman" w:hAnsi="Times New Roman"/>
          <w:sz w:val="24"/>
          <w:szCs w:val="20"/>
        </w:rPr>
        <w:t> :</w:t>
      </w:r>
      <w:r>
        <w:rPr>
          <w:rFonts w:ascii="Times New Roman" w:hAnsi="Times New Roman"/>
          <w:sz w:val="24"/>
          <w:szCs w:val="20"/>
        </w:rPr>
        <w:t xml:space="preserve"> Établir des partenariats avec d’autres institutions de microfinance pour concevoir des produits financiers résilients face au</w:t>
      </w:r>
      <w:r w:rsidR="004C60DC">
        <w:rPr>
          <w:rFonts w:ascii="Times New Roman" w:hAnsi="Times New Roman"/>
          <w:sz w:val="24"/>
          <w:szCs w:val="20"/>
        </w:rPr>
        <w:t>x</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 xml:space="preserve">L’une des principales réalisations du réseau de mutuelles d’épargne et de crédit a été l’octroi de crédits aux populations rurales isolées. Ces zones rurales ont été considérées comme non bancables au cours des dernières décennies par les institutions de microfinance traditionnelles. Il ressort des nombreux entretiens réalisés avec les directeurs généraux des institutions de microfinance au cours de la phase de préparation du projet </w:t>
      </w:r>
      <w:r w:rsidRPr="0039204D">
        <w:rPr>
          <w:rFonts w:ascii="Times New Roman" w:hAnsi="Times New Roman"/>
          <w:sz w:val="24"/>
          <w:szCs w:val="20"/>
        </w:rPr>
        <w:t>(voir annexe </w:t>
      </w:r>
      <w:r w:rsidR="0039204D">
        <w:rPr>
          <w:rFonts w:ascii="Times New Roman" w:hAnsi="Times New Roman"/>
          <w:sz w:val="24"/>
          <w:szCs w:val="20"/>
        </w:rPr>
        <w:t>F</w:t>
      </w:r>
      <w:r w:rsidRPr="0039204D">
        <w:rPr>
          <w:rFonts w:ascii="Times New Roman" w:hAnsi="Times New Roman"/>
          <w:sz w:val="24"/>
          <w:szCs w:val="20"/>
        </w:rPr>
        <w:t>)</w:t>
      </w:r>
      <w:r>
        <w:rPr>
          <w:rFonts w:ascii="Times New Roman" w:hAnsi="Times New Roman"/>
          <w:sz w:val="24"/>
          <w:szCs w:val="20"/>
        </w:rPr>
        <w:t>que celles-ci montre</w:t>
      </w:r>
      <w:r w:rsidR="00DA7D20">
        <w:rPr>
          <w:rFonts w:ascii="Times New Roman" w:hAnsi="Times New Roman"/>
          <w:sz w:val="24"/>
          <w:szCs w:val="20"/>
        </w:rPr>
        <w:t xml:space="preserve">nt </w:t>
      </w:r>
      <w:r>
        <w:rPr>
          <w:rFonts w:ascii="Times New Roman" w:hAnsi="Times New Roman"/>
          <w:sz w:val="24"/>
          <w:szCs w:val="20"/>
        </w:rPr>
        <w:t xml:space="preserve">un intérêt grandissant pour ces populations éloignées. Par exemple, sur le site du </w:t>
      </w:r>
      <w:r w:rsidR="00E82CB3">
        <w:rPr>
          <w:rFonts w:ascii="Times New Roman" w:hAnsi="Times New Roman"/>
          <w:sz w:val="24"/>
          <w:szCs w:val="20"/>
        </w:rPr>
        <w:t>delta du Saloum</w:t>
      </w:r>
      <w:r>
        <w:rPr>
          <w:rFonts w:ascii="Times New Roman" w:hAnsi="Times New Roman"/>
          <w:sz w:val="24"/>
          <w:szCs w:val="20"/>
        </w:rPr>
        <w:t xml:space="preserve">, la croissance rapide de la population et les revenus croissants des activités (noix de cajou, mangues, sésame, céréales, etc.) observés ces 5 dernières années ont modifié la vision de ces institutions. Cependant, les institutions de microfinance traditionnelles manquent de capacités et d’informations sur les effets </w:t>
      </w:r>
      <w:r>
        <w:rPr>
          <w:rFonts w:ascii="Times New Roman" w:hAnsi="Times New Roman"/>
          <w:sz w:val="24"/>
          <w:szCs w:val="20"/>
        </w:rPr>
        <w:lastRenderedPageBreak/>
        <w:t>d</w:t>
      </w:r>
      <w:r w:rsidR="004C60DC">
        <w:rPr>
          <w:rFonts w:ascii="Times New Roman" w:hAnsi="Times New Roman"/>
          <w:sz w:val="24"/>
          <w:szCs w:val="20"/>
        </w:rPr>
        <w:t>es</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Ils ne disposent d’aucune stratégie p</w:t>
      </w:r>
      <w:r w:rsidR="00AE3BD3">
        <w:rPr>
          <w:rFonts w:ascii="Times New Roman" w:hAnsi="Times New Roman"/>
          <w:sz w:val="24"/>
          <w:szCs w:val="20"/>
        </w:rPr>
        <w:t>our couvrir les risques liés au</w:t>
      </w:r>
      <w:r>
        <w:rPr>
          <w:rFonts w:ascii="Times New Roman" w:hAnsi="Times New Roman"/>
          <w:sz w:val="24"/>
          <w:szCs w:val="20"/>
        </w:rPr>
        <w:t xml:space="preserve"> climat auxquels les exploitants agricoles sont exposés.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Les partenariats entre les mutuelles d’épargne et de crédit et les institutions de microfinance sont à saluer à leur juste valeur et seront soutenus par le projet. Les institutions de microfinance disposent du savoir-faire et des réseaux d’information nécessaires pour suivre un grand nombre de petites transactions. Ces atouts sont particulièrement pertinents dans le contexte de l’adaptation, qui nécessitera le financement de milliers d’actions impliquant des changements et des ajustements aux pratiques existantes. Le réseau de mutuelles d’épargne et de crédit justifie d’une forte expérience (y compris de succès et d’échec) de la microfinance dans les zones rurales.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Le projet financé par le</w:t>
      </w:r>
      <w:r w:rsidR="004C60DC">
        <w:rPr>
          <w:rFonts w:ascii="Times New Roman" w:hAnsi="Times New Roman"/>
          <w:sz w:val="24"/>
          <w:szCs w:val="20"/>
        </w:rPr>
        <w:t>s</w:t>
      </w:r>
      <w:r>
        <w:rPr>
          <w:rFonts w:ascii="Times New Roman" w:hAnsi="Times New Roman"/>
          <w:sz w:val="24"/>
          <w:szCs w:val="20"/>
        </w:rPr>
        <w:t xml:space="preserve"> Fonds PMA soutiendra la mise en place de partenariats entre le réseau de mutuelles et les autres institutions de microfinance (pendant la phase de préparation du projet, nombre d’entre elles ont montré un intérêt à tirer parti de l’expérience des mutuelles et à développer une stratégie et des actions pour permettre aux villageois vivant dans les zones reculées et impliqués dans le projet d’accéder aux crédits). Cela concernera les éléments « crédit plus » qui comprennent le développement d’un environnement propice approprié, la formation et le développement des compétences, le contrôle et l’application de la discipline fiscale, tant par les prêteurs que par les emprunteurs. Les institutions de microfinance bénéficieront du renforcement des capacités en matière de compréhension d</w:t>
      </w:r>
      <w:r w:rsidR="004C60DC">
        <w:rPr>
          <w:rFonts w:ascii="Times New Roman" w:hAnsi="Times New Roman"/>
          <w:sz w:val="24"/>
          <w:szCs w:val="20"/>
        </w:rPr>
        <w:t>es</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de la capitalisation du réseau de mutuelles d’épargne et de crédit et du soutien technique pour concevoir un produit financier pour l’</w:t>
      </w:r>
      <w:r w:rsidR="00537B55">
        <w:rPr>
          <w:rFonts w:ascii="Times New Roman" w:hAnsi="Times New Roman"/>
          <w:sz w:val="24"/>
          <w:szCs w:val="20"/>
        </w:rPr>
        <w:t>adaptation aux changements climatiques</w:t>
      </w:r>
      <w:r>
        <w:rPr>
          <w:rFonts w:ascii="Times New Roman" w:hAnsi="Times New Roman"/>
          <w:sz w:val="24"/>
          <w:szCs w:val="20"/>
        </w:rPr>
        <w:t>. Les mutuelles, quant à elles, bénéficieront de l’expérience et de l’assistance technique des institutions de microfinance pour développer leurs activités.</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p>
    <w:p w:rsidR="00876F2E" w:rsidRPr="007E3761"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1.4</w:t>
      </w:r>
      <w:r w:rsidR="002575A2">
        <w:rPr>
          <w:rFonts w:ascii="Times New Roman" w:hAnsi="Times New Roman"/>
          <w:b/>
          <w:i/>
          <w:sz w:val="24"/>
          <w:szCs w:val="20"/>
        </w:rPr>
        <w:t> :</w:t>
      </w:r>
      <w:r>
        <w:rPr>
          <w:rFonts w:ascii="Times New Roman" w:hAnsi="Times New Roman"/>
          <w:b/>
          <w:i/>
          <w:sz w:val="24"/>
          <w:szCs w:val="20"/>
        </w:rPr>
        <w:t xml:space="preserve"> </w:t>
      </w:r>
      <w:r>
        <w:rPr>
          <w:rFonts w:ascii="Times New Roman" w:hAnsi="Times New Roman"/>
          <w:b/>
          <w:bCs/>
          <w:i/>
          <w:iCs/>
          <w:sz w:val="24"/>
          <w:szCs w:val="20"/>
        </w:rPr>
        <w:t>Renforcer les capacités pour identifier les interventions d’adaptation prioritaires, mobiliser des fonds et gérer des projets et en assurer le suivi</w:t>
      </w:r>
    </w:p>
    <w:p w:rsidR="00876F2E" w:rsidRPr="007E3761" w:rsidRDefault="00876F2E" w:rsidP="00876F2E">
      <w:pPr>
        <w:pStyle w:val="NumberedParas"/>
        <w:numPr>
          <w:ilvl w:val="0"/>
          <w:numId w:val="0"/>
        </w:numPr>
      </w:pPr>
    </w:p>
    <w:p w:rsidR="00876F2E" w:rsidRPr="007E3761" w:rsidRDefault="00876F2E" w:rsidP="00876F2E">
      <w:pPr>
        <w:pStyle w:val="NumberedParas"/>
      </w:pPr>
      <w:r>
        <w:t>Au titre de ce produit, le projet financé par le</w:t>
      </w:r>
      <w:r w:rsidR="004C60DC">
        <w:t>s</w:t>
      </w:r>
      <w:r>
        <w:t xml:space="preserve"> Fonds PMA offrira des formations visant à améliorer les connaissances du personnel communal et de la société civile locale sur le</w:t>
      </w:r>
      <w:r w:rsidR="004C60DC">
        <w:t>s</w:t>
      </w:r>
      <w:r>
        <w:t xml:space="preserve"> changement</w:t>
      </w:r>
      <w:r w:rsidR="004C60DC">
        <w:t>s</w:t>
      </w:r>
      <w:r>
        <w:t xml:space="preserve"> climatique</w:t>
      </w:r>
      <w:r w:rsidR="004C60DC">
        <w:t>s</w:t>
      </w:r>
      <w:r>
        <w:t>. Ces connaissances informeront et soutiendront la gestion des projets d’</w:t>
      </w:r>
      <w:r w:rsidR="00537B55">
        <w:t>adaptation aux changements climatiques</w:t>
      </w:r>
      <w:r>
        <w:t>, ce qui est essentiel pour concevoir des options et un appui réalisables, crédibles et utiles en la matière. Le projet soutiendra également le personnel qui sera recruté par la commune ou le groupement d’intérêt communautaire (par exemple à Gandon-Gandiole) pour définir les interventions d’adaptation prioritaires, mobiliser des fonds et assurer le suivi des microprojets. La formation dispensée au titre de ce produit favorisera la mobilisation d’un financement supplémentaire accru pour les mesures d’adaptation.</w:t>
      </w:r>
    </w:p>
    <w:p w:rsidR="00876F2E" w:rsidRPr="007E3761" w:rsidRDefault="00876F2E" w:rsidP="00876F2E">
      <w:pPr>
        <w:rPr>
          <w:rFonts w:ascii="Times New Roman" w:hAnsi="Times New Roman"/>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1.4.1</w:t>
      </w:r>
      <w:r w:rsidR="002575A2">
        <w:rPr>
          <w:rFonts w:ascii="Times New Roman" w:hAnsi="Times New Roman"/>
          <w:sz w:val="24"/>
          <w:szCs w:val="20"/>
        </w:rPr>
        <w:t> :</w:t>
      </w:r>
      <w:r>
        <w:rPr>
          <w:rFonts w:ascii="Times New Roman" w:hAnsi="Times New Roman"/>
          <w:sz w:val="24"/>
          <w:szCs w:val="20"/>
        </w:rPr>
        <w:t xml:space="preserve"> Former la société civile locale et le personnel communal ou du groupement d’intérêt communautaire à identifier les options d’adaptation et à gérer les microprojets</w:t>
      </w:r>
    </w:p>
    <w:p w:rsidR="00876F2E" w:rsidRPr="007E3761" w:rsidRDefault="00876F2E" w:rsidP="00876F2E">
      <w:pPr>
        <w:rPr>
          <w:rFonts w:ascii="Times New Roman" w:hAnsi="Times New Roman"/>
          <w:sz w:val="24"/>
          <w:szCs w:val="20"/>
        </w:rPr>
      </w:pPr>
      <w:r>
        <w:rPr>
          <w:rFonts w:ascii="Times New Roman" w:hAnsi="Times New Roman"/>
          <w:sz w:val="24"/>
          <w:szCs w:val="20"/>
        </w:rPr>
        <w:t>Les formations seront organisées autour des questions suivantes</w:t>
      </w:r>
      <w:r w:rsidR="002575A2">
        <w:rPr>
          <w:rFonts w:ascii="Times New Roman" w:hAnsi="Times New Roman"/>
          <w:sz w:val="24"/>
          <w:szCs w:val="20"/>
        </w:rPr>
        <w:t> :</w:t>
      </w:r>
      <w:r w:rsidR="008A02C1">
        <w:rPr>
          <w:rFonts w:ascii="Times New Roman" w:hAnsi="Times New Roman"/>
          <w:sz w:val="24"/>
          <w:szCs w:val="20"/>
        </w:rPr>
        <w:t xml:space="preserve"> q</w:t>
      </w:r>
      <w:r>
        <w:rPr>
          <w:rFonts w:ascii="Times New Roman" w:hAnsi="Times New Roman"/>
          <w:sz w:val="24"/>
          <w:szCs w:val="20"/>
        </w:rPr>
        <w:t>uels défis doivent être relevés ? Comment la société civile peut-elle accéder au financement (fondation, appel à projets, etc.) ? Comment concevoir un projet durable d’</w:t>
      </w:r>
      <w:r w:rsidR="00537B55">
        <w:rPr>
          <w:rFonts w:ascii="Times New Roman" w:hAnsi="Times New Roman"/>
          <w:sz w:val="24"/>
          <w:szCs w:val="20"/>
        </w:rPr>
        <w:t>adaptation aux changements climatiques</w:t>
      </w:r>
      <w:r>
        <w:rPr>
          <w:rFonts w:ascii="Times New Roman" w:hAnsi="Times New Roman"/>
          <w:sz w:val="24"/>
          <w:szCs w:val="20"/>
        </w:rPr>
        <w:t xml:space="preserve"> ? Quels sont les </w:t>
      </w:r>
      <w:r w:rsidR="008A02C1">
        <w:rPr>
          <w:rFonts w:ascii="Times New Roman" w:hAnsi="Times New Roman"/>
          <w:sz w:val="24"/>
          <w:szCs w:val="20"/>
        </w:rPr>
        <w:t>principaux facteurs de succès ?</w:t>
      </w:r>
    </w:p>
    <w:p w:rsidR="00876F2E" w:rsidRPr="007E3761" w:rsidRDefault="00876F2E" w:rsidP="00876F2E">
      <w:pPr>
        <w:rPr>
          <w:rFonts w:ascii="Times New Roman" w:hAnsi="Times New Roman"/>
          <w:sz w:val="24"/>
          <w:szCs w:val="20"/>
        </w:rPr>
      </w:pPr>
      <w:r>
        <w:rPr>
          <w:rFonts w:ascii="Times New Roman" w:hAnsi="Times New Roman"/>
          <w:sz w:val="24"/>
          <w:szCs w:val="20"/>
        </w:rPr>
        <w:t>Cette activité</w:t>
      </w:r>
      <w:r w:rsidR="00B8712C">
        <w:rPr>
          <w:rFonts w:ascii="Times New Roman" w:hAnsi="Times New Roman"/>
          <w:sz w:val="24"/>
          <w:szCs w:val="20"/>
        </w:rPr>
        <w:t xml:space="preserve"> comprend les actions suivantes</w:t>
      </w:r>
      <w:r w:rsidR="002575A2">
        <w:rPr>
          <w:rFonts w:ascii="Times New Roman" w:hAnsi="Times New Roman"/>
          <w:sz w:val="24"/>
          <w:szCs w:val="20"/>
        </w:rPr>
        <w:t> :</w:t>
      </w:r>
    </w:p>
    <w:p w:rsidR="00876F2E" w:rsidRPr="007E3761" w:rsidRDefault="008A02C1" w:rsidP="00771667">
      <w:pPr>
        <w:pStyle w:val="Paragraphedeliste"/>
        <w:numPr>
          <w:ilvl w:val="0"/>
          <w:numId w:val="39"/>
        </w:numPr>
        <w:rPr>
          <w:szCs w:val="20"/>
        </w:rPr>
      </w:pPr>
      <w:r>
        <w:t>m</w:t>
      </w:r>
      <w:r w:rsidR="00876F2E">
        <w:t>ener des campagnes de sensibilisation sur les effets du changement climatique</w:t>
      </w:r>
      <w:r w:rsidR="00B8712C">
        <w:t> </w:t>
      </w:r>
      <w:r w:rsidR="00876F2E">
        <w:t>;</w:t>
      </w:r>
    </w:p>
    <w:p w:rsidR="00876F2E" w:rsidRPr="007E3761" w:rsidRDefault="008A02C1" w:rsidP="00771667">
      <w:pPr>
        <w:pStyle w:val="Paragraphedeliste"/>
        <w:numPr>
          <w:ilvl w:val="0"/>
          <w:numId w:val="39"/>
        </w:numPr>
        <w:rPr>
          <w:szCs w:val="20"/>
        </w:rPr>
      </w:pPr>
      <w:r>
        <w:lastRenderedPageBreak/>
        <w:t>f</w:t>
      </w:r>
      <w:r w:rsidR="00876F2E">
        <w:t>ormer la société civile à identifier des options d’</w:t>
      </w:r>
      <w:r w:rsidR="00537B55">
        <w:t>adaptation aux changements climatiques</w:t>
      </w:r>
      <w:r w:rsidR="00876F2E">
        <w:t xml:space="preserve"> réussies et pertinentes et les formuler de manière convaincante pour accéder au financement climatique</w:t>
      </w:r>
      <w:r w:rsidR="00B8712C">
        <w:t> </w:t>
      </w:r>
      <w:r w:rsidR="00876F2E">
        <w:t>;</w:t>
      </w:r>
    </w:p>
    <w:p w:rsidR="00876F2E" w:rsidRPr="007E3761" w:rsidRDefault="008A02C1" w:rsidP="00771667">
      <w:pPr>
        <w:pStyle w:val="Paragraphedeliste"/>
        <w:numPr>
          <w:ilvl w:val="0"/>
          <w:numId w:val="39"/>
        </w:numPr>
        <w:rPr>
          <w:szCs w:val="20"/>
        </w:rPr>
      </w:pPr>
      <w:r>
        <w:t>c</w:t>
      </w:r>
      <w:r w:rsidR="00876F2E">
        <w:t>artographier les sources de financement climatique non gouvernementales existantes</w:t>
      </w:r>
      <w:r w:rsidR="00B8712C">
        <w:t> </w:t>
      </w:r>
      <w:r w:rsidR="00876F2E">
        <w:t>; une base de données sera conçue et mise à jour par l’unité de gestion du projet avec des informations clés qui faciliteraient l’accès au financement climatique.</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1.4.2</w:t>
      </w:r>
      <w:r w:rsidR="002575A2">
        <w:rPr>
          <w:rFonts w:ascii="Times New Roman" w:hAnsi="Times New Roman"/>
          <w:sz w:val="24"/>
          <w:szCs w:val="20"/>
          <w:u w:val="single"/>
        </w:rPr>
        <w:t> :</w:t>
      </w:r>
      <w:r w:rsidR="00B8712C">
        <w:rPr>
          <w:rFonts w:ascii="Times New Roman" w:hAnsi="Times New Roman"/>
          <w:sz w:val="24"/>
          <w:szCs w:val="20"/>
        </w:rPr>
        <w:t xml:space="preserve"> c</w:t>
      </w:r>
      <w:r>
        <w:rPr>
          <w:rFonts w:ascii="Times New Roman" w:hAnsi="Times New Roman"/>
          <w:sz w:val="24"/>
          <w:szCs w:val="20"/>
        </w:rPr>
        <w:t>oncevoir une stratégie de financement pour l’</w:t>
      </w:r>
      <w:r w:rsidR="00537B55">
        <w:rPr>
          <w:rFonts w:ascii="Times New Roman" w:hAnsi="Times New Roman"/>
          <w:sz w:val="24"/>
          <w:szCs w:val="20"/>
        </w:rPr>
        <w:t>adaptation aux changements climatiques</w:t>
      </w:r>
      <w:r>
        <w:rPr>
          <w:rFonts w:ascii="Times New Roman" w:hAnsi="Times New Roman"/>
          <w:sz w:val="24"/>
          <w:szCs w:val="20"/>
        </w:rPr>
        <w:t xml:space="preserve"> et renforcer les capacités des communes ou des groupements d’intérêt communautaire à mobiliser les fonds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Cette activité soutiendra la formulation d’une stratégie qui identifiera les instruments financiers pour la mise en œuvre du plan d’action local d’adaptation et permettra aux communes ou au groupement d’intérêt communautaire de se doter de capacités plus fortes pour définir les interventions prioritaires et mobiliser le financement climatique.</w:t>
      </w:r>
    </w:p>
    <w:p w:rsidR="00876F2E" w:rsidRPr="007E3761" w:rsidRDefault="00876F2E" w:rsidP="00876F2E">
      <w:pPr>
        <w:rPr>
          <w:rFonts w:ascii="Times New Roman" w:hAnsi="Times New Roman"/>
          <w:sz w:val="24"/>
          <w:szCs w:val="20"/>
        </w:rPr>
      </w:pPr>
      <w:r>
        <w:rPr>
          <w:rFonts w:ascii="Times New Roman" w:hAnsi="Times New Roman"/>
          <w:sz w:val="24"/>
          <w:szCs w:val="20"/>
        </w:rPr>
        <w:t>Pour atteindre cet objectif, la méthodologie suivante sera appliquée</w:t>
      </w:r>
      <w:r w:rsidR="002575A2">
        <w:rPr>
          <w:rFonts w:ascii="Times New Roman" w:hAnsi="Times New Roman"/>
          <w:sz w:val="24"/>
          <w:szCs w:val="20"/>
        </w:rPr>
        <w:t> :</w:t>
      </w:r>
    </w:p>
    <w:p w:rsidR="00876F2E" w:rsidRPr="007E3761" w:rsidRDefault="008A02C1" w:rsidP="00771667">
      <w:pPr>
        <w:pStyle w:val="Paragraphedeliste"/>
        <w:numPr>
          <w:ilvl w:val="0"/>
          <w:numId w:val="49"/>
        </w:numPr>
        <w:jc w:val="both"/>
        <w:rPr>
          <w:szCs w:val="20"/>
        </w:rPr>
      </w:pPr>
      <w:r>
        <w:t>u</w:t>
      </w:r>
      <w:r w:rsidR="00876F2E">
        <w:t>ne typologie des sources potentielles de financement sera définie (voir activité 1.1.3). Elle distingue les sources internes (financement public ainsi que revenus directs des chaînes de valeur, voir produit 1.2) des sources externes de financement.</w:t>
      </w:r>
    </w:p>
    <w:p w:rsidR="00876F2E" w:rsidRPr="007E3761" w:rsidRDefault="008A02C1" w:rsidP="00771667">
      <w:pPr>
        <w:pStyle w:val="Paragraphedeliste"/>
        <w:numPr>
          <w:ilvl w:val="0"/>
          <w:numId w:val="49"/>
        </w:numPr>
        <w:jc w:val="both"/>
        <w:rPr>
          <w:szCs w:val="20"/>
        </w:rPr>
      </w:pPr>
      <w:r>
        <w:t>e</w:t>
      </w:r>
      <w:r w:rsidR="00876F2E">
        <w:t>nsuite, le besoin financier pour la mise en œuvre du plan d’action d’</w:t>
      </w:r>
      <w:r w:rsidR="00537B55">
        <w:t>adaptation aux changements climatiques</w:t>
      </w:r>
      <w:r w:rsidR="00876F2E">
        <w:t xml:space="preserve"> sera évalué (à partir du produit 1.1) et la source de financement interne sera évaluée.</w:t>
      </w:r>
    </w:p>
    <w:p w:rsidR="00876F2E" w:rsidRPr="007E3761" w:rsidRDefault="008A02C1" w:rsidP="00771667">
      <w:pPr>
        <w:pStyle w:val="Paragraphedeliste"/>
        <w:numPr>
          <w:ilvl w:val="0"/>
          <w:numId w:val="49"/>
        </w:numPr>
        <w:jc w:val="both"/>
        <w:rPr>
          <w:szCs w:val="20"/>
        </w:rPr>
      </w:pPr>
      <w:r>
        <w:t>a</w:t>
      </w:r>
      <w:r w:rsidR="00876F2E">
        <w:t>fin de combler le fossé avec les financements extérieurs, diverses sources d’information seront examinées (sites Internet, guides des donateurs, lignes directrices des appels à propositions) pour comprendre les différents calendriers de soumission des donateurs, les jalons, l’admissibilité des coûts et la gamme de financement, les exigences de cofinancement, etc.).</w:t>
      </w:r>
    </w:p>
    <w:p w:rsidR="00876F2E" w:rsidRPr="007E3761" w:rsidRDefault="008A02C1" w:rsidP="00771667">
      <w:pPr>
        <w:pStyle w:val="Paragraphedeliste"/>
        <w:numPr>
          <w:ilvl w:val="0"/>
          <w:numId w:val="49"/>
        </w:numPr>
        <w:jc w:val="both"/>
        <w:rPr>
          <w:szCs w:val="20"/>
        </w:rPr>
      </w:pPr>
      <w:r>
        <w:t>l</w:t>
      </w:r>
      <w:r w:rsidR="00876F2E">
        <w:t>es résultats de l’examen seront parfois ajustés par l’analyse fondée sur les expériences des experts en matière de conception et de gestion des projets de coopération et de développement (par exemple, la notation des niveaux de difficulté).</w:t>
      </w:r>
    </w:p>
    <w:p w:rsidR="00876F2E" w:rsidRPr="007E3761" w:rsidRDefault="008A02C1" w:rsidP="00771667">
      <w:pPr>
        <w:pStyle w:val="Paragraphedeliste"/>
        <w:numPr>
          <w:ilvl w:val="0"/>
          <w:numId w:val="49"/>
        </w:numPr>
        <w:jc w:val="both"/>
        <w:rPr>
          <w:szCs w:val="20"/>
        </w:rPr>
      </w:pPr>
      <w:r>
        <w:t>s</w:t>
      </w:r>
      <w:r w:rsidR="00876F2E">
        <w:t>ur la base de ces conclusions, une stratégie et des outils de développement de partenariats pour sécuriser les financements extérieurs seront élaborés.</w:t>
      </w:r>
    </w:p>
    <w:p w:rsidR="00876F2E" w:rsidRPr="007E3761" w:rsidRDefault="00876F2E" w:rsidP="00771667">
      <w:pPr>
        <w:pStyle w:val="Paragraphedeliste"/>
        <w:numPr>
          <w:ilvl w:val="1"/>
          <w:numId w:val="49"/>
        </w:numPr>
        <w:jc w:val="both"/>
        <w:rPr>
          <w:szCs w:val="20"/>
        </w:rPr>
      </w:pPr>
      <w:r>
        <w:t>Une stratégie organisationnelle caractérisée par l’affectation d’une équipe chargée du développement du partenariat</w:t>
      </w:r>
      <w:r w:rsidR="00B8712C">
        <w:t> </w:t>
      </w:r>
      <w:r>
        <w:t>;</w:t>
      </w:r>
    </w:p>
    <w:p w:rsidR="00876F2E" w:rsidRPr="007E3761" w:rsidRDefault="00876F2E" w:rsidP="00771667">
      <w:pPr>
        <w:pStyle w:val="Paragraphedeliste"/>
        <w:numPr>
          <w:ilvl w:val="1"/>
          <w:numId w:val="49"/>
        </w:numPr>
        <w:jc w:val="both"/>
        <w:rPr>
          <w:szCs w:val="20"/>
        </w:rPr>
      </w:pPr>
      <w:r>
        <w:t>Un « guide » pour aider l’équipe de projet à gérer la recherche d’appels à propositions et le suivi budgétaire.</w:t>
      </w:r>
    </w:p>
    <w:p w:rsidR="00876F2E" w:rsidRPr="00AE3BD3"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rPr>
        <w:t>Le projet renforcera également les capacités des communes ou du groupement d’intérêt communautaire à identifier les défis climatiques prioritaires et les options d’adaptation pertinentes, à identifier les sources de financement climatique et à superviser la mise en œuvre appropriée des microprojets d’adaptation. L’agence régionale de développement organisera des sessions de formation à l’intention des communes ou le groupement d’intérêt communautaire afin de les outiller pour</w:t>
      </w:r>
      <w:r w:rsidR="003B7D35">
        <w:rPr>
          <w:rFonts w:ascii="Times New Roman" w:hAnsi="Times New Roman"/>
          <w:sz w:val="24"/>
          <w:szCs w:val="20"/>
        </w:rPr>
        <w:t> : i) </w:t>
      </w:r>
      <w:r>
        <w:rPr>
          <w:rFonts w:ascii="Times New Roman" w:hAnsi="Times New Roman"/>
          <w:sz w:val="24"/>
          <w:szCs w:val="20"/>
        </w:rPr>
        <w:t>modérer les activités d’identification des options d’adaptation entre les communes impliquées dans les RNC et en partenariat avec d’a</w:t>
      </w:r>
      <w:r w:rsidR="003B7D35">
        <w:rPr>
          <w:rFonts w:ascii="Times New Roman" w:hAnsi="Times New Roman"/>
          <w:sz w:val="24"/>
          <w:szCs w:val="20"/>
        </w:rPr>
        <w:t>utres parties prenantes locales ; ii) </w:t>
      </w:r>
      <w:r>
        <w:rPr>
          <w:rFonts w:ascii="Times New Roman" w:hAnsi="Times New Roman"/>
          <w:sz w:val="24"/>
          <w:szCs w:val="20"/>
        </w:rPr>
        <w:t>identifier des s</w:t>
      </w:r>
      <w:r w:rsidR="003B7D35">
        <w:rPr>
          <w:rFonts w:ascii="Times New Roman" w:hAnsi="Times New Roman"/>
          <w:sz w:val="24"/>
          <w:szCs w:val="20"/>
        </w:rPr>
        <w:t>ources de financement adéquates ; iii) </w:t>
      </w:r>
      <w:r>
        <w:rPr>
          <w:rFonts w:ascii="Times New Roman" w:hAnsi="Times New Roman"/>
          <w:sz w:val="24"/>
          <w:szCs w:val="20"/>
        </w:rPr>
        <w:t xml:space="preserve">donner des orientations sur la formulation d’une </w:t>
      </w:r>
      <w:r>
        <w:rPr>
          <w:rFonts w:ascii="Times New Roman" w:hAnsi="Times New Roman"/>
          <w:sz w:val="24"/>
          <w:szCs w:val="20"/>
        </w:rPr>
        <w:lastRenderedPageBreak/>
        <w:t>demande convaincante de financement clim</w:t>
      </w:r>
      <w:r w:rsidR="003B7D35">
        <w:rPr>
          <w:rFonts w:ascii="Times New Roman" w:hAnsi="Times New Roman"/>
          <w:sz w:val="24"/>
          <w:szCs w:val="20"/>
        </w:rPr>
        <w:t>atique ; iv) </w:t>
      </w:r>
      <w:r>
        <w:rPr>
          <w:rFonts w:ascii="Times New Roman" w:hAnsi="Times New Roman"/>
          <w:sz w:val="24"/>
          <w:szCs w:val="20"/>
        </w:rPr>
        <w:t>assurer le suivi des projets ainsi que l’évaluation de ceux qui sont mis en œuvre.</w:t>
      </w:r>
    </w:p>
    <w:p w:rsidR="00876F2E" w:rsidRPr="007E3761" w:rsidRDefault="00E82CB3" w:rsidP="00876F2E">
      <w:pPr>
        <w:rPr>
          <w:rFonts w:ascii="Times New Roman" w:hAnsi="Times New Roman"/>
          <w:sz w:val="24"/>
          <w:szCs w:val="20"/>
        </w:rPr>
      </w:pPr>
      <w:r>
        <w:rPr>
          <w:rFonts w:ascii="Times New Roman" w:hAnsi="Times New Roman"/>
          <w:sz w:val="24"/>
          <w:szCs w:val="20"/>
        </w:rPr>
        <w:t>En particulier, sur le site du d</w:t>
      </w:r>
      <w:r w:rsidR="00876F2E">
        <w:rPr>
          <w:rFonts w:ascii="Times New Roman" w:hAnsi="Times New Roman"/>
          <w:sz w:val="24"/>
          <w:szCs w:val="20"/>
        </w:rPr>
        <w:t xml:space="preserve">elta du fleuve Sénégal, le groupement d’intérêt communautaire sera renforcé. </w:t>
      </w:r>
      <w:r w:rsidR="00876F2E">
        <w:rPr>
          <w:rFonts w:ascii="Times New Roman" w:hAnsi="Times New Roman"/>
          <w:sz w:val="24"/>
        </w:rPr>
        <w:t>Un cadre de concertation intercommunautaire a été mis en place avec le soutien de l’ONG Le Partenariat et le défi consiste à mettre en œuvre le Plan intercommunal de sauvegarde et de gestion de la mangrove (PISGM).</w:t>
      </w:r>
      <w:r w:rsidR="00876F2E">
        <w:rPr>
          <w:rFonts w:ascii="Times New Roman" w:hAnsi="Times New Roman"/>
          <w:sz w:val="24"/>
          <w:szCs w:val="20"/>
        </w:rPr>
        <w:t xml:space="preserve"> Le groupement d’intérêt communal</w:t>
      </w:r>
      <w:r w:rsidR="008A02C1">
        <w:rPr>
          <w:rFonts w:ascii="Times New Roman" w:hAnsi="Times New Roman"/>
          <w:sz w:val="24"/>
          <w:szCs w:val="20"/>
        </w:rPr>
        <w:t> :</w:t>
      </w:r>
      <w:r w:rsidR="00876F2E">
        <w:rPr>
          <w:rFonts w:ascii="Times New Roman" w:hAnsi="Times New Roman"/>
          <w:sz w:val="24"/>
          <w:szCs w:val="20"/>
        </w:rPr>
        <w:t xml:space="preserve"> </w:t>
      </w:r>
      <w:r w:rsidR="00876F2E" w:rsidRPr="008A02C1">
        <w:rPr>
          <w:rFonts w:ascii="Times New Roman" w:hAnsi="Times New Roman"/>
          <w:sz w:val="24"/>
          <w:szCs w:val="20"/>
        </w:rPr>
        <w:t>i)</w:t>
      </w:r>
      <w:r w:rsidR="008A02C1" w:rsidRPr="008A02C1">
        <w:rPr>
          <w:rFonts w:ascii="Times New Roman" w:hAnsi="Times New Roman"/>
          <w:sz w:val="24"/>
          <w:szCs w:val="20"/>
        </w:rPr>
        <w:t> </w:t>
      </w:r>
      <w:r w:rsidR="00876F2E" w:rsidRPr="008A02C1">
        <w:rPr>
          <w:rFonts w:ascii="Times New Roman" w:hAnsi="Times New Roman"/>
          <w:sz w:val="24"/>
          <w:szCs w:val="20"/>
        </w:rPr>
        <w:t>identifiera</w:t>
      </w:r>
      <w:r w:rsidR="00876F2E">
        <w:rPr>
          <w:rFonts w:ascii="Times New Roman" w:hAnsi="Times New Roman"/>
          <w:sz w:val="24"/>
          <w:szCs w:val="20"/>
        </w:rPr>
        <w:t xml:space="preserve"> et définira clairement les options d’adap</w:t>
      </w:r>
      <w:r w:rsidR="008A02C1">
        <w:rPr>
          <w:rFonts w:ascii="Times New Roman" w:hAnsi="Times New Roman"/>
          <w:sz w:val="24"/>
          <w:szCs w:val="20"/>
        </w:rPr>
        <w:t>tation ; ii) </w:t>
      </w:r>
      <w:r w:rsidR="00876F2E">
        <w:rPr>
          <w:rFonts w:ascii="Times New Roman" w:hAnsi="Times New Roman"/>
          <w:sz w:val="24"/>
          <w:szCs w:val="20"/>
        </w:rPr>
        <w:t>identifiera et mobilisera</w:t>
      </w:r>
      <w:r w:rsidR="008A02C1">
        <w:rPr>
          <w:rFonts w:ascii="Times New Roman" w:hAnsi="Times New Roman"/>
          <w:sz w:val="24"/>
          <w:szCs w:val="20"/>
        </w:rPr>
        <w:t xml:space="preserve"> le financement pour le PISGM ; iii) </w:t>
      </w:r>
      <w:r w:rsidR="00876F2E">
        <w:rPr>
          <w:rFonts w:ascii="Times New Roman" w:hAnsi="Times New Roman"/>
          <w:sz w:val="24"/>
          <w:szCs w:val="20"/>
        </w:rPr>
        <w:t>assurera le suiv</w:t>
      </w:r>
      <w:r w:rsidR="008A02C1">
        <w:rPr>
          <w:rFonts w:ascii="Times New Roman" w:hAnsi="Times New Roman"/>
          <w:sz w:val="24"/>
          <w:szCs w:val="20"/>
        </w:rPr>
        <w:t>i de la mise en œuvre du PISGM.</w:t>
      </w:r>
    </w:p>
    <w:p w:rsidR="00876F2E" w:rsidRPr="007E3761" w:rsidRDefault="00876F2E" w:rsidP="00876F2E">
      <w:pPr>
        <w:rPr>
          <w:rFonts w:ascii="Times New Roman" w:hAnsi="Times New Roman"/>
          <w:sz w:val="24"/>
          <w:szCs w:val="20"/>
        </w:rPr>
      </w:pP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u w:val="single"/>
        </w:rPr>
        <w:t>Activité 1.4.3</w:t>
      </w:r>
      <w:r>
        <w:rPr>
          <w:rFonts w:ascii="Times New Roman" w:hAnsi="Times New Roman"/>
          <w:sz w:val="24"/>
          <w:szCs w:val="20"/>
        </w:rPr>
        <w:t> : Renforcer les capacités des Comités intervillageois de développement en termes d’adaptation aux changements climatiques et de suivi efficace de la mise en œuvre des mesures en la matière</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La mise en œuvre de projets agit comme catalyseur des changements sur les territoires, mais le défi consiste à maintenir cette dynamique dans le temps une fois ceux-ci achevés. Avec près de quinze (15) ans d’intervention sur ces quatre sites, le Gouvernement sénégalais, avec le concours du FEM et du PNUD, a mis en place des CVD et des CIVD qui sont les acteurs clés au niveau local. Cette activité les aidera à : i) se doter de meilleures capacités en matière d’adaptation aux changements climatiques ; ii) constituer des fédérations régionales et nationales de CIVD (ONG) ; iii) gérer et contrôler la mise en œuvre des activités d’adaptation aux changements climatiques.</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 xml:space="preserve">Les jeunes issus des communes participeront à cette activité par le biais d’actions de médiation et d’éducation à l’adaptation aux changements climatiques. Ce type de volontariat constituera une opportunité d’insertion professionnelle pour les jeunes diplômés (tremplin vers un premier emploi), comme cela a déjà été observé dans d’autres projets financés par le FEM (par exemple, en Guinée Bissau). </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Le volontaire communal sera responsable des activités suivantes :</w:t>
      </w:r>
    </w:p>
    <w:p w:rsidR="00F25222" w:rsidRPr="007E3761" w:rsidRDefault="00F25222" w:rsidP="00F25222">
      <w:pPr>
        <w:pStyle w:val="Paragraphedeliste"/>
        <w:numPr>
          <w:ilvl w:val="0"/>
          <w:numId w:val="39"/>
        </w:numPr>
        <w:rPr>
          <w:rFonts w:eastAsia="Times New Roman"/>
          <w:szCs w:val="20"/>
        </w:rPr>
      </w:pPr>
      <w:r>
        <w:t>servir de passerelle entre les populations, les associations de développement local et la commune ou le groupement d’intérêt communautaire ;</w:t>
      </w:r>
    </w:p>
    <w:p w:rsidR="00F25222" w:rsidRPr="007E3761" w:rsidRDefault="00F25222" w:rsidP="00F25222">
      <w:pPr>
        <w:pStyle w:val="Paragraphedeliste"/>
        <w:numPr>
          <w:ilvl w:val="0"/>
          <w:numId w:val="39"/>
        </w:numPr>
        <w:rPr>
          <w:szCs w:val="20"/>
        </w:rPr>
      </w:pPr>
      <w:r>
        <w:t>participer aux activités modératrices mises en place par les communes ou le groupement d’intérêt communautaire ;</w:t>
      </w:r>
    </w:p>
    <w:p w:rsidR="00F25222" w:rsidRPr="007E3761" w:rsidRDefault="00F25222" w:rsidP="00F25222">
      <w:pPr>
        <w:pStyle w:val="Paragraphedeliste"/>
        <w:numPr>
          <w:ilvl w:val="0"/>
          <w:numId w:val="39"/>
        </w:numPr>
        <w:rPr>
          <w:szCs w:val="20"/>
        </w:rPr>
      </w:pPr>
      <w:r>
        <w:t>mettre en œuvre des actions de sensibilisation sur l’adaptation aux changements climatiques ;</w:t>
      </w:r>
    </w:p>
    <w:p w:rsidR="00F25222" w:rsidRPr="007E3761" w:rsidRDefault="00F25222" w:rsidP="00F25222">
      <w:pPr>
        <w:pStyle w:val="Paragraphedeliste"/>
        <w:numPr>
          <w:ilvl w:val="0"/>
          <w:numId w:val="39"/>
        </w:numPr>
        <w:rPr>
          <w:szCs w:val="20"/>
        </w:rPr>
      </w:pPr>
      <w:r>
        <w:t>contribuer à l’identification des projets d’adaptation aux changements climatiques.</w:t>
      </w:r>
    </w:p>
    <w:p w:rsidR="00F25222" w:rsidRPr="007E3761" w:rsidRDefault="00F25222" w:rsidP="00F25222">
      <w:pPr>
        <w:rPr>
          <w:szCs w:val="20"/>
        </w:rPr>
      </w:pPr>
    </w:p>
    <w:p w:rsidR="00F25222" w:rsidRPr="007E3761" w:rsidRDefault="00F25222" w:rsidP="00F25222">
      <w:pPr>
        <w:rPr>
          <w:rFonts w:ascii="Times New Roman" w:hAnsi="Times New Roman"/>
          <w:sz w:val="24"/>
        </w:rPr>
      </w:pPr>
      <w:r>
        <w:rPr>
          <w:rFonts w:ascii="Times New Roman" w:hAnsi="Times New Roman"/>
          <w:sz w:val="24"/>
        </w:rPr>
        <w:t>Critères de sélection des volontaires :</w:t>
      </w:r>
    </w:p>
    <w:p w:rsidR="00F25222" w:rsidRPr="007E3761" w:rsidRDefault="00F25222" w:rsidP="00F25222">
      <w:pPr>
        <w:pStyle w:val="Paragraphedeliste"/>
        <w:numPr>
          <w:ilvl w:val="0"/>
          <w:numId w:val="39"/>
        </w:numPr>
      </w:pPr>
      <w:r>
        <w:t>motivés et engagés tout au long de leur parcours de vie (il leur sera demandé de raconté leur histoire)</w:t>
      </w:r>
    </w:p>
    <w:p w:rsidR="00F25222" w:rsidRPr="007E3761" w:rsidRDefault="00F25222" w:rsidP="00F25222">
      <w:pPr>
        <w:pStyle w:val="Paragraphedeliste"/>
        <w:numPr>
          <w:ilvl w:val="0"/>
          <w:numId w:val="39"/>
        </w:numPr>
      </w:pPr>
      <w:r>
        <w:t>titulaires du BAC - capables de lire et écrire (Français, Peul, Mandingue et Wolof)</w:t>
      </w:r>
    </w:p>
    <w:p w:rsidR="00F25222" w:rsidRPr="007E3761" w:rsidRDefault="00F25222" w:rsidP="00F25222">
      <w:pPr>
        <w:pStyle w:val="Paragraphedeliste"/>
        <w:numPr>
          <w:ilvl w:val="0"/>
          <w:numId w:val="39"/>
        </w:numPr>
      </w:pPr>
      <w:r>
        <w:t>très bonnes compétences d’expression</w:t>
      </w:r>
    </w:p>
    <w:p w:rsidR="00F25222" w:rsidRPr="007E3761" w:rsidRDefault="00F25222" w:rsidP="00F25222">
      <w:pPr>
        <w:pStyle w:val="Paragraphedeliste"/>
        <w:numPr>
          <w:ilvl w:val="0"/>
          <w:numId w:val="39"/>
        </w:numPr>
      </w:pPr>
      <w:r>
        <w:t>vivre dans la zone</w:t>
      </w:r>
    </w:p>
    <w:p w:rsidR="00F25222" w:rsidRPr="007E3761" w:rsidRDefault="00F25222" w:rsidP="00F25222">
      <w:pPr>
        <w:rPr>
          <w:rFonts w:ascii="Times New Roman" w:hAnsi="Times New Roman"/>
          <w:sz w:val="24"/>
        </w:rPr>
      </w:pPr>
      <w:r>
        <w:rPr>
          <w:rFonts w:ascii="Times New Roman" w:hAnsi="Times New Roman"/>
          <w:sz w:val="24"/>
        </w:rPr>
        <w:t xml:space="preserve">Ces volontaires toucheront une rémunération de 50 000 FCFA par mois en fonction des résultats obtenus (listes de présence aux réunions </w:t>
      </w:r>
      <w:r w:rsidRPr="00F66811">
        <w:rPr>
          <w:rFonts w:ascii="Times New Roman" w:hAnsi="Times New Roman"/>
          <w:sz w:val="24"/>
        </w:rPr>
        <w:t>+ affiches I, les villages). Les communes cofinanceront  leur rémunération à hauteur de 50 %. Ils suivront également</w:t>
      </w:r>
      <w:r>
        <w:rPr>
          <w:rFonts w:ascii="Times New Roman" w:hAnsi="Times New Roman"/>
          <w:sz w:val="24"/>
        </w:rPr>
        <w:t xml:space="preserve"> une formation en leadership. </w:t>
      </w:r>
    </w:p>
    <w:p w:rsidR="00F25222" w:rsidRPr="007E3761" w:rsidRDefault="00F25222" w:rsidP="00F25222">
      <w:pPr>
        <w:rPr>
          <w:rFonts w:ascii="Times New Roman" w:hAnsi="Times New Roman"/>
          <w:sz w:val="24"/>
          <w:szCs w:val="20"/>
        </w:rPr>
      </w:pPr>
    </w:p>
    <w:p w:rsidR="00F25222" w:rsidRPr="007E3761" w:rsidRDefault="00F25222" w:rsidP="00F25222">
      <w:pPr>
        <w:pStyle w:val="NumberedParas"/>
        <w:numPr>
          <w:ilvl w:val="0"/>
          <w:numId w:val="0"/>
        </w:numPr>
      </w:pPr>
    </w:p>
    <w:p w:rsidR="00F25222" w:rsidRPr="007E3761" w:rsidRDefault="00F25222" w:rsidP="00F25222">
      <w:pPr>
        <w:shd w:val="clear" w:color="auto" w:fill="D6E3BC"/>
        <w:spacing w:before="120" w:after="120"/>
        <w:rPr>
          <w:rFonts w:ascii="Times New Roman" w:hAnsi="Times New Roman"/>
          <w:sz w:val="24"/>
        </w:rPr>
      </w:pPr>
      <w:r>
        <w:rPr>
          <w:rFonts w:ascii="Times New Roman" w:hAnsi="Times New Roman"/>
          <w:b/>
          <w:sz w:val="24"/>
          <w:u w:val="single"/>
        </w:rPr>
        <w:lastRenderedPageBreak/>
        <w:t>Composante 2 :</w:t>
      </w:r>
      <w:r>
        <w:rPr>
          <w:rFonts w:ascii="Times New Roman" w:hAnsi="Times New Roman"/>
          <w:sz w:val="24"/>
        </w:rPr>
        <w:t xml:space="preserve"> Investissements et adoption de pratiques résilientes diversifiées par les communautés vulnérables</w:t>
      </w:r>
    </w:p>
    <w:p w:rsidR="00F25222" w:rsidRPr="007E3761" w:rsidRDefault="00F25222" w:rsidP="00F25222">
      <w:pPr>
        <w:rPr>
          <w:rFonts w:ascii="Times New Roman" w:hAnsi="Times New Roman"/>
          <w:sz w:val="24"/>
        </w:rPr>
      </w:pPr>
      <w:r>
        <w:rPr>
          <w:rFonts w:ascii="Times New Roman" w:hAnsi="Times New Roman"/>
          <w:b/>
          <w:sz w:val="24"/>
          <w:u w:val="single"/>
        </w:rPr>
        <w:t>Résultat 2 :</w:t>
      </w:r>
      <w:r>
        <w:rPr>
          <w:rFonts w:ascii="Times New Roman" w:hAnsi="Times New Roman"/>
          <w:b/>
          <w:sz w:val="24"/>
        </w:rPr>
        <w:t xml:space="preserve"> </w:t>
      </w:r>
      <w:r>
        <w:rPr>
          <w:rFonts w:ascii="Times New Roman" w:hAnsi="Times New Roman"/>
          <w:sz w:val="24"/>
        </w:rPr>
        <w:t>Des investissements et des pratiques de subsistance diversifiés et résilients aux changements climatiques adoptés par les ménages et les producteurs vulnérables (en particulier les groupements de femmes) en tant que stratégies clés de gestion des risques</w:t>
      </w:r>
    </w:p>
    <w:p w:rsidR="00F25222" w:rsidRPr="007E3761" w:rsidRDefault="00F25222" w:rsidP="00F25222">
      <w:pPr>
        <w:rPr>
          <w:rFonts w:ascii="Times New Roman" w:hAnsi="Times New Roman"/>
          <w:sz w:val="24"/>
          <w:szCs w:val="20"/>
        </w:rPr>
      </w:pPr>
      <w:r>
        <w:rPr>
          <w:rFonts w:ascii="Times New Roman" w:hAnsi="Times New Roman"/>
          <w:sz w:val="24"/>
          <w:szCs w:val="20"/>
        </w:rPr>
        <w:t xml:space="preserve">Montant du cofinancement pour le résultat 2 : 27 266 694 US dollars </w:t>
      </w:r>
    </w:p>
    <w:p w:rsidR="00F25222" w:rsidRPr="007E3761" w:rsidRDefault="00F25222" w:rsidP="00F25222">
      <w:pPr>
        <w:rPr>
          <w:rFonts w:ascii="Times New Roman" w:hAnsi="Times New Roman"/>
          <w:sz w:val="24"/>
          <w:szCs w:val="20"/>
        </w:rPr>
      </w:pPr>
      <w:r>
        <w:rPr>
          <w:rFonts w:ascii="Times New Roman" w:hAnsi="Times New Roman"/>
          <w:sz w:val="24"/>
          <w:szCs w:val="20"/>
        </w:rPr>
        <w:t xml:space="preserve">Subvention du projet demandée au Fonds pour les PMA : </w:t>
      </w:r>
      <w:r w:rsidRPr="00F14F9C">
        <w:rPr>
          <w:rFonts w:ascii="Times New Roman" w:hAnsi="Times New Roman"/>
          <w:sz w:val="24"/>
          <w:szCs w:val="20"/>
        </w:rPr>
        <w:t>4 200 000 US</w:t>
      </w:r>
      <w:r>
        <w:rPr>
          <w:rFonts w:ascii="Times New Roman" w:hAnsi="Times New Roman"/>
          <w:sz w:val="24"/>
          <w:szCs w:val="20"/>
        </w:rPr>
        <w:t xml:space="preserve"> dollars </w:t>
      </w:r>
    </w:p>
    <w:p w:rsidR="00F25222" w:rsidRPr="007E3761" w:rsidRDefault="00F25222" w:rsidP="00F25222">
      <w:pPr>
        <w:spacing w:after="0"/>
        <w:rPr>
          <w:rFonts w:ascii="Times New Roman" w:eastAsia="Times New Roman" w:hAnsi="Times New Roman"/>
          <w:i/>
          <w:sz w:val="24"/>
          <w:szCs w:val="20"/>
          <w:u w:val="single"/>
        </w:rPr>
      </w:pPr>
    </w:p>
    <w:p w:rsidR="00F25222" w:rsidRPr="007E3761" w:rsidRDefault="00F25222" w:rsidP="00F25222">
      <w:pPr>
        <w:spacing w:after="0"/>
        <w:rPr>
          <w:rFonts w:ascii="Times New Roman" w:eastAsia="Times New Roman" w:hAnsi="Times New Roman"/>
          <w:i/>
          <w:sz w:val="24"/>
          <w:szCs w:val="20"/>
          <w:u w:val="single"/>
        </w:rPr>
      </w:pPr>
      <w:r>
        <w:rPr>
          <w:rFonts w:ascii="Times New Roman" w:hAnsi="Times New Roman"/>
          <w:i/>
          <w:sz w:val="24"/>
          <w:szCs w:val="20"/>
          <w:u w:val="single"/>
        </w:rPr>
        <w:t>Sans intervention du Fonds pour les PMA (situation de référence)</w:t>
      </w:r>
    </w:p>
    <w:p w:rsidR="00F25222" w:rsidRPr="007E3761" w:rsidRDefault="00F25222" w:rsidP="00F25222">
      <w:pPr>
        <w:pStyle w:val="NumberedParas"/>
        <w:numPr>
          <w:ilvl w:val="0"/>
          <w:numId w:val="0"/>
        </w:numPr>
      </w:pPr>
    </w:p>
    <w:p w:rsidR="00F25222" w:rsidRPr="007F5D87" w:rsidRDefault="00F25222" w:rsidP="00F25222">
      <w:pPr>
        <w:pStyle w:val="NumberedParas"/>
      </w:pPr>
      <w:r>
        <w:t>À l’heure actuelle, la variabilité climatique et les changements ont une incidence plus forte sur les ménages individuels, au-delà de leur incidence sur les systèmes agricoles (voir la section sur le défi du développement). Le changement climatique est une réalité au Sénégal qui conduit à plus d’incertitudes sur le climat et l’élévation du niveau de la mer. Cette incertitude accrue, conjuguée à la faible capacité de gestion des risques climatiques et au nombre limité de mécanismes d’adaptation disponibles, est susceptible de créer des obstacles supplémentaires pour les ménages, en particulier les femmes, dans l’atteinte de la sécurité alimentaire.</w:t>
      </w:r>
    </w:p>
    <w:p w:rsidR="00F25222" w:rsidRPr="007F5D87" w:rsidRDefault="00F25222" w:rsidP="00F25222">
      <w:pPr>
        <w:pStyle w:val="NumberedParas"/>
        <w:numPr>
          <w:ilvl w:val="0"/>
          <w:numId w:val="0"/>
        </w:numPr>
      </w:pPr>
    </w:p>
    <w:p w:rsidR="00F25222" w:rsidRDefault="00F25222" w:rsidP="00F25222">
      <w:pPr>
        <w:pStyle w:val="NumberedParas"/>
      </w:pPr>
      <w:r>
        <w:t>La Figure 8 illustre les anomalies des précipitations moyennes de JAS a</w:t>
      </w:r>
      <w:r w:rsidRPr="00F66811">
        <w:t>u Sahel (10oW-30oE ; 10o-20oN) au cours des 20e</w:t>
      </w:r>
      <w:r>
        <w:t xml:space="preserve"> et 21e siècles sur la base des modèles CMIP5. Les lignes marron et verte représentent les deux anomalies de précipitations extrêmes du Sahel simulées par GFDL-ESM2M et MIROC-ESM. Les anomalies dans les précipitations tirées d’autres modèles climatiques sont indiquées par les lignes grises. Les anomalies sont les différences par rapport à la moyenne historique et toutes les séries chronologiques sont lissées à l’aide d’une moyenne de cinq ans. Cette figure met en évidence l’augmentation de l’incertitude dans les précipitations, qui a des effets immédiats sur la prise de décision des agriculteurs, y compris le moment le plus approprié pour semer, appliquer des intrants ou récolter.</w:t>
      </w: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Pr="007F5D87" w:rsidRDefault="00F25222" w:rsidP="00F25222">
      <w:pPr>
        <w:pStyle w:val="NumberedParas"/>
        <w:numPr>
          <w:ilvl w:val="0"/>
          <w:numId w:val="0"/>
        </w:numPr>
        <w:ind w:left="360" w:hanging="360"/>
      </w:pPr>
    </w:p>
    <w:p w:rsidR="00F25222" w:rsidRDefault="00F25222" w:rsidP="00F25222">
      <w:pPr>
        <w:pStyle w:val="NumberedParas"/>
        <w:numPr>
          <w:ilvl w:val="0"/>
          <w:numId w:val="0"/>
        </w:numPr>
        <w:jc w:val="center"/>
        <w:rPr>
          <w:b/>
        </w:rPr>
      </w:pPr>
      <w:r>
        <w:rPr>
          <w:b/>
          <w:noProof/>
          <w:lang w:eastAsia="fr-FR"/>
        </w:rPr>
        <w:lastRenderedPageBreak/>
        <w:drawing>
          <wp:anchor distT="0" distB="0" distL="114300" distR="114300" simplePos="0" relativeHeight="251750400" behindDoc="0" locked="0" layoutInCell="1" allowOverlap="0" wp14:anchorId="3406FC03" wp14:editId="0AFEC6E1">
            <wp:simplePos x="0" y="0"/>
            <wp:positionH relativeFrom="page">
              <wp:posOffset>1878965</wp:posOffset>
            </wp:positionH>
            <wp:positionV relativeFrom="paragraph">
              <wp:posOffset>78740</wp:posOffset>
            </wp:positionV>
            <wp:extent cx="4079875" cy="2522220"/>
            <wp:effectExtent l="19050" t="0" r="0" b="0"/>
            <wp:wrapTopAndBottom/>
            <wp:docPr id="1122" name="Image 1031" descr="http://www.mpimet.mpg.de/fileadmin/_migrated/RTE/RTEmagicC_140115_Bader_Sahel_rainfall.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imet.mpg.de/fileadmin/_migrated/RTE/RTEmagicC_140115_Bader_Sahel_rainfall.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9875" cy="2522220"/>
                    </a:xfrm>
                    <a:prstGeom prst="rect">
                      <a:avLst/>
                    </a:prstGeom>
                    <a:noFill/>
                    <a:ln>
                      <a:noFill/>
                    </a:ln>
                  </pic:spPr>
                </pic:pic>
              </a:graphicData>
            </a:graphic>
          </wp:anchor>
        </w:drawing>
      </w:r>
    </w:p>
    <w:p w:rsidR="00F25222" w:rsidRDefault="00F25222" w:rsidP="00F25222">
      <w:pPr>
        <w:pStyle w:val="NumberedParas"/>
        <w:numPr>
          <w:ilvl w:val="0"/>
          <w:numId w:val="0"/>
        </w:numPr>
        <w:jc w:val="center"/>
        <w:rPr>
          <w:b/>
        </w:rPr>
      </w:pPr>
    </w:p>
    <w:p w:rsidR="00F25222" w:rsidRPr="007F5D87" w:rsidRDefault="00F25222" w:rsidP="00F25222">
      <w:pPr>
        <w:pStyle w:val="NumberedParas"/>
        <w:numPr>
          <w:ilvl w:val="0"/>
          <w:numId w:val="0"/>
        </w:numPr>
        <w:jc w:val="center"/>
        <w:rPr>
          <w:b/>
        </w:rPr>
      </w:pPr>
      <w:r>
        <w:rPr>
          <w:b/>
        </w:rPr>
        <w:t>Figure 8 : Incertitudes futures concernant les précipitations au Sahel</w:t>
      </w:r>
    </w:p>
    <w:p w:rsidR="00F25222" w:rsidRPr="007F5D87" w:rsidRDefault="00F25222" w:rsidP="00F25222">
      <w:pPr>
        <w:pStyle w:val="NumberedParas"/>
        <w:numPr>
          <w:ilvl w:val="0"/>
          <w:numId w:val="0"/>
        </w:numPr>
      </w:pPr>
    </w:p>
    <w:p w:rsidR="00F25222" w:rsidRPr="007F5D87" w:rsidRDefault="00F25222" w:rsidP="00F25222">
      <w:pPr>
        <w:pStyle w:val="NumberedParas"/>
      </w:pPr>
      <w:r>
        <w:t>Le</w:t>
      </w:r>
      <w:r w:rsidR="0039391E">
        <w:t>s</w:t>
      </w:r>
      <w:r>
        <w:t xml:space="preserve"> changement</w:t>
      </w:r>
      <w:r w:rsidR="0039391E">
        <w:t>s</w:t>
      </w:r>
      <w:r>
        <w:t xml:space="preserve"> climatique</w:t>
      </w:r>
      <w:r w:rsidR="0039391E">
        <w:t>s</w:t>
      </w:r>
      <w:r>
        <w:t xml:space="preserve"> indui</w:t>
      </w:r>
      <w:r w:rsidR="0039391E">
        <w:t>sen</w:t>
      </w:r>
      <w:r>
        <w:t>t également un haut degré d’incertitude en ce qui concerne les systèmes de production au Sénégal, en particulier ceux dépendant des ressources naturelles. Sans intervention, la variabilité climatique et les changements actuels continueront d’affecter les cycles saisonniers et d’autres paramètres agroclimatiques et de menacer directement la production de denrées alimentaires de base et les activités génératrices de revenus pour les communautés rurales ; ils auront par extension des implications potentiellement graves pour la situation déjà précaire de la sécurité alimentaire, la migration et l’intégrité des écosystèmes pour l’ensemble de la population sénégalaise. Dans ce cadre, l’adaptation devrait choisir l’option de diversifier les activités économiques qui dépendent moins de la variabilité climatique.</w:t>
      </w:r>
    </w:p>
    <w:p w:rsidR="00F25222" w:rsidRPr="007F5D87" w:rsidDel="00F671D2" w:rsidRDefault="00F25222" w:rsidP="00F25222">
      <w:pPr>
        <w:spacing w:after="0"/>
        <w:rPr>
          <w:rFonts w:ascii="Times New Roman" w:eastAsia="Times New Roman" w:hAnsi="Times New Roman"/>
          <w:i/>
          <w:sz w:val="24"/>
          <w:szCs w:val="20"/>
          <w:u w:val="single"/>
        </w:rPr>
      </w:pPr>
    </w:p>
    <w:p w:rsidR="00F25222" w:rsidRPr="007F5D87" w:rsidRDefault="00F25222" w:rsidP="00F25222">
      <w:pPr>
        <w:keepNext/>
        <w:spacing w:after="0"/>
        <w:rPr>
          <w:rFonts w:ascii="Times New Roman" w:eastAsia="Times New Roman" w:hAnsi="Times New Roman"/>
          <w:i/>
          <w:sz w:val="24"/>
          <w:szCs w:val="20"/>
          <w:u w:val="single"/>
        </w:rPr>
      </w:pPr>
      <w:r>
        <w:rPr>
          <w:rFonts w:ascii="Times New Roman" w:hAnsi="Times New Roman"/>
          <w:i/>
          <w:sz w:val="24"/>
          <w:szCs w:val="20"/>
          <w:u w:val="single"/>
        </w:rPr>
        <w:t>Avec l’intervention du Fonds pour les PMA (adaptation alternative)</w:t>
      </w:r>
    </w:p>
    <w:p w:rsidR="00F25222" w:rsidRPr="007F5D87" w:rsidRDefault="00F25222" w:rsidP="00F25222">
      <w:pPr>
        <w:pStyle w:val="NumberedParas"/>
        <w:numPr>
          <w:ilvl w:val="0"/>
          <w:numId w:val="0"/>
        </w:numPr>
      </w:pPr>
    </w:p>
    <w:p w:rsidR="00F25222" w:rsidRPr="007F5D87" w:rsidRDefault="00F25222" w:rsidP="00F25222">
      <w:pPr>
        <w:pStyle w:val="NumberedParas"/>
      </w:pPr>
      <w:r>
        <w:t>Avec le financement du Fonds pour les PMA, les conditions du développement durable seront créées à travers le développement des compétences et des technologies nécessaires pour assurer la résilience de la production agricole aux effets d</w:t>
      </w:r>
      <w:r w:rsidR="0039391E">
        <w:t>es</w:t>
      </w:r>
      <w:r>
        <w:t xml:space="preserve"> changement</w:t>
      </w:r>
      <w:r w:rsidR="0039391E">
        <w:t>s</w:t>
      </w:r>
      <w:r>
        <w:t xml:space="preserve"> climatique</w:t>
      </w:r>
      <w:r w:rsidR="0039391E">
        <w:t>s</w:t>
      </w:r>
      <w:r>
        <w:t>. L’engagement des communes, des villageois, des services techniques et des autres partenaires communautaires reste une composante fondamentale d’un développement inclusif réussi. Comme expliqué dans la section précédente (voir Figure 6), le projet développera une approche d’adaptation intégrée autour de la RNC (comme solution clé pour maintenir la fonction de l’écosystème et en particulier la régulation du microclimat</w:t>
      </w:r>
      <w:r w:rsidRPr="006B0D58">
        <w:t xml:space="preserve">). </w:t>
      </w:r>
      <w:r w:rsidRPr="00532AC2">
        <w:rPr>
          <w:color w:val="222222"/>
        </w:rPr>
        <w:t>Ainsi, les impacts spécifiques du changement climatique mis en évidence dans le tableau 2 seront abordés à travers des activités spécifiques présentées ci-dessous.</w:t>
      </w:r>
      <w:r>
        <w:t xml:space="preserve"> </w:t>
      </w:r>
    </w:p>
    <w:p w:rsidR="00F25222" w:rsidRPr="00AE3BD3" w:rsidRDefault="00F25222" w:rsidP="00F25222">
      <w:pPr>
        <w:pStyle w:val="NumberedParas"/>
        <w:numPr>
          <w:ilvl w:val="0"/>
          <w:numId w:val="0"/>
        </w:numPr>
      </w:pPr>
    </w:p>
    <w:p w:rsidR="00F25222" w:rsidRPr="007F5D87" w:rsidRDefault="00F25222" w:rsidP="00F25222">
      <w:pPr>
        <w:pStyle w:val="NumberedParas"/>
      </w:pPr>
      <w:r>
        <w:t>La salinisation et l’érosion posant un problème crucial aux agriculteurs des zones côtières (voir Tableau </w:t>
      </w:r>
      <w:r w:rsidRPr="00EC242A">
        <w:t>2</w:t>
      </w:r>
      <w:r>
        <w:t xml:space="preserve">), le projet du Fonds pour les PMA soutiendra la restauration des terres et la diversification des activités génératrices de revenus. Par exemple, dans la région du fleuve Sénégal, des groupements de femmes seront soutenus pour passer de l’agriculture à </w:t>
      </w:r>
      <w:r>
        <w:lastRenderedPageBreak/>
        <w:t>l’aquaculture (renforcée par la restauration des mangroves) et à la production et à la commercialisation de sel. En effet, lors des enquêtes de la phase de préparation sur ce site du projet, des groupements de femmes ont commencé à produire des fruits de mer, l’agriculture traditionnelle n’étant plus possible. Cela a été mis en évidence comme une option endogène d’adaptation aux changements climatiques (les incertitudes liées aux précipitations irrégulières et la salinisation des terres). Cette option d’adaptation sera largement diffusée pendant le projet, car il s’agit d’une solution diversifiée et économiquement viable.</w:t>
      </w:r>
    </w:p>
    <w:p w:rsidR="00F25222" w:rsidRPr="00AE3BD3" w:rsidRDefault="00F25222" w:rsidP="00F25222">
      <w:pPr>
        <w:pStyle w:val="NumberedParas"/>
        <w:numPr>
          <w:ilvl w:val="0"/>
          <w:numId w:val="0"/>
        </w:numPr>
      </w:pPr>
    </w:p>
    <w:p w:rsidR="00F25222" w:rsidRPr="007F5D87" w:rsidRDefault="00F25222" w:rsidP="00F25222">
      <w:pPr>
        <w:pStyle w:val="NumberedParas"/>
      </w:pPr>
      <w:r>
        <w:t>Sur le site du fleuve Sénégal, en plus de l’aquaculture, les femmes ont commencé à collecter du sel pour le commercialiser. La quantité produite est minime, mais le marché se développe du fait de la proximité de la ville de Saint Louis. La production se fait de manière artisanale sans incidence sur l’environnement. Le renforcement de cette activité résiliente au</w:t>
      </w:r>
      <w:r w:rsidR="0039391E">
        <w:t>x</w:t>
      </w:r>
      <w:r>
        <w:t xml:space="preserve"> changement</w:t>
      </w:r>
      <w:r w:rsidR="0039391E">
        <w:t>s</w:t>
      </w:r>
      <w:r>
        <w:t xml:space="preserve"> climatique</w:t>
      </w:r>
      <w:r w:rsidR="0039391E">
        <w:t>s</w:t>
      </w:r>
      <w:r>
        <w:t xml:space="preserve"> sera également au cœur du projet.</w:t>
      </w:r>
    </w:p>
    <w:p w:rsidR="00F25222" w:rsidRPr="00AE3BD3" w:rsidRDefault="00F25222" w:rsidP="00F25222">
      <w:pPr>
        <w:pStyle w:val="NumberedParas"/>
        <w:numPr>
          <w:ilvl w:val="0"/>
          <w:numId w:val="0"/>
        </w:numPr>
      </w:pPr>
    </w:p>
    <w:p w:rsidR="00F25222" w:rsidRPr="007F5D87" w:rsidRDefault="00F25222" w:rsidP="00F25222">
      <w:pPr>
        <w:pStyle w:val="NumberedParas"/>
      </w:pPr>
      <w:r>
        <w:t xml:space="preserve"> En outre, l’accès à l’eau dans un contexte de climat changeant est une autre difficulté rencontrée par les villageois, en particulier dans la région de Ferlo. Les producteurs du site de Ferlo sont composés en majeure partie d’éleveurs de bétail qui dépendent fortement de cette activité pour leurs revenus. Le bétail souffre de l’accès limité à l’eau et du manque de fourrage. Le projet du Fonds pour les PMA financera la restauration et la gestion des </w:t>
      </w:r>
      <w:r w:rsidR="0039391E">
        <w:t xml:space="preserve">mares </w:t>
      </w:r>
      <w:r>
        <w:t xml:space="preserve">afin d’accroître l’accès à l’eau et de promouvoir le renforcement des activités résilientes à travers une meilleure gestion de la RNC. Des actions de lutte contre l’érosion, telles que des plantations d’arbres dans les systèmes agroforestiers, seront également mises en œuvre. Les écosystèmes sont également sensibles aux changements climatiques, et jouent en même temps un rôle clé dans la régulation du microclimat. Les données factuelles scientifiques ont récemment mis en évidence le rôle des forêts dans l’équilibre dynamique microclimatique en raison de son interaction avec les compartiments du sol et de l’atmosphère. Les forêts constituent donc un outil majeur d’adaptation. Le Fonds pour les PMA financera la restauration de la RNC/UP, y compris l’entretien des pare- -feu. Tous ces investissements seront réalisés en vue de diversifier les activités génératrices de revenus des villageois. Sur le site de Ferlo, la gomme arabique a été identifiée comme une culture présentant un potentiel élevé pour procurer aux agriculteurs des revenus plus importants et meilleurs pendant la saison sèche et un revenu alternatif lorsque le changement climatique a une incidence sur le rendement agricole et les revenus. L’acacia Sénégal (2 à 10 m de haut, résistant à la sécheresse) pousse entre les isohyètes 250 et 600 mm dans les plaines sableuses. Sa gomme, obtenue après saignée, est récoltée depuis plus de 4 000 ans et constitue la principale source de gomme sur les marchés internationaux (AFD, 2013). La gomme arabique offre donc une opportunité essentielle de diversification pour les producteurs vulnérables ; la récolte qui a lieu pendant la saison sèche fournit des revenus aux familles pendant la période de soudure. Elle résiste mieux à la variabilité climatique que les cultures annuelles (SOS SAHEL, 2012). C’est souvent la seule source de revenus monétaires et ceux-ci devraient inciter les populations à rester dans les zones rurales au lieu de migrer vers les villes. L’acacia est un arbre multifonctionnel. Il constitue une source de : i) gomme arabique, vendue ou consommée, utile dans la pharmacopée ; ii) fourrages (200 arbres/ha produisent 260 unités fourragères/ha avec des feuilles, des fruits et des gousses ; iii) bois-énergie (bois de chauffe et charbon de bois) ; iv) fertilisation du sol (fixation des légumineuses dans le sol, azote de l’atmosphère) ; v) production de miel (attire les abeilles). Le marché mondial de la gomme a fluctué au cours des 50 dernières années </w:t>
      </w:r>
      <w:r>
        <w:lastRenderedPageBreak/>
        <w:t>(60 000 tonnes au milieu des années 60, 30 000 dans les années 80 et 50 000 dans les années 2000) et il croît régulièrement pour atteindre 137 000 tonnes en 2016. La demande du marché augmente en raison de la croissance de l’industrie alimentaire, en particulier aux États-Unis d’Amérique et en Asie.</w:t>
      </w:r>
    </w:p>
    <w:p w:rsidR="00F25222" w:rsidRPr="00AE3BD3" w:rsidRDefault="00F25222" w:rsidP="00F25222">
      <w:pPr>
        <w:pStyle w:val="NumberedParas"/>
        <w:numPr>
          <w:ilvl w:val="0"/>
          <w:numId w:val="0"/>
        </w:numPr>
      </w:pPr>
    </w:p>
    <w:p w:rsidR="00F25222" w:rsidRPr="007F5D87" w:rsidRDefault="00F25222" w:rsidP="00F25222">
      <w:pPr>
        <w:pStyle w:val="NumberedParas"/>
      </w:pPr>
      <w:r>
        <w:t>Dans le Niokolo-Koba, les incertitudes liées aux précipitations irrégulières constituent la principale menace pour les moyens de subsistance. La solution préférée consiste à restaurer les bas-fonds fertiles autour de la RNC. Elles ont été identifiées au cours de la phase de préparation du projet (voir annexe G) et seront restaurées et gérées comme zones de production pendant la mise en œuvre.</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Un des défis auxquels les communautés, et en particulier les groupements de femmes et les petits exploitants agricoles, sont aussi confrontées est tout simplement le manque d’accès à l’information qui faciliterait la planification résiliente </w:t>
      </w:r>
      <w:r w:rsidR="00F22AF3">
        <w:t>aux changements climatiques</w:t>
      </w:r>
      <w:r>
        <w:t xml:space="preserve"> et la gestion des risques. La combinaison actuelle de production semencière et végétale n’est pas associée à une prise en compte régulière des prévisions saisonnières, un apport important face au réchauffement climatique et à une variation des précipitations plus fréquente. En prenant des dispositions utiles pour que les groupements de femmes et les petits exploitants agricoles soient en mesure d’accéder à des informations essentielles telles que les prévisions saisonnières, il sera possible de les soutenir dans les efforts qu’ils déploient pour gérer leurs moyens de subsistance dans un contexte d’incertitude. Des prévisions saisonnières précises et facilement disponibles leur permettront d’obtenir des rendements stables et optimaux pendant les années sèches et humides. Les ressources du Fonds pour les PMA contribueront à la diffusion des services climatologiques communautaires (informations et conseils personnalisés) auprès des utilisateurs. Cela permettra de soutenir la résilience des pratiques agricoles dans le cadre de projets existants (par exemple, le PADAER, le PASA Loumakaf) et des initiatives de subsistance développées avec des femmes et autour des stations de l’agence nationale de l’aviation civile et de la météorologie (ANACIM). Des opportunités seront explorées en vue de la diffusion des informations climatiques sur les ondes des radios communautaires pour atteindre un public plus large et l’échange instantané des données collectées et la publication de bulletins météorologiques locaux par SMS.</w:t>
      </w:r>
    </w:p>
    <w:p w:rsidR="00F25222" w:rsidRPr="00AE3BD3" w:rsidRDefault="00F25222" w:rsidP="00F25222">
      <w:pPr>
        <w:pStyle w:val="NumberedParas"/>
        <w:numPr>
          <w:ilvl w:val="0"/>
          <w:numId w:val="0"/>
        </w:num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2.1 : Les investissements et les pratiques résilientes sont adoptés par 5 000 ménages vulnérables et augmentent leurs revenus dans un contexte de changement climatique</w:t>
      </w:r>
    </w:p>
    <w:p w:rsidR="00F25222" w:rsidRPr="007F5D87" w:rsidRDefault="00F25222" w:rsidP="00F25222">
      <w:pPr>
        <w:pStyle w:val="NumberedParas"/>
        <w:numPr>
          <w:ilvl w:val="0"/>
          <w:numId w:val="0"/>
        </w:numPr>
      </w:pPr>
    </w:p>
    <w:p w:rsidR="00F25222" w:rsidRPr="007F5D87" w:rsidRDefault="00F25222" w:rsidP="00F25222">
      <w:pPr>
        <w:pStyle w:val="NumberedParas"/>
      </w:pPr>
      <w:r>
        <w:t>Au titre de ce produit, le financement du Fonds pour les PMA permettra de promouvoir des pratiques de subsistance diversifiées et résilientes au</w:t>
      </w:r>
      <w:r w:rsidR="00F22AF3">
        <w:t>x</w:t>
      </w:r>
      <w:r>
        <w:t xml:space="preserve"> changement</w:t>
      </w:r>
      <w:r w:rsidR="00F22AF3">
        <w:t>s</w:t>
      </w:r>
      <w:r>
        <w:t xml:space="preserve"> climatique</w:t>
      </w:r>
      <w:r w:rsidR="00F22AF3">
        <w:t>s</w:t>
      </w:r>
      <w:r>
        <w:t xml:space="preserve"> auprès des ménages et des producteurs vulnérables (avec un accent particulier sur les groupements de femmes) en tant que principale stratégie de gestion des risques. Les ressources seront mises à profit pour aider les producteurs (en particulier les femmes) à explorer de nouvelles possibilités de générer les flux de revenus nécessaires pour : i) réinvestir dans la production agricole (avec la possibilité d’augmenter les rendements et de diversifier la production)</w:t>
      </w:r>
      <w:r>
        <w:rPr>
          <w:sz w:val="28"/>
        </w:rPr>
        <w:t xml:space="preserve"> ; </w:t>
      </w:r>
      <w:r>
        <w:t>ii) renforcer leur solvabilité auprès des institutions de prêts. Le plan d’adaptation aux changements climatiques (produit 1.1) sera construit autour de la RNC et comprendra des mesures visant à accroître la disponibilité de l’eau, à réduire les maladies animales, à accroître la résilience de la production agricole, à améliorer les filières de production résilientes, etc.</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Les actions d’adaptation spécifiques promues ont été évaluées au cours de la phase de préparation du projet. L’équipe de consultants a mené des enquêtes lors des réunions avec les villageois (en particulier, les femmes et les jeunes) en vue d’identifier les effets du changement climatique dans leur vie quotidienne, les solutions endogènes développées par les villageois (par exemple, la collecte et la commercialisation de la gomme arabique comme activité résistante génératrice de revenus) et les priorités d’adaptation de la vie quotidienne </w:t>
      </w:r>
      <w:r w:rsidR="00F22AF3">
        <w:t>aux changements climatiques</w:t>
      </w:r>
      <w:r>
        <w:t>. Elles sont résumées et structurées par secteur (agriculture/sol/bétail, actions liées à l’eau, à la foresterie) dans le Tableau  2  ci-dessous.</w:t>
      </w:r>
    </w:p>
    <w:p w:rsidR="00F25222" w:rsidRPr="007F5D87" w:rsidRDefault="00F25222" w:rsidP="00F25222">
      <w:pPr>
        <w:pStyle w:val="Lgende"/>
        <w:rPr>
          <w:b w:val="0"/>
          <w:i w:val="0"/>
          <w:szCs w:val="22"/>
          <w:u w:val="single"/>
        </w:rPr>
      </w:pPr>
      <w:r>
        <w:rPr>
          <w:b w:val="0"/>
          <w:szCs w:val="22"/>
          <w:u w:val="single"/>
        </w:rPr>
        <w:t>Tableau  2 : Investissements du projet du Fonds pour les PMA</w:t>
      </w:r>
    </w:p>
    <w:tbl>
      <w:tblPr>
        <w:tblW w:w="5000" w:type="pct"/>
        <w:jc w:val="center"/>
        <w:tblCellMar>
          <w:left w:w="70" w:type="dxa"/>
          <w:right w:w="70" w:type="dxa"/>
        </w:tblCellMar>
        <w:tblLook w:val="04A0" w:firstRow="1" w:lastRow="0" w:firstColumn="1" w:lastColumn="0" w:noHBand="0" w:noVBand="1"/>
      </w:tblPr>
      <w:tblGrid>
        <w:gridCol w:w="1634"/>
        <w:gridCol w:w="1283"/>
        <w:gridCol w:w="1283"/>
        <w:gridCol w:w="1371"/>
        <w:gridCol w:w="1283"/>
        <w:gridCol w:w="189"/>
        <w:gridCol w:w="2297"/>
      </w:tblGrid>
      <w:tr w:rsidR="00F25222" w:rsidRPr="007F5D87" w:rsidTr="00E22425">
        <w:trPr>
          <w:trHeight w:val="315"/>
          <w:jc w:val="center"/>
        </w:trPr>
        <w:tc>
          <w:tcPr>
            <w:tcW w:w="898" w:type="pct"/>
            <w:tcBorders>
              <w:top w:val="single" w:sz="8" w:space="0" w:color="000000"/>
              <w:left w:val="single" w:sz="8" w:space="0" w:color="auto"/>
              <w:bottom w:val="single" w:sz="8" w:space="0" w:color="000000"/>
              <w:right w:val="single" w:sz="8" w:space="0" w:color="auto"/>
            </w:tcBorders>
            <w:shd w:val="clear" w:color="000000" w:fill="C2D69B"/>
            <w:vAlign w:val="bottom"/>
          </w:tcPr>
          <w:p w:rsidR="00F25222" w:rsidRPr="007F5D87" w:rsidRDefault="00F25222" w:rsidP="00E22425">
            <w:pPr>
              <w:jc w:val="center"/>
              <w:rPr>
                <w:rFonts w:ascii="Times New Roman" w:hAnsi="Times New Roman"/>
                <w:b/>
                <w:bCs/>
                <w:color w:val="000000"/>
                <w:szCs w:val="20"/>
              </w:rPr>
            </w:pPr>
          </w:p>
        </w:tc>
        <w:tc>
          <w:tcPr>
            <w:tcW w:w="4102" w:type="pct"/>
            <w:gridSpan w:val="6"/>
            <w:tcBorders>
              <w:top w:val="single" w:sz="8" w:space="0" w:color="auto"/>
              <w:left w:val="nil"/>
              <w:bottom w:val="single" w:sz="8" w:space="0" w:color="auto"/>
              <w:right w:val="single" w:sz="8" w:space="0" w:color="000000"/>
            </w:tcBorders>
            <w:shd w:val="clear" w:color="000000" w:fill="FDE9D9"/>
          </w:tcPr>
          <w:p w:rsidR="00F25222" w:rsidRPr="007F5D87" w:rsidRDefault="00F25222" w:rsidP="00E22425">
            <w:pPr>
              <w:jc w:val="center"/>
              <w:rPr>
                <w:rFonts w:ascii="Times New Roman" w:hAnsi="Times New Roman"/>
                <w:b/>
                <w:bCs/>
                <w:color w:val="000000"/>
                <w:sz w:val="22"/>
              </w:rPr>
            </w:pPr>
            <w:r>
              <w:rPr>
                <w:rFonts w:ascii="Times New Roman" w:hAnsi="Times New Roman"/>
                <w:b/>
                <w:bCs/>
                <w:color w:val="000000"/>
                <w:sz w:val="22"/>
                <w:szCs w:val="22"/>
              </w:rPr>
              <w:t>Sites d’interventions du projet du Fonds pour les PMA</w:t>
            </w:r>
          </w:p>
        </w:tc>
      </w:tr>
      <w:tr w:rsidR="00F25222" w:rsidRPr="00876F2E" w:rsidTr="00E22425">
        <w:trPr>
          <w:trHeight w:val="300"/>
          <w:jc w:val="center"/>
        </w:trPr>
        <w:tc>
          <w:tcPr>
            <w:tcW w:w="898" w:type="pct"/>
            <w:vMerge w:val="restart"/>
            <w:tcBorders>
              <w:top w:val="single" w:sz="8" w:space="0" w:color="000000"/>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805"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Delta du Saloum</w:t>
            </w:r>
          </w:p>
        </w:tc>
        <w:tc>
          <w:tcPr>
            <w:tcW w:w="723"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Delta du fleuve Sénégal</w:t>
            </w:r>
          </w:p>
        </w:tc>
        <w:tc>
          <w:tcPr>
            <w:tcW w:w="722"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Ferlo</w:t>
            </w:r>
          </w:p>
        </w:tc>
        <w:tc>
          <w:tcPr>
            <w:tcW w:w="943" w:type="pct"/>
            <w:vMerge w:val="restart"/>
            <w:tcBorders>
              <w:top w:val="nil"/>
              <w:left w:val="single" w:sz="8" w:space="0" w:color="auto"/>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Niokolo-Koba</w:t>
            </w:r>
          </w:p>
          <w:p w:rsidR="00F25222" w:rsidRPr="007F5D87" w:rsidRDefault="00F25222" w:rsidP="00E22425">
            <w:pPr>
              <w:jc w:val="center"/>
              <w:rPr>
                <w:rFonts w:ascii="Times New Roman" w:hAnsi="Times New Roman"/>
                <w:bCs/>
                <w:color w:val="000000"/>
                <w:szCs w:val="20"/>
              </w:rPr>
            </w:pPr>
          </w:p>
          <w:p w:rsidR="00F25222" w:rsidRPr="007F5D87" w:rsidRDefault="00F25222" w:rsidP="00E22425">
            <w:pPr>
              <w:jc w:val="center"/>
              <w:rPr>
                <w:rFonts w:ascii="Times New Roman" w:hAnsi="Times New Roman"/>
                <w:bCs/>
                <w:i/>
                <w:color w:val="000000"/>
                <w:szCs w:val="20"/>
              </w:rPr>
            </w:pPr>
            <w:r>
              <w:rPr>
                <w:rFonts w:ascii="Times New Roman" w:hAnsi="Times New Roman"/>
                <w:bCs/>
                <w:i/>
                <w:color w:val="000000"/>
                <w:szCs w:val="20"/>
              </w:rPr>
              <w:t>9 RNC</w:t>
            </w:r>
          </w:p>
        </w:tc>
        <w:tc>
          <w:tcPr>
            <w:tcW w:w="908" w:type="pct"/>
            <w:gridSpan w:val="2"/>
            <w:vMerge w:val="restart"/>
            <w:tcBorders>
              <w:top w:val="nil"/>
              <w:left w:val="single" w:sz="8" w:space="0" w:color="auto"/>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Total</w:t>
            </w:r>
          </w:p>
          <w:p w:rsidR="00F25222" w:rsidRPr="007F5D87" w:rsidRDefault="00F25222" w:rsidP="00E22425">
            <w:pPr>
              <w:jc w:val="center"/>
              <w:rPr>
                <w:rFonts w:ascii="Times New Roman" w:hAnsi="Times New Roman"/>
                <w:bCs/>
                <w:i/>
                <w:color w:val="000000"/>
                <w:szCs w:val="20"/>
              </w:rPr>
            </w:pPr>
            <w:r>
              <w:rPr>
                <w:rFonts w:ascii="Times New Roman" w:hAnsi="Times New Roman"/>
                <w:bCs/>
                <w:i/>
                <w:color w:val="000000"/>
                <w:szCs w:val="20"/>
              </w:rPr>
              <w:t>21 RNC, 15 communes et 224 villages</w:t>
            </w:r>
          </w:p>
        </w:tc>
      </w:tr>
      <w:tr w:rsidR="00F25222" w:rsidRPr="007F5D87" w:rsidTr="00E22425">
        <w:trPr>
          <w:trHeight w:val="498"/>
          <w:jc w:val="center"/>
        </w:trPr>
        <w:tc>
          <w:tcPr>
            <w:tcW w:w="898" w:type="pct"/>
            <w:vMerge/>
            <w:tcBorders>
              <w:top w:val="single" w:sz="8" w:space="0" w:color="000000"/>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805"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8 RNC</w:t>
            </w:r>
          </w:p>
          <w:p w:rsidR="00F25222" w:rsidRPr="007F5D87" w:rsidRDefault="00F25222" w:rsidP="00E22425">
            <w:pPr>
              <w:jc w:val="center"/>
              <w:rPr>
                <w:rFonts w:ascii="Times New Roman" w:hAnsi="Times New Roman"/>
                <w:i/>
                <w:iCs/>
                <w:color w:val="000000"/>
                <w:szCs w:val="20"/>
              </w:rPr>
            </w:pPr>
          </w:p>
        </w:tc>
        <w:tc>
          <w:tcPr>
            <w:tcW w:w="723"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1 RNC</w:t>
            </w:r>
          </w:p>
        </w:tc>
        <w:tc>
          <w:tcPr>
            <w:tcW w:w="722"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5 RNC</w:t>
            </w:r>
          </w:p>
        </w:tc>
        <w:tc>
          <w:tcPr>
            <w:tcW w:w="943" w:type="pct"/>
            <w:vMerge/>
            <w:tcBorders>
              <w:top w:val="nil"/>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908" w:type="pct"/>
            <w:gridSpan w:val="2"/>
            <w:vMerge/>
            <w:tcBorders>
              <w:top w:val="nil"/>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r>
      <w:tr w:rsidR="00F25222" w:rsidRPr="007F5D87" w:rsidTr="00E22425">
        <w:trPr>
          <w:trHeight w:val="315"/>
          <w:jc w:val="center"/>
        </w:trPr>
        <w:tc>
          <w:tcPr>
            <w:tcW w:w="898"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Principale menace du changement climatique</w:t>
            </w:r>
          </w:p>
        </w:tc>
        <w:tc>
          <w:tcPr>
            <w:tcW w:w="805"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Intrusion d’eau de mer et salinisation du sol et des eaux souterraines</w:t>
            </w:r>
          </w:p>
        </w:tc>
        <w:tc>
          <w:tcPr>
            <w:tcW w:w="723"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Désertification et érosion côtière</w:t>
            </w:r>
          </w:p>
        </w:tc>
        <w:tc>
          <w:tcPr>
            <w:tcW w:w="722"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Vulnérabilité accrue de la couverture végétale et accès à l’eau</w:t>
            </w:r>
          </w:p>
        </w:tc>
        <w:tc>
          <w:tcPr>
            <w:tcW w:w="1007" w:type="pct"/>
            <w:gridSpan w:val="2"/>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Vulnérabilité accrue de la couverture végétale</w:t>
            </w:r>
          </w:p>
        </w:tc>
        <w:tc>
          <w:tcPr>
            <w:tcW w:w="844"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l’agriculture/sol/élevage</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Distribution adaptée de semences/céréales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20 groupements</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 groupements</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 groupements</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30 groupements</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100 groupements de producteurs</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Restauration des bas-fonds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40 ha</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 ha</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ha</w:t>
            </w: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l’eau</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Aménagement d’</w:t>
            </w:r>
            <w:r w:rsidR="004A36C3">
              <w:rPr>
                <w:rFonts w:ascii="Times New Roman" w:hAnsi="Times New Roman"/>
                <w:b/>
                <w:bCs/>
                <w:color w:val="000000"/>
                <w:szCs w:val="20"/>
              </w:rPr>
              <w:t>mares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3</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3 </w:t>
            </w:r>
            <w:r w:rsidR="004A36C3">
              <w:rPr>
                <w:rFonts w:ascii="Times New Roman" w:hAnsi="Times New Roman"/>
                <w:color w:val="000000"/>
                <w:szCs w:val="20"/>
              </w:rPr>
              <w:t>mares</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Actions de lutte contre l’érosion (plantation d’arbres et réalisation de cordons pierreux)</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100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400 ha </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400 ha</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900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Adduction d’eau pour des AGR</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5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 </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 </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25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Salinisation/érosion côtière</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ha</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60 ha</w:t>
            </w: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la foresterie</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Réhabilitation d’UP/RNC</w:t>
            </w:r>
          </w:p>
        </w:tc>
        <w:tc>
          <w:tcPr>
            <w:tcW w:w="805" w:type="pct"/>
            <w:tcBorders>
              <w:top w:val="nil"/>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i/>
                <w:iCs/>
                <w:color w:val="000000"/>
                <w:szCs w:val="20"/>
              </w:rPr>
              <w:t>4 2014 ha</w:t>
            </w:r>
          </w:p>
        </w:tc>
        <w:tc>
          <w:tcPr>
            <w:tcW w:w="72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2 000 ha</w:t>
            </w:r>
          </w:p>
        </w:tc>
        <w:tc>
          <w:tcPr>
            <w:tcW w:w="722"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326 426 ha</w:t>
            </w:r>
          </w:p>
        </w:tc>
        <w:tc>
          <w:tcPr>
            <w:tcW w:w="94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236 494 ha</w:t>
            </w:r>
          </w:p>
        </w:tc>
        <w:tc>
          <w:tcPr>
            <w:tcW w:w="908" w:type="pct"/>
            <w:gridSpan w:val="2"/>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569 124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Coupe-feux</w:t>
            </w:r>
          </w:p>
        </w:tc>
        <w:tc>
          <w:tcPr>
            <w:tcW w:w="805" w:type="pct"/>
            <w:tcBorders>
              <w:top w:val="nil"/>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72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km</w:t>
            </w:r>
          </w:p>
        </w:tc>
        <w:tc>
          <w:tcPr>
            <w:tcW w:w="722"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500 km</w:t>
            </w:r>
          </w:p>
        </w:tc>
        <w:tc>
          <w:tcPr>
            <w:tcW w:w="94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250 km</w:t>
            </w:r>
          </w:p>
        </w:tc>
        <w:tc>
          <w:tcPr>
            <w:tcW w:w="908" w:type="pct"/>
            <w:gridSpan w:val="2"/>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800 km</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lastRenderedPageBreak/>
              <w:t>Développement des filières</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Noix de cajou</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Sel, huîtres</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Gomme arabique</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Maad, miel</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6 filières</w:t>
            </w:r>
          </w:p>
        </w:tc>
      </w:tr>
    </w:tbl>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p>
    <w:p w:rsidR="00F25222" w:rsidRPr="007F5D87" w:rsidRDefault="00F25222" w:rsidP="00F25222">
      <w:pPr>
        <w:pStyle w:val="NumberedParas"/>
      </w:pPr>
      <w:r>
        <w:t>Les activités suivantes contribueront à atteindre ce produit 2.1.</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2.1.1</w:t>
      </w:r>
      <w:r>
        <w:rPr>
          <w:rFonts w:ascii="Times New Roman" w:hAnsi="Times New Roman"/>
          <w:sz w:val="24"/>
          <w:szCs w:val="20"/>
        </w:rPr>
        <w:t> : Restauration des UP/RNC</w:t>
      </w:r>
    </w:p>
    <w:p w:rsidR="00F25222" w:rsidRPr="007F5D87" w:rsidRDefault="00F25222" w:rsidP="00F25222">
      <w:pPr>
        <w:rPr>
          <w:rFonts w:ascii="Times New Roman" w:hAnsi="Times New Roman"/>
          <w:sz w:val="24"/>
          <w:szCs w:val="20"/>
        </w:rPr>
      </w:pPr>
      <w:r>
        <w:rPr>
          <w:rFonts w:ascii="Times New Roman" w:hAnsi="Times New Roman"/>
          <w:sz w:val="24"/>
          <w:szCs w:val="20"/>
        </w:rPr>
        <w:t>Cette activité concerne les quatre sites et soutiendra la mise en œuvre de la mesure d’adaptation aux changements climatiques autour des RNC. Le comité villageois de développement sera un acteur clé de la mise en œuvre. L’unité de gestion du projet prendra toutes les dispositions utiles pour harmoniser les pratiques entre les projets en cours de mise en œuvre. Par exemple, le site de Ferlo est très dynamique en termes de création d’UP/RNC (PADAER, PASA Loumakaf, PGIES, AVSF) et le Fonds pour les PMA fera la promotion de l’harmonisation des pratiques de ces projets (le centre environnemental de Ranérou abritera les réunions mensuelles).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0"/>
        </w:numPr>
        <w:jc w:val="both"/>
        <w:rPr>
          <w:szCs w:val="20"/>
        </w:rPr>
      </w:pPr>
      <w:r>
        <w:t>réviser les plans de gestion d’UP/RNC et les mettre à jour en tenant compte de nouveaux défis locaux et avec des activités productives résilientes à développer. En particulier, la population ayant fortement augmenté depuis la création des RNC (dans la commune de Toubacouta, la population a doublé en 15 ans pour atteindre 37 529 habitants), il convient d’adapter les règles de gestion en autorisant la production maraîchère et l’agriculture biologique dans certaines zones des RNC ;</w:t>
      </w:r>
    </w:p>
    <w:p w:rsidR="00F25222" w:rsidRPr="007F5D87" w:rsidRDefault="00F25222" w:rsidP="00F25222">
      <w:pPr>
        <w:pStyle w:val="Paragraphedeliste"/>
        <w:numPr>
          <w:ilvl w:val="0"/>
          <w:numId w:val="10"/>
        </w:numPr>
        <w:rPr>
          <w:szCs w:val="20"/>
        </w:rPr>
      </w:pPr>
      <w:r>
        <w:t>réaliser et entretenir au moins 800 km de pare-feux ;</w:t>
      </w:r>
    </w:p>
    <w:p w:rsidR="00F25222" w:rsidRPr="007F5D87" w:rsidRDefault="00F25222" w:rsidP="00F25222">
      <w:pPr>
        <w:pStyle w:val="Paragraphedeliste"/>
        <w:numPr>
          <w:ilvl w:val="0"/>
          <w:numId w:val="10"/>
        </w:numPr>
        <w:rPr>
          <w:szCs w:val="20"/>
        </w:rPr>
      </w:pPr>
      <w:r>
        <w:t>former et soutenir l’équipement des comités villageois de développement pour assurer un suivi actif et efficace des RNC ;</w:t>
      </w:r>
    </w:p>
    <w:p w:rsidR="00F25222" w:rsidRPr="007F5D87" w:rsidRDefault="00F25222" w:rsidP="00F25222">
      <w:pPr>
        <w:pStyle w:val="Paragraphedeliste"/>
        <w:numPr>
          <w:ilvl w:val="0"/>
          <w:numId w:val="10"/>
        </w:numPr>
        <w:rPr>
          <w:szCs w:val="20"/>
        </w:rPr>
      </w:pPr>
      <w:r>
        <w:t>planter au moins 1 million d’arbres pour assurer une protection contre l’écoulement de l’eau et l’érosion ;</w:t>
      </w:r>
    </w:p>
    <w:p w:rsidR="00F25222" w:rsidRPr="007F5D87" w:rsidRDefault="00F25222" w:rsidP="00F25222">
      <w:pPr>
        <w:pStyle w:val="Paragraphedeliste"/>
        <w:numPr>
          <w:ilvl w:val="0"/>
          <w:numId w:val="10"/>
        </w:numPr>
        <w:rPr>
          <w:szCs w:val="20"/>
        </w:rPr>
      </w:pPr>
      <w:r>
        <w:t>réhabiliter le centre environnemental de Ranérou.</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2.1.2</w:t>
      </w:r>
      <w:r>
        <w:rPr>
          <w:rFonts w:ascii="Times New Roman" w:hAnsi="Times New Roman"/>
          <w:sz w:val="24"/>
          <w:szCs w:val="20"/>
        </w:rPr>
        <w:t> : Amélioration de la disponibilité de l’eau, y compris l’aménagement d’</w:t>
      </w:r>
      <w:r w:rsidR="004A36C3">
        <w:rPr>
          <w:rFonts w:ascii="Times New Roman" w:hAnsi="Times New Roman"/>
          <w:sz w:val="24"/>
          <w:szCs w:val="20"/>
        </w:rPr>
        <w:t>mares</w:t>
      </w:r>
      <w:r>
        <w:rPr>
          <w:rFonts w:ascii="Times New Roman" w:hAnsi="Times New Roman"/>
          <w:sz w:val="24"/>
          <w:szCs w:val="20"/>
        </w:rPr>
        <w:t xml:space="preserve"> en terre et l’irrigation pour des activités génératrices de revenus</w:t>
      </w:r>
    </w:p>
    <w:p w:rsidR="00F25222" w:rsidRPr="007F5D87" w:rsidRDefault="00F25222" w:rsidP="00F25222">
      <w:pPr>
        <w:rPr>
          <w:rFonts w:ascii="Times New Roman" w:hAnsi="Times New Roman"/>
          <w:sz w:val="24"/>
          <w:szCs w:val="20"/>
        </w:rPr>
      </w:pPr>
      <w:r>
        <w:rPr>
          <w:rFonts w:ascii="Times New Roman" w:hAnsi="Times New Roman"/>
          <w:sz w:val="24"/>
          <w:szCs w:val="20"/>
        </w:rPr>
        <w:t>L’augmentation de l’accessibilité de l’eau est une forte demande évaluée au cours de la phase de préparation du projet sur les quatre sites du projet. Les femmes et les jeunes bénéficieront d’au moins 60 % de ces investissements. Les actions à entreprendre sont les suivantes :</w:t>
      </w:r>
    </w:p>
    <w:p w:rsidR="00F25222" w:rsidRPr="007F5D87" w:rsidRDefault="00F25222" w:rsidP="00F25222">
      <w:pPr>
        <w:pStyle w:val="Paragraphedeliste"/>
        <w:numPr>
          <w:ilvl w:val="0"/>
          <w:numId w:val="10"/>
        </w:numPr>
        <w:jc w:val="both"/>
        <w:rPr>
          <w:szCs w:val="20"/>
        </w:rPr>
      </w:pPr>
      <w:r>
        <w:t>sur le site de forage existant (</w:t>
      </w:r>
      <w:r w:rsidR="00F22AF3">
        <w:t xml:space="preserve">au </w:t>
      </w:r>
      <w:r>
        <w:t>Ferlo, par exemple, où le PUDC investit massivement dans les forages), le projet établira des périmètres irrigués productifs (de 2 à 5 ha chacun) au profit des femmes (sur au moins 25 ha). Ces périmètres serviront à la production de cultures maraîchères, de fruits, etc. L’aménagement de ces périmètres prévoira un mécanisme de maintenance du système d’adduction d’eau ; une part des bénéfices sera utilisée pour l’entretien (système de pompage des périmètres) ainsi que le paiement de l’eau. Ce mécanisme est une condition préalable à l’investissement des fonds du projet. Le projet financera l’équipement des périmètres productifs et soutiendra la mise en place du mécanisme financier.</w:t>
      </w:r>
    </w:p>
    <w:p w:rsidR="00F25222" w:rsidRPr="007F5D87" w:rsidRDefault="00F25222" w:rsidP="00F25222">
      <w:pPr>
        <w:pStyle w:val="Paragraphedeliste"/>
        <w:numPr>
          <w:ilvl w:val="0"/>
          <w:numId w:val="10"/>
        </w:numPr>
        <w:jc w:val="both"/>
        <w:rPr>
          <w:szCs w:val="20"/>
        </w:rPr>
      </w:pPr>
      <w:r>
        <w:t xml:space="preserve">en ce qui concerne les puits de maraîchage existants (dans le delta du Saloum et sur le site Niokolo-Koba), le projet les réhabilitera et favorisera l’implantation de périmètres irrigués </w:t>
      </w:r>
      <w:r>
        <w:lastRenderedPageBreak/>
        <w:t>productifs. Le projet concevra et mettra en place un mécanisme d’entretien ; une partie des bénéfices financera la maintenance et le paiement de l’eau.</w:t>
      </w:r>
    </w:p>
    <w:p w:rsidR="00F25222" w:rsidRPr="007F5D87" w:rsidRDefault="00F25222" w:rsidP="00F25222">
      <w:pPr>
        <w:pStyle w:val="Paragraphedeliste"/>
        <w:numPr>
          <w:ilvl w:val="0"/>
          <w:numId w:val="10"/>
        </w:numPr>
        <w:jc w:val="both"/>
        <w:rPr>
          <w:szCs w:val="20"/>
        </w:rPr>
      </w:pPr>
      <w:r>
        <w:t xml:space="preserve">sur le site du Ferlo, les moyens de subsistance étant tributaires de l’élevage, le creusement d’au moins trois </w:t>
      </w:r>
      <w:r w:rsidR="004A36C3">
        <w:t>mares</w:t>
      </w:r>
      <w:r>
        <w:t xml:space="preserve">en terre sera financé par le projet (plus de détails à l’annexe G). Les potentiels </w:t>
      </w:r>
      <w:r w:rsidR="004A36C3">
        <w:t xml:space="preserve">mares </w:t>
      </w:r>
      <w:r>
        <w:t xml:space="preserve">ont été cartographiés par le projet PASA Loumakaf et partagés avec le Ministère de l’environnement. Les interventions du Fonds pour les PMA permettront le creusement de trois </w:t>
      </w:r>
      <w:r w:rsidR="004A36C3">
        <w:t>mares</w:t>
      </w:r>
      <w:r>
        <w:t xml:space="preserve"> identifiés dans l’UP/RNC existante.</w:t>
      </w:r>
    </w:p>
    <w:p w:rsidR="00F25222" w:rsidRPr="007F5D87" w:rsidRDefault="00F25222" w:rsidP="00F25222">
      <w:pPr>
        <w:pStyle w:val="Paragraphedeliste"/>
        <w:numPr>
          <w:ilvl w:val="0"/>
          <w:numId w:val="10"/>
        </w:numPr>
        <w:jc w:val="both"/>
        <w:rPr>
          <w:szCs w:val="20"/>
        </w:rPr>
      </w:pPr>
      <w:r>
        <w:t>sur le site du delta du fleuve Sénégal, le projet du Fonds pour les PMA contribuera à soutenir et à renforcer d’autres activités résilientes telles que la restauration de la mangrove (pour la production d’huîtres) et la production et la commercialisation du sel. Par ailleurs, il établira un partenariat avec le projet PDIDAS afin de restaurer les terres au profit des populations de Gandon et Gandiol (voir activité 2.2.3).</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2.1.3</w:t>
      </w:r>
      <w:r>
        <w:rPr>
          <w:rFonts w:ascii="Times New Roman" w:hAnsi="Times New Roman"/>
          <w:sz w:val="24"/>
          <w:szCs w:val="20"/>
        </w:rPr>
        <w:t> : Restauration de 50 ha de bas-fonds fertiles dans des zones exposées à des risques climatiques élevés</w:t>
      </w:r>
    </w:p>
    <w:p w:rsidR="00F25222" w:rsidRPr="007F5D87" w:rsidRDefault="00F25222" w:rsidP="00F25222">
      <w:pPr>
        <w:rPr>
          <w:rFonts w:ascii="Times New Roman" w:hAnsi="Times New Roman"/>
          <w:sz w:val="24"/>
          <w:szCs w:val="20"/>
        </w:rPr>
      </w:pPr>
      <w:r>
        <w:rPr>
          <w:rFonts w:ascii="Times New Roman" w:hAnsi="Times New Roman"/>
          <w:sz w:val="24"/>
        </w:rPr>
        <w:t>Pour permettre des activités génératrices de revenus (par exemple, la production de riz), au moins 50 ha de bas-fonds seront restaurés, au profit d’au moins 250 ménages. Les critères de choix des sites cibles sont : i) l’accessibilité (la plupart des sites devraient être accessibles) ; ii) la propriété : une convention est signée pour l’exploitation des bas-fonds à des fins agricoles ; iii) la présence d’eau.</w:t>
      </w:r>
      <w:r>
        <w:t xml:space="preserve"> </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1"/>
        </w:numPr>
        <w:rPr>
          <w:szCs w:val="20"/>
        </w:rPr>
      </w:pPr>
      <w:r>
        <w:t>organiser des campagnes de sensibilisation pour promouvoir l’adhésion des communautés et permettre la participation des femmes en vue de s’assurer que leurs besoins sont satisfaits et que leurs contraintes sont prises en compte ;</w:t>
      </w:r>
    </w:p>
    <w:p w:rsidR="00F25222" w:rsidRPr="007F5D87" w:rsidRDefault="00F25222" w:rsidP="00F25222">
      <w:pPr>
        <w:pStyle w:val="Paragraphedeliste"/>
        <w:numPr>
          <w:ilvl w:val="0"/>
          <w:numId w:val="11"/>
        </w:numPr>
        <w:rPr>
          <w:szCs w:val="20"/>
        </w:rPr>
      </w:pPr>
      <w:r>
        <w:t>réaliser des études de faisabilité en vue de déterminer les sites d’intervention, les coûts d’investissement pour les équipements nécessaires aux activités de restauration et identifier les détails relatifs aux aspects topographiques, hydrologiques, géotechniques et pédologiques ;</w:t>
      </w:r>
    </w:p>
    <w:p w:rsidR="00F25222" w:rsidRPr="007F5D87" w:rsidRDefault="00F25222" w:rsidP="00F25222">
      <w:pPr>
        <w:pStyle w:val="Paragraphedeliste"/>
        <w:numPr>
          <w:ilvl w:val="0"/>
          <w:numId w:val="11"/>
        </w:numPr>
        <w:rPr>
          <w:szCs w:val="20"/>
        </w:rPr>
      </w:pPr>
      <w:r>
        <w:t>réaliser des travaux hydrauliques et mettre en œuvre des activités de restauration ;</w:t>
      </w:r>
    </w:p>
    <w:p w:rsidR="00F25222" w:rsidRPr="007F5D87" w:rsidRDefault="00F25222" w:rsidP="00F25222">
      <w:pPr>
        <w:pStyle w:val="Paragraphedeliste"/>
        <w:numPr>
          <w:ilvl w:val="0"/>
          <w:numId w:val="11"/>
        </w:numPr>
        <w:rPr>
          <w:szCs w:val="20"/>
        </w:rPr>
      </w:pPr>
      <w:r>
        <w:t>créer des comités de gestion des usagers de l’eau (au moins 5 membres, participation des femmes assurée) et outiller leurs membres pour superviser les activités de protection et d’entretien du site après la construction.</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2.1.4</w:t>
      </w:r>
      <w:r>
        <w:rPr>
          <w:rFonts w:ascii="Times New Roman" w:hAnsi="Times New Roman"/>
          <w:sz w:val="24"/>
          <w:szCs w:val="20"/>
        </w:rPr>
        <w:t> : Production et distribution de variétés de semences certifiées résilientes dans les zones d’intervention</w:t>
      </w:r>
    </w:p>
    <w:p w:rsidR="00F25222" w:rsidRPr="007F5D87" w:rsidRDefault="00F25222" w:rsidP="00F25222">
      <w:pPr>
        <w:rPr>
          <w:rFonts w:ascii="Times New Roman" w:hAnsi="Times New Roman"/>
          <w:sz w:val="24"/>
          <w:szCs w:val="20"/>
        </w:rPr>
      </w:pPr>
      <w:r>
        <w:rPr>
          <w:rFonts w:ascii="Times New Roman" w:hAnsi="Times New Roman"/>
          <w:sz w:val="24"/>
          <w:szCs w:val="20"/>
        </w:rPr>
        <w:t>Le Gouvernement sénégalais, avec le concours de plusieurs partenaires, soutient l’accès des petits exploitants agricoles aux semences. Par exemple, les semences de maïs ont été subventionnées à 62,5 %, le fonio à 90 % et le riz à 100 % au cours de la campagne 2015-2016. Il ressort des enquêtes menées auprès des agriculteurs au cours de la phase de préparation du projet que les semences adaptées sont perçues comme le principal facteur de rendement. Elles sont le principal facteur de risque perçu par les producteurs. Les principaux goulots d’étranglement pour l’accès aux semences certifiées sont : i) les coûts d’investissement (partiellement couverts par le soutien de l’État) ; ii) la disponibilité des semences en temps opportun.</w:t>
      </w:r>
    </w:p>
    <w:p w:rsidR="00F25222" w:rsidRPr="007F5D87" w:rsidRDefault="00F25222" w:rsidP="00F25222">
      <w:pPr>
        <w:rPr>
          <w:rFonts w:ascii="Times New Roman" w:hAnsi="Times New Roman"/>
          <w:sz w:val="24"/>
          <w:szCs w:val="20"/>
        </w:rPr>
      </w:pPr>
      <w:r>
        <w:rPr>
          <w:rFonts w:ascii="Times New Roman" w:hAnsi="Times New Roman"/>
          <w:sz w:val="24"/>
          <w:szCs w:val="20"/>
        </w:rPr>
        <w:t xml:space="preserve">Le projet Fonds pour les PMA soutiendra au moins 80 producteurs de semences et 40 groupements de femmes dans la production et la distribution de variétés de semences certifiées et résilientes. </w:t>
      </w:r>
      <w:r>
        <w:rPr>
          <w:rFonts w:ascii="Times New Roman" w:hAnsi="Times New Roman"/>
          <w:sz w:val="24"/>
          <w:szCs w:val="20"/>
        </w:rPr>
        <w:lastRenderedPageBreak/>
        <w:t>Conformément à la stratégie nationale de sécurisation de la production et de la commercialisation des semences et des plants (Ministère de l’agriculture, 2016), le projet augmentera le nombre de multiplicateurs de semences accédant à du matériel génétique adapté et favorisera la création d’entreprises de semences rurales.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2"/>
        </w:numPr>
        <w:ind w:left="714" w:hanging="357"/>
      </w:pPr>
      <w:r>
        <w:t>caractériser et certifier les variétés résilientes à forts rendements. Cela se fera en partenariat avec la direction de la production et du contrôle des semences et le Conseil national des semences ;</w:t>
      </w:r>
    </w:p>
    <w:p w:rsidR="00F25222" w:rsidRPr="007F5D87" w:rsidRDefault="00F25222" w:rsidP="00F25222">
      <w:pPr>
        <w:pStyle w:val="Paragraphedeliste"/>
        <w:numPr>
          <w:ilvl w:val="0"/>
          <w:numId w:val="12"/>
        </w:numPr>
        <w:rPr>
          <w:szCs w:val="20"/>
        </w:rPr>
      </w:pPr>
      <w:r>
        <w:t>établir un partenariat avec le Fonds national pour les semences (1 milliard de FCFA) afin de soutenir la création et le développement d’entreprises rurales pour la multiplication et la distribution des semences ;</w:t>
      </w:r>
    </w:p>
    <w:p w:rsidR="00F25222" w:rsidRPr="007F5D87" w:rsidRDefault="00F25222" w:rsidP="00F25222">
      <w:pPr>
        <w:pStyle w:val="Paragraphedeliste"/>
        <w:numPr>
          <w:ilvl w:val="0"/>
          <w:numId w:val="12"/>
        </w:numPr>
        <w:jc w:val="both"/>
        <w:rPr>
          <w:szCs w:val="20"/>
        </w:rPr>
      </w:pPr>
      <w:r>
        <w:t xml:space="preserve">produire 20 ha de semences améliorées et de boutures de sésame, fonio, maïs, riz, cacahuètes, haricots par le biais des </w:t>
      </w:r>
      <w:r>
        <w:rPr>
          <w:szCs w:val="20"/>
        </w:rPr>
        <w:t>agriculteurs multiplicateurs</w:t>
      </w:r>
      <w:r>
        <w:t xml:space="preserve">, dont 50 % de femmes. Les capacités de ces </w:t>
      </w:r>
      <w:r>
        <w:rPr>
          <w:szCs w:val="20"/>
        </w:rPr>
        <w:t>agriculteurs multiplicateurs</w:t>
      </w:r>
      <w:r>
        <w:t xml:space="preserve"> seront développées par une série de formations, notamment sur la vie communautaire, la production de semences, la gestion de l’eau et les techniques de fertilité des sols ainsi que les méthodes d’identification et de lutte contre les principales maladies des cultures ;</w:t>
      </w:r>
    </w:p>
    <w:p w:rsidR="00F25222" w:rsidRPr="007F5D87" w:rsidRDefault="00F25222" w:rsidP="00F25222">
      <w:pPr>
        <w:pStyle w:val="Paragraphedeliste"/>
        <w:numPr>
          <w:ilvl w:val="0"/>
          <w:numId w:val="12"/>
        </w:numPr>
      </w:pPr>
      <w:r>
        <w:t>diffuser des semences améliorées de sésame, de fonio, de maïs, de riz, d’arachides et de haricots à auprès d’au moins 1 600 producteurs, dont 50 % de femmes ;</w:t>
      </w:r>
    </w:p>
    <w:p w:rsidR="00F25222" w:rsidRPr="007F5D87" w:rsidRDefault="00F25222" w:rsidP="00F25222">
      <w:pPr>
        <w:pStyle w:val="Paragraphedeliste"/>
        <w:numPr>
          <w:ilvl w:val="0"/>
          <w:numId w:val="12"/>
        </w:numPr>
      </w:pPr>
      <w:r>
        <w:t>établir des partenariats entre les groupements de producteurs et les institutions financières pour préfinancer les campagnes agricoles.</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2.1.5</w:t>
      </w:r>
      <w:r>
        <w:rPr>
          <w:rFonts w:ascii="Times New Roman" w:hAnsi="Times New Roman"/>
          <w:sz w:val="24"/>
          <w:szCs w:val="20"/>
        </w:rPr>
        <w:t> : Développement et amélioration d’activités productives résilientes</w:t>
      </w:r>
    </w:p>
    <w:p w:rsidR="00F25222" w:rsidRPr="007F5D87" w:rsidRDefault="00F25222" w:rsidP="00F25222">
      <w:pPr>
        <w:rPr>
          <w:rFonts w:ascii="Times New Roman" w:hAnsi="Times New Roman"/>
          <w:sz w:val="24"/>
        </w:rPr>
      </w:pPr>
      <w:r>
        <w:rPr>
          <w:rFonts w:ascii="Times New Roman" w:hAnsi="Times New Roman"/>
          <w:sz w:val="24"/>
        </w:rPr>
        <w:t xml:space="preserve">Sur les quatre sites du projet, les risques climatiques sont exacerbés par un système de production dépendant de la pluie. Pendant la phase de préparation du projet, l’identification participative des activités résilientes </w:t>
      </w:r>
      <w:r w:rsidR="00F22AF3">
        <w:rPr>
          <w:rFonts w:ascii="Times New Roman" w:hAnsi="Times New Roman"/>
          <w:sz w:val="24"/>
        </w:rPr>
        <w:t>aux changements climatiques</w:t>
      </w:r>
      <w:r>
        <w:rPr>
          <w:rFonts w:ascii="Times New Roman" w:hAnsi="Times New Roman"/>
          <w:sz w:val="24"/>
        </w:rPr>
        <w:t xml:space="preserve"> a été réalisée en fonction de leur degré de résilience et de leur potentiel de génération des revenus. Le tableau </w:t>
      </w:r>
      <w:r w:rsidRPr="00EC242A">
        <w:rPr>
          <w:rFonts w:ascii="Times New Roman" w:hAnsi="Times New Roman"/>
          <w:sz w:val="24"/>
        </w:rPr>
        <w:t>4</w:t>
      </w:r>
      <w:r>
        <w:rPr>
          <w:rFonts w:ascii="Times New Roman" w:hAnsi="Times New Roman"/>
          <w:sz w:val="24"/>
        </w:rPr>
        <w:t xml:space="preserve"> récapitule les principales actions de soutien à travers le financement du Fonds pour les PMA. Tous les détails sont présentés à l’annexe G.</w:t>
      </w:r>
    </w:p>
    <w:p w:rsidR="00F25222" w:rsidRPr="007F5D87" w:rsidRDefault="00F25222" w:rsidP="00F25222">
      <w:pPr>
        <w:pStyle w:val="Lgende"/>
        <w:rPr>
          <w:b w:val="0"/>
          <w:i w:val="0"/>
          <w:szCs w:val="22"/>
          <w:u w:val="single"/>
        </w:rPr>
      </w:pPr>
      <w:r>
        <w:rPr>
          <w:b w:val="0"/>
          <w:szCs w:val="22"/>
          <w:u w:val="single"/>
        </w:rPr>
        <w:t>Tableau </w:t>
      </w:r>
      <w:r w:rsidRPr="00EC242A">
        <w:rPr>
          <w:b w:val="0"/>
          <w:szCs w:val="22"/>
          <w:u w:val="single"/>
        </w:rPr>
        <w:t>4</w:t>
      </w:r>
      <w:r>
        <w:rPr>
          <w:b w:val="0"/>
          <w:szCs w:val="22"/>
          <w:u w:val="single"/>
        </w:rPr>
        <w:t>. Filières résilientes identifiées</w:t>
      </w:r>
    </w:p>
    <w:tbl>
      <w:tblPr>
        <w:tblStyle w:val="Grilledutableau"/>
        <w:tblW w:w="0" w:type="auto"/>
        <w:tblLook w:val="04A0" w:firstRow="1" w:lastRow="0" w:firstColumn="1" w:lastColumn="0" w:noHBand="0" w:noVBand="1"/>
      </w:tblPr>
      <w:tblGrid>
        <w:gridCol w:w="1944"/>
        <w:gridCol w:w="1409"/>
        <w:gridCol w:w="5997"/>
      </w:tblGrid>
      <w:tr w:rsidR="00F25222" w:rsidRPr="007F5D87" w:rsidTr="00E22425">
        <w:tc>
          <w:tcPr>
            <w:tcW w:w="1951"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Filières/activités résilientes</w:t>
            </w:r>
          </w:p>
        </w:tc>
        <w:tc>
          <w:tcPr>
            <w:tcW w:w="1418"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Sites du projet concernés</w:t>
            </w:r>
          </w:p>
        </w:tc>
        <w:tc>
          <w:tcPr>
            <w:tcW w:w="6131"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Actions à mettre en œuvre par le projet du Fonds pour les PMA</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Gomme arabique</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les villageois dans l’exploitation des 1 850 ha d’acacia Sénégal plantés pendant le PGIES et arrivés à maturité pour produire de la gomme.</w:t>
            </w:r>
          </w:p>
          <w:p w:rsidR="00F25222" w:rsidRPr="007F5D87" w:rsidRDefault="00F25222" w:rsidP="00E22425">
            <w:pPr>
              <w:pStyle w:val="Paragraphedeliste"/>
              <w:numPr>
                <w:ilvl w:val="0"/>
                <w:numId w:val="14"/>
              </w:numPr>
              <w:ind w:left="188" w:hanging="188"/>
              <w:rPr>
                <w:sz w:val="22"/>
              </w:rPr>
            </w:pPr>
            <w:r>
              <w:rPr>
                <w:sz w:val="22"/>
              </w:rPr>
              <w:t>Former les villageois aux meilleures pratiques de collecte de gomme (techniques de saignée à l’aide de l’équipement approprié).</w:t>
            </w:r>
          </w:p>
          <w:p w:rsidR="00F25222" w:rsidRPr="007F5D87" w:rsidRDefault="00F25222" w:rsidP="00E22425">
            <w:pPr>
              <w:pStyle w:val="Paragraphedeliste"/>
              <w:numPr>
                <w:ilvl w:val="0"/>
                <w:numId w:val="14"/>
              </w:numPr>
              <w:ind w:left="188" w:hanging="188"/>
              <w:rPr>
                <w:sz w:val="22"/>
              </w:rPr>
            </w:pPr>
            <w:r>
              <w:rPr>
                <w:sz w:val="22"/>
              </w:rPr>
              <w:t>Former les collecteurs sur la qualité de la gomme (elle ne doit pas être mélangée à l’arachide)</w:t>
            </w:r>
          </w:p>
          <w:p w:rsidR="00F25222" w:rsidRPr="007F5D87" w:rsidRDefault="00F25222" w:rsidP="00E22425">
            <w:pPr>
              <w:pStyle w:val="Paragraphedeliste"/>
              <w:numPr>
                <w:ilvl w:val="0"/>
                <w:numId w:val="14"/>
              </w:numPr>
              <w:ind w:left="188" w:hanging="188"/>
              <w:rPr>
                <w:sz w:val="22"/>
              </w:rPr>
            </w:pPr>
            <w:r>
              <w:rPr>
                <w:sz w:val="22"/>
              </w:rPr>
              <w:t>Organiser des groupements villageois pour la commercialisation de la gomme.</w:t>
            </w:r>
          </w:p>
          <w:p w:rsidR="00F25222" w:rsidRPr="007F5D87" w:rsidRDefault="00F25222" w:rsidP="00E22425">
            <w:pPr>
              <w:pStyle w:val="Paragraphedeliste"/>
              <w:numPr>
                <w:ilvl w:val="0"/>
                <w:numId w:val="14"/>
              </w:numPr>
              <w:ind w:left="188" w:hanging="188"/>
              <w:rPr>
                <w:sz w:val="22"/>
              </w:rPr>
            </w:pPr>
            <w:r>
              <w:rPr>
                <w:sz w:val="22"/>
              </w:rPr>
              <w:t>Établir des partenariats avec le secteur privé qui achète de la gomme arabique.</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lastRenderedPageBreak/>
              <w:t>Produire du fourrage/foin à partir des déchets de pare-feu</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les groupements d’entrepreneurs désireux de se lancer dans la production du foin/fourrage (formations sur les capacités managériales).</w:t>
            </w:r>
          </w:p>
          <w:p w:rsidR="00F25222" w:rsidRPr="007F5D87" w:rsidRDefault="00F25222" w:rsidP="00E22425">
            <w:pPr>
              <w:pStyle w:val="Paragraphedeliste"/>
              <w:numPr>
                <w:ilvl w:val="0"/>
                <w:numId w:val="14"/>
              </w:numPr>
              <w:ind w:left="188" w:hanging="188"/>
              <w:rPr>
                <w:sz w:val="22"/>
              </w:rPr>
            </w:pPr>
            <w:r>
              <w:rPr>
                <w:sz w:val="22"/>
              </w:rPr>
              <w:t>Identifier et cartographier le potentiel fourrager (production fourragère proche des points d’eau.</w:t>
            </w:r>
          </w:p>
          <w:p w:rsidR="00F25222" w:rsidRPr="007F5D87" w:rsidRDefault="00F25222" w:rsidP="00E22425">
            <w:pPr>
              <w:pStyle w:val="Paragraphedeliste"/>
              <w:numPr>
                <w:ilvl w:val="0"/>
                <w:numId w:val="14"/>
              </w:numPr>
              <w:ind w:left="188" w:hanging="188"/>
              <w:rPr>
                <w:sz w:val="22"/>
              </w:rPr>
            </w:pPr>
            <w:r>
              <w:rPr>
                <w:sz w:val="22"/>
              </w:rPr>
              <w:t>Identifier les clients potentiels : comment vendre ? À qui ? À quel prix ?</w:t>
            </w:r>
          </w:p>
          <w:p w:rsidR="00F25222" w:rsidRPr="007F5D87" w:rsidRDefault="00F25222" w:rsidP="00E22425">
            <w:pPr>
              <w:pStyle w:val="Paragraphedeliste"/>
              <w:numPr>
                <w:ilvl w:val="0"/>
                <w:numId w:val="14"/>
              </w:numPr>
              <w:ind w:left="188" w:hanging="188"/>
              <w:rPr>
                <w:sz w:val="22"/>
              </w:rPr>
            </w:pPr>
            <w:r>
              <w:rPr>
                <w:sz w:val="22"/>
              </w:rPr>
              <w:t>Appuyer les artisans dans la construc</w:t>
            </w:r>
            <w:r w:rsidR="00EC242A">
              <w:rPr>
                <w:sz w:val="22"/>
              </w:rPr>
              <w:t>tion de fardeleuses</w:t>
            </w:r>
            <w:r>
              <w:rPr>
                <w:sz w:val="22"/>
              </w:rPr>
              <w:t xml:space="preserve"> (pour un coût de 200 000 FCFA).</w:t>
            </w:r>
          </w:p>
          <w:p w:rsidR="00F25222" w:rsidRPr="007F5D87" w:rsidRDefault="00F25222" w:rsidP="00E22425">
            <w:pPr>
              <w:pStyle w:val="Paragraphedeliste"/>
              <w:numPr>
                <w:ilvl w:val="0"/>
                <w:numId w:val="14"/>
              </w:numPr>
              <w:ind w:left="188" w:hanging="188"/>
              <w:rPr>
                <w:sz w:val="22"/>
              </w:rPr>
            </w:pPr>
            <w:r>
              <w:rPr>
                <w:sz w:val="22"/>
              </w:rPr>
              <w:t>Appuyer les entrepreneurs pour développer leur entreprise (produit 2.2).</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Élevage à petite échelle (par les femmes)</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Tous les sites</w:t>
            </w:r>
          </w:p>
        </w:tc>
        <w:tc>
          <w:tcPr>
            <w:tcW w:w="6131" w:type="dxa"/>
          </w:tcPr>
          <w:p w:rsidR="00F25222" w:rsidRPr="007F5D87" w:rsidRDefault="00F25222" w:rsidP="00E22425">
            <w:pPr>
              <w:pStyle w:val="Paragraphedeliste"/>
              <w:numPr>
                <w:ilvl w:val="0"/>
                <w:numId w:val="14"/>
              </w:numPr>
              <w:ind w:left="188" w:hanging="188"/>
              <w:rPr>
                <w:sz w:val="22"/>
              </w:rPr>
            </w:pPr>
            <w:r>
              <w:rPr>
                <w:sz w:val="22"/>
                <w:u w:val="single"/>
              </w:rPr>
              <w:t>Production de chèvres</w:t>
            </w:r>
            <w:r>
              <w:rPr>
                <w:sz w:val="22"/>
              </w:rPr>
              <w:t> : le choc climatique des années 80 a orienté l’élevage vers la chèvre, car les petits ruminants sont plus résistants. Un système de rotation sera mis en place à travers lequel des chèvres seront offertes à un premier groupement de femmes, qui donnera ensuite des chèvres à d’autres selon des critères bien définis. L’objectif est d’atteindre 1 000 bénéficiaires d’ici la quatrième année de mise en œuvre. Les bénéficiaires pourront augmenter leur nombre d’animaux chaque année avec un soutien ciblé : formation, mise en place de pharmacies vétérinaires, etc.</w:t>
            </w:r>
          </w:p>
          <w:p w:rsidR="00F25222" w:rsidRPr="007F5D87" w:rsidRDefault="00F25222" w:rsidP="00E22425">
            <w:pPr>
              <w:pStyle w:val="Paragraphedeliste"/>
              <w:numPr>
                <w:ilvl w:val="0"/>
                <w:numId w:val="14"/>
              </w:numPr>
              <w:ind w:left="188" w:hanging="188"/>
              <w:rPr>
                <w:sz w:val="22"/>
              </w:rPr>
            </w:pPr>
            <w:r>
              <w:rPr>
                <w:sz w:val="22"/>
                <w:u w:val="single"/>
              </w:rPr>
              <w:t>Production de poulets</w:t>
            </w:r>
            <w:r>
              <w:rPr>
                <w:sz w:val="22"/>
              </w:rPr>
              <w:t> : le croisement des poulets locaux avec des coqs de qualité supérieure résistants aux maladies, qui émergent dans des conditions climatiques changeantes, sera promu. Pour cinq poules apportées par le bénéficiaire, le projet finance un coq.</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Sel</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Delta du fleuve Sénégal</w:t>
            </w:r>
          </w:p>
        </w:tc>
        <w:tc>
          <w:tcPr>
            <w:tcW w:w="6131" w:type="dxa"/>
          </w:tcPr>
          <w:p w:rsidR="00F25222" w:rsidRPr="007F5D87" w:rsidRDefault="00F25222" w:rsidP="00E22425">
            <w:pPr>
              <w:pStyle w:val="Paragraphedeliste"/>
              <w:numPr>
                <w:ilvl w:val="0"/>
                <w:numId w:val="13"/>
              </w:numPr>
              <w:ind w:left="188" w:hanging="284"/>
              <w:rPr>
                <w:sz w:val="22"/>
              </w:rPr>
            </w:pPr>
            <w:r>
              <w:rPr>
                <w:sz w:val="22"/>
              </w:rPr>
              <w:t>Appuyer la production, le traitement et la commercialisation des produits à base de sel.</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Aquaculture (huîtres)</w:t>
            </w:r>
          </w:p>
        </w:tc>
        <w:tc>
          <w:tcPr>
            <w:tcW w:w="1418" w:type="dxa"/>
          </w:tcPr>
          <w:p w:rsidR="00F25222" w:rsidRPr="0008285F" w:rsidRDefault="00F25222" w:rsidP="00E22425">
            <w:pPr>
              <w:rPr>
                <w:rFonts w:ascii="Times New Roman" w:hAnsi="Times New Roman"/>
                <w:sz w:val="22"/>
              </w:rPr>
            </w:pPr>
            <w:r>
              <w:rPr>
                <w:rFonts w:ascii="Times New Roman" w:hAnsi="Times New Roman"/>
                <w:sz w:val="22"/>
              </w:rPr>
              <w:t>Delta du fleuve Sénégal, Delta du Saloum</w:t>
            </w:r>
          </w:p>
        </w:tc>
        <w:tc>
          <w:tcPr>
            <w:tcW w:w="6131" w:type="dxa"/>
          </w:tcPr>
          <w:p w:rsidR="00F25222" w:rsidRPr="007F5D87" w:rsidRDefault="00F25222" w:rsidP="00E22425">
            <w:pPr>
              <w:pStyle w:val="Paragraphedeliste"/>
              <w:numPr>
                <w:ilvl w:val="0"/>
                <w:numId w:val="13"/>
              </w:numPr>
              <w:ind w:left="175" w:hanging="283"/>
              <w:rPr>
                <w:sz w:val="22"/>
              </w:rPr>
            </w:pPr>
            <w:r>
              <w:rPr>
                <w:sz w:val="22"/>
              </w:rPr>
              <w:t>Restaurer la mangrove/habitat des fruits de mer.</w:t>
            </w:r>
          </w:p>
          <w:p w:rsidR="00F25222" w:rsidRPr="007F5D87" w:rsidRDefault="00F25222" w:rsidP="00E22425">
            <w:pPr>
              <w:pStyle w:val="Paragraphedeliste"/>
              <w:numPr>
                <w:ilvl w:val="0"/>
                <w:numId w:val="13"/>
              </w:numPr>
              <w:ind w:left="175" w:hanging="283"/>
              <w:rPr>
                <w:sz w:val="22"/>
              </w:rPr>
            </w:pPr>
            <w:r>
              <w:rPr>
                <w:sz w:val="22"/>
              </w:rPr>
              <w:t>Appuyer la transformation des fruits de mer.</w:t>
            </w:r>
          </w:p>
          <w:p w:rsidR="00F25222" w:rsidRPr="007F5D87" w:rsidRDefault="00F25222" w:rsidP="00E22425">
            <w:pPr>
              <w:pStyle w:val="Paragraphedeliste"/>
              <w:numPr>
                <w:ilvl w:val="0"/>
                <w:numId w:val="13"/>
              </w:numPr>
              <w:ind w:left="175" w:hanging="283"/>
              <w:rPr>
                <w:sz w:val="22"/>
              </w:rPr>
            </w:pPr>
            <w:r>
              <w:rPr>
                <w:sz w:val="22"/>
              </w:rPr>
              <w:t>Améliorer les filières et les valeurs ajoutées des fruits de mer.</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Miel</w:t>
            </w:r>
          </w:p>
        </w:tc>
        <w:tc>
          <w:tcPr>
            <w:tcW w:w="1418" w:type="dxa"/>
          </w:tcPr>
          <w:p w:rsidR="00F25222" w:rsidRPr="0008285F" w:rsidRDefault="00F25222" w:rsidP="00E22425">
            <w:pPr>
              <w:rPr>
                <w:rFonts w:ascii="Times New Roman" w:hAnsi="Times New Roman"/>
                <w:sz w:val="22"/>
              </w:rPr>
            </w:pPr>
            <w:r>
              <w:rPr>
                <w:rFonts w:ascii="Times New Roman" w:hAnsi="Times New Roman"/>
                <w:sz w:val="22"/>
              </w:rPr>
              <w:t>Niokolo-Koba, Delta du Saloum, 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la mise en place de ruches (cofinancer 50 % du coût total de 30 000 FCFA).</w:t>
            </w:r>
          </w:p>
          <w:p w:rsidR="00F25222" w:rsidRPr="007F5D87" w:rsidRDefault="00F25222" w:rsidP="00E22425">
            <w:pPr>
              <w:pStyle w:val="Paragraphedeliste"/>
              <w:numPr>
                <w:ilvl w:val="0"/>
                <w:numId w:val="14"/>
              </w:numPr>
              <w:ind w:left="188" w:hanging="188"/>
              <w:rPr>
                <w:sz w:val="22"/>
              </w:rPr>
            </w:pPr>
            <w:r>
              <w:rPr>
                <w:sz w:val="22"/>
              </w:rPr>
              <w:t>Améliorer le processus qualité de la production de miel.</w:t>
            </w:r>
          </w:p>
          <w:p w:rsidR="00F25222" w:rsidRPr="007F5D87" w:rsidRDefault="00F25222" w:rsidP="00E22425">
            <w:pPr>
              <w:pStyle w:val="Paragraphedeliste"/>
              <w:numPr>
                <w:ilvl w:val="0"/>
                <w:numId w:val="14"/>
              </w:numPr>
              <w:ind w:left="188" w:hanging="188"/>
              <w:rPr>
                <w:sz w:val="22"/>
              </w:rPr>
            </w:pPr>
            <w:r>
              <w:rPr>
                <w:sz w:val="22"/>
              </w:rPr>
              <w:t>Appuyer l’établissement de contrats entre le secteur privé et l’organisation (par exemple, le Réseau des apiculteurs du delta du Saloum, en abrégé RADES).</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rPr>
              <w:t>D’autres filières de fruit telles que le baobab (</w:t>
            </w:r>
            <w:r>
              <w:rPr>
                <w:rFonts w:ascii="Times New Roman" w:hAnsi="Times New Roman"/>
                <w:i/>
              </w:rPr>
              <w:t>Adansosia digitata</w:t>
            </w:r>
            <w:r>
              <w:rPr>
                <w:rFonts w:ascii="Times New Roman" w:hAnsi="Times New Roman"/>
              </w:rPr>
              <w:t>), le maad (</w:t>
            </w:r>
            <w:r>
              <w:rPr>
                <w:rFonts w:ascii="Times New Roman" w:hAnsi="Times New Roman"/>
                <w:i/>
              </w:rPr>
              <w:t>Saba senegalensis</w:t>
            </w:r>
            <w:r>
              <w:rPr>
                <w:rFonts w:ascii="Times New Roman" w:hAnsi="Times New Roman"/>
              </w:rPr>
              <w:t xml:space="preserve">) et </w:t>
            </w:r>
            <w:r>
              <w:rPr>
                <w:rFonts w:ascii="Times New Roman" w:hAnsi="Times New Roman"/>
                <w:i/>
              </w:rPr>
              <w:t>Sterculia setigera</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Niokolo-Koba</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la construction d’une plateforme de traitement (à Mako) et former les femmes à la gérer.</w:t>
            </w:r>
          </w:p>
          <w:p w:rsidR="00F25222" w:rsidRPr="007F5D87" w:rsidRDefault="00F25222" w:rsidP="00E22425">
            <w:pPr>
              <w:pStyle w:val="Paragraphedeliste"/>
              <w:numPr>
                <w:ilvl w:val="0"/>
                <w:numId w:val="14"/>
              </w:numPr>
              <w:ind w:left="188" w:hanging="188"/>
              <w:rPr>
                <w:sz w:val="22"/>
              </w:rPr>
            </w:pPr>
            <w:r>
              <w:rPr>
                <w:sz w:val="22"/>
              </w:rPr>
              <w:t>Former les groupements de femmes sur la qualité de la collecte du maad et des autres produits forestiers non ligneux.</w:t>
            </w:r>
          </w:p>
          <w:p w:rsidR="00F25222" w:rsidRPr="007F5D87" w:rsidRDefault="00F25222" w:rsidP="00E22425">
            <w:pPr>
              <w:pStyle w:val="Paragraphedeliste"/>
              <w:numPr>
                <w:ilvl w:val="0"/>
                <w:numId w:val="14"/>
              </w:numPr>
              <w:ind w:left="188" w:hanging="188"/>
              <w:rPr>
                <w:sz w:val="22"/>
              </w:rPr>
            </w:pPr>
            <w:r>
              <w:rPr>
                <w:sz w:val="22"/>
              </w:rPr>
              <w:t>Appuyer les groupements de femmes dans la commercialisation des produits.</w:t>
            </w:r>
          </w:p>
          <w:p w:rsidR="00F25222" w:rsidRPr="007F5D87" w:rsidRDefault="00F25222" w:rsidP="00E22425">
            <w:pPr>
              <w:pStyle w:val="Paragraphedeliste"/>
              <w:numPr>
                <w:ilvl w:val="0"/>
                <w:numId w:val="14"/>
              </w:numPr>
              <w:ind w:left="188" w:hanging="188"/>
              <w:rPr>
                <w:sz w:val="22"/>
              </w:rPr>
            </w:pPr>
            <w:r>
              <w:rPr>
                <w:sz w:val="22"/>
              </w:rPr>
              <w:t xml:space="preserve">Introduire </w:t>
            </w:r>
            <w:r>
              <w:rPr>
                <w:i/>
                <w:sz w:val="22"/>
              </w:rPr>
              <w:t>Sterculia setigera</w:t>
            </w:r>
            <w:r>
              <w:rPr>
                <w:sz w:val="22"/>
              </w:rPr>
              <w:t xml:space="preserve"> dans l’article 63 du code forestier et concevoir un mécanisme fiscal associé.</w:t>
            </w:r>
          </w:p>
          <w:p w:rsidR="00F25222" w:rsidRPr="007F5D87" w:rsidRDefault="00F25222" w:rsidP="00E22425">
            <w:pPr>
              <w:pStyle w:val="Paragraphedeliste"/>
              <w:numPr>
                <w:ilvl w:val="0"/>
                <w:numId w:val="14"/>
              </w:numPr>
              <w:ind w:left="188" w:hanging="188"/>
              <w:rPr>
                <w:sz w:val="22"/>
              </w:rPr>
            </w:pPr>
            <w:r>
              <w:rPr>
                <w:sz w:val="22"/>
              </w:rPr>
              <w:lastRenderedPageBreak/>
              <w:t xml:space="preserve">Établir des partenariats avec SETEXPHARM et SOCOGOM pour l’approvisionnement en </w:t>
            </w:r>
            <w:r>
              <w:rPr>
                <w:i/>
                <w:sz w:val="22"/>
              </w:rPr>
              <w:t>Sterculia setigera</w:t>
            </w:r>
            <w:r>
              <w:rPr>
                <w:sz w:val="22"/>
              </w:rPr>
              <w:t>.</w:t>
            </w:r>
          </w:p>
        </w:tc>
      </w:tr>
    </w:tbl>
    <w:p w:rsidR="00F25222" w:rsidRPr="007F5D87" w:rsidRDefault="00F25222" w:rsidP="00F25222">
      <w:pPr>
        <w:rPr>
          <w:rFonts w:ascii="Times New Roman" w:hAnsi="Times New Roman"/>
          <w:sz w:val="24"/>
        </w:rPr>
      </w:pPr>
    </w:p>
    <w:p w:rsidR="00F25222" w:rsidRPr="007F5D87" w:rsidRDefault="00F25222" w:rsidP="00F25222">
      <w:pPr>
        <w:rPr>
          <w:rFonts w:ascii="Times New Roman" w:hAnsi="Times New Roman"/>
          <w:sz w:val="24"/>
        </w:rPr>
      </w:pPr>
      <w:r>
        <w:rPr>
          <w:rFonts w:ascii="Times New Roman" w:hAnsi="Times New Roman"/>
          <w:sz w:val="24"/>
        </w:rPr>
        <w:t>Pour soutenir le développement d’activités génératrices de revenus, au moins 20 unités de transformation alimentaire (presse à huile, racloir, moulin, etc.) seront installées au profit des groupements de femmes à l’appui à la production et en tant que source de revenus.</w:t>
      </w:r>
    </w:p>
    <w:p w:rsidR="00F25222" w:rsidRPr="007F5D87" w:rsidRDefault="00F25222" w:rsidP="00F25222">
      <w:pPr>
        <w:rPr>
          <w:rFonts w:ascii="Times New Roman" w:hAnsi="Times New Roman"/>
          <w:sz w:val="24"/>
        </w:rPr>
      </w:pPr>
    </w:p>
    <w:p w:rsidR="00F25222" w:rsidRPr="007F5D87" w:rsidRDefault="00F25222" w:rsidP="00F25222">
      <w:pPr>
        <w:spacing w:after="0"/>
        <w:rPr>
          <w:rFonts w:ascii="Times New Roman" w:eastAsia="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2.2 : Le développement des petites entreprises résilientes est soutenu par des fonds renouvelables</w:t>
      </w:r>
    </w:p>
    <w:p w:rsidR="00F25222" w:rsidRPr="007F5D87" w:rsidRDefault="00F25222" w:rsidP="00F25222">
      <w:pPr>
        <w:rPr>
          <w:rFonts w:ascii="Times New Roman" w:hAnsi="Times New Roman"/>
          <w:sz w:val="24"/>
        </w:rPr>
      </w:pPr>
      <w:r>
        <w:rPr>
          <w:rFonts w:ascii="Times New Roman" w:hAnsi="Times New Roman"/>
          <w:sz w:val="24"/>
          <w:szCs w:val="20"/>
        </w:rPr>
        <w:t xml:space="preserve">De nombreuses études montrent que la diversification économique au Sénégal réduirait la vulnérabilité </w:t>
      </w:r>
      <w:r w:rsidR="00F22AF3">
        <w:rPr>
          <w:rFonts w:ascii="Times New Roman" w:hAnsi="Times New Roman"/>
          <w:sz w:val="24"/>
          <w:szCs w:val="20"/>
        </w:rPr>
        <w:t>aux changements climatiques</w:t>
      </w:r>
      <w:r>
        <w:rPr>
          <w:rFonts w:ascii="Times New Roman" w:hAnsi="Times New Roman"/>
          <w:sz w:val="24"/>
          <w:szCs w:val="20"/>
        </w:rPr>
        <w:t>, notamment en réduisant la sensibilité de l’agriculture aux sécheresses et en améliorant la capacité d’adaptation générale</w:t>
      </w:r>
      <w:r w:rsidRPr="007F5D87">
        <w:rPr>
          <w:rStyle w:val="Appelnotedebasdep"/>
          <w:szCs w:val="20"/>
        </w:rPr>
        <w:footnoteReference w:id="41"/>
      </w:r>
      <w:r>
        <w:rPr>
          <w:rFonts w:ascii="Times New Roman" w:hAnsi="Times New Roman"/>
          <w:sz w:val="24"/>
          <w:szCs w:val="20"/>
        </w:rPr>
        <w:t xml:space="preserve">. Au titre de ce produit, les ressources du Fonds pour les PMA aideront les petites entreprises (GIE) à renforcer des actions d’adaptation locales et à contribuer à leur financement par le biais de la conception et de la mise en œuvre d’un mécanisme de partage des avantages dans lequel les AGR sont soutenues, sur la base des résultats positifs des mécanismes de partage des avantages mis en place précédemment. Le </w:t>
      </w:r>
      <w:r w:rsidRPr="00EC242A">
        <w:rPr>
          <w:rFonts w:ascii="Times New Roman" w:hAnsi="Times New Roman"/>
          <w:sz w:val="24"/>
          <w:szCs w:val="20"/>
        </w:rPr>
        <w:t>Tableau 4</w:t>
      </w:r>
      <w:r>
        <w:rPr>
          <w:rFonts w:ascii="Times New Roman" w:hAnsi="Times New Roman"/>
          <w:sz w:val="24"/>
          <w:szCs w:val="20"/>
        </w:rPr>
        <w:t xml:space="preserve"> ci-dessus présente les activités résilientes identifiées que le projet soutiendra (produit 2.1). Ici, l’objectif est</w:t>
      </w:r>
      <w:r w:rsidR="004A36C3">
        <w:rPr>
          <w:rFonts w:ascii="Times New Roman" w:hAnsi="Times New Roman"/>
          <w:sz w:val="24"/>
          <w:szCs w:val="20"/>
        </w:rPr>
        <w:t xml:space="preserve">, à la suite du produit 2.1, </w:t>
      </w:r>
      <w:r>
        <w:rPr>
          <w:rFonts w:ascii="Times New Roman" w:hAnsi="Times New Roman"/>
          <w:sz w:val="24"/>
          <w:szCs w:val="20"/>
        </w:rPr>
        <w:t xml:space="preserve">de structurer les producteurs/entrepreneurs et de renforcer les GIE/groupements afin qu’ils décident ensemble de la manière de concevoir un mécanisme de partage des bénéfices pour la filière. </w:t>
      </w:r>
      <w:r>
        <w:rPr>
          <w:rFonts w:ascii="Times New Roman" w:hAnsi="Times New Roman"/>
          <w:sz w:val="24"/>
        </w:rPr>
        <w:t>En effet, les expériences menées au Sénégal (PERACOD, PROGEDE, etc.) et dans d’autres pays africains (projet PNUD-FEM MRPA à Madagascar sur les chaînes de valeur autour des aires protégées) montrent que le processus suivant devrait être mis en œuvre : 1) créer des groupements de producteurs/entrepreneurs ; 2) regrouper la production pour la vendre ensemble ; 3) à travers le travail collectif, les soumettre à une discussion d’ensemble sur un schéma de partage des bénéfices pour préserver la ressource, une meilleure gestion des forêts, etc.).</w:t>
      </w:r>
    </w:p>
    <w:p w:rsidR="00F25222" w:rsidRPr="00AE3BD3" w:rsidRDefault="00F25222" w:rsidP="00F25222">
      <w:pPr>
        <w:rPr>
          <w:rFonts w:ascii="Times New Roman" w:hAnsi="Times New Roman"/>
          <w:sz w:val="24"/>
        </w:rPr>
      </w:pPr>
    </w:p>
    <w:p w:rsidR="00F25222" w:rsidRPr="007F5D87" w:rsidRDefault="00F25222" w:rsidP="00F25222">
      <w:pPr>
        <w:rPr>
          <w:rFonts w:ascii="Times New Roman" w:hAnsi="Times New Roman"/>
          <w:sz w:val="24"/>
          <w:szCs w:val="20"/>
        </w:rPr>
      </w:pPr>
      <w:r>
        <w:rPr>
          <w:rFonts w:ascii="Times New Roman" w:hAnsi="Times New Roman"/>
          <w:sz w:val="24"/>
          <w:szCs w:val="20"/>
        </w:rPr>
        <w:t>Pour l’instant, sur les quatre sites du projet, il n’existe aucun mécanisme permettant le partage des revenus des produits forestiers non ligneux avec les communes et les populations locales. Actuellement, ces produits ne sont pas pris en compte dans les schémas de production et de commercialisation des produits issus des plans d’aménagement forestier. L’accès est gratuit pour chaque opérateur. Avec le concours des experts, le projet renforcera les producteurs/GIE et animera une consultation pour définir et mettra en place des mécanismes de partage des bénéfices. Des mécanismes détaillés sont disponibles à l’annexe </w:t>
      </w:r>
      <w:r w:rsidR="0039204D">
        <w:rPr>
          <w:rFonts w:ascii="Times New Roman" w:hAnsi="Times New Roman"/>
          <w:sz w:val="24"/>
          <w:szCs w:val="20"/>
        </w:rPr>
        <w:t xml:space="preserve">F </w:t>
      </w:r>
      <w:r>
        <w:rPr>
          <w:rFonts w:ascii="Times New Roman" w:hAnsi="Times New Roman"/>
          <w:sz w:val="24"/>
          <w:szCs w:val="20"/>
        </w:rPr>
        <w:t xml:space="preserve">du document de projet (Chapitre III : Partage des revenus des chaînes de valeur). Les experts mettront sur pied une unité mobile, avec en son sein un spécialiste de l’entrepreneuriat rural et des conseillers d’affaires, qui se déploiera sur les quatre sites du projet. </w:t>
      </w:r>
    </w:p>
    <w:p w:rsidR="00F25222" w:rsidRPr="00AE3BD3" w:rsidRDefault="00F25222" w:rsidP="00F25222">
      <w:pPr>
        <w:rPr>
          <w:rFonts w:ascii="Times New Roman" w:hAnsi="Times New Roman"/>
          <w:sz w:val="24"/>
          <w:szCs w:val="20"/>
        </w:rPr>
      </w:pPr>
    </w:p>
    <w:p w:rsidR="00F25222" w:rsidRPr="00AE3BD3" w:rsidRDefault="00F25222" w:rsidP="00F25222">
      <w:pPr>
        <w:rPr>
          <w:rFonts w:ascii="Times New Roman" w:hAnsi="Times New Roman"/>
          <w:sz w:val="24"/>
          <w:szCs w:val="20"/>
        </w:rPr>
      </w:pPr>
      <w:r>
        <w:rPr>
          <w:rFonts w:ascii="Times New Roman" w:hAnsi="Times New Roman"/>
          <w:sz w:val="24"/>
          <w:szCs w:val="20"/>
        </w:rPr>
        <w:t>Les activités suivantes contribueront à la réalisation du produit 2.2 :</w:t>
      </w:r>
    </w:p>
    <w:p w:rsidR="00F25222" w:rsidRPr="007F5D87" w:rsidRDefault="00F25222" w:rsidP="00F25222">
      <w:pPr>
        <w:rPr>
          <w:rFonts w:ascii="Times New Roman" w:hAnsi="Times New Roman"/>
          <w:sz w:val="24"/>
        </w:rPr>
      </w:pPr>
      <w:r>
        <w:rPr>
          <w:rFonts w:ascii="Times New Roman" w:hAnsi="Times New Roman"/>
          <w:sz w:val="24"/>
          <w:szCs w:val="20"/>
          <w:u w:val="single"/>
        </w:rPr>
        <w:t>Activité 2.2.1</w:t>
      </w:r>
      <w:r>
        <w:rPr>
          <w:rFonts w:ascii="Times New Roman" w:hAnsi="Times New Roman"/>
          <w:sz w:val="24"/>
          <w:szCs w:val="20"/>
        </w:rPr>
        <w:t xml:space="preserve"> : </w:t>
      </w:r>
      <w:r>
        <w:rPr>
          <w:rFonts w:ascii="Times New Roman" w:hAnsi="Times New Roman"/>
          <w:sz w:val="24"/>
        </w:rPr>
        <w:t>Créer des groupements de producteurs/groupements d’entrepreneurs et renforcer leurs capacités</w:t>
      </w:r>
    </w:p>
    <w:p w:rsidR="00F25222" w:rsidRPr="007F5D87" w:rsidRDefault="00F25222" w:rsidP="00F25222">
      <w:pPr>
        <w:rPr>
          <w:rFonts w:ascii="Times New Roman" w:hAnsi="Times New Roman"/>
          <w:sz w:val="24"/>
          <w:szCs w:val="20"/>
        </w:rPr>
      </w:pPr>
      <w:r>
        <w:rPr>
          <w:rFonts w:ascii="Times New Roman" w:hAnsi="Times New Roman"/>
          <w:sz w:val="24"/>
          <w:szCs w:val="20"/>
        </w:rPr>
        <w:lastRenderedPageBreak/>
        <w:t>C’est la première étape nécessaire permettant de discuter autour d’un mécanisme de partage : travailler ensemble. Les activités et les chaînes de valeur identifiées dans le cadre de la phase de préparation du projet (voir Tableau 4) sont à différents stades de maturité : des simples idées d’entrepreneurs isolés (vendeurs de sel à Gandiol, par exemple) à l’émergence de chaînes de valeur informelles. Avec le concours des experts (une unité mobile incluant un spécialiste de l’entrepreneuriat rural), cette activité apportera un soutien adéquat au GIE et aux entrepreneurs. Après la création ou l’identification du GIE/groupement, le spécialiste de l’entrepreneuriat rural définira les besoins en formation et en ressources. Par conséquent, les actions à mettre en œuvre sont les suivantes :</w:t>
      </w:r>
    </w:p>
    <w:p w:rsidR="00F25222" w:rsidRPr="007F5D87" w:rsidRDefault="00F25222" w:rsidP="00F25222">
      <w:pPr>
        <w:pStyle w:val="Paragraphedeliste"/>
        <w:numPr>
          <w:ilvl w:val="0"/>
          <w:numId w:val="14"/>
        </w:numPr>
        <w:rPr>
          <w:szCs w:val="20"/>
        </w:rPr>
      </w:pPr>
      <w:r>
        <w:t>identifier ou créer le GIE et le groupement ;</w:t>
      </w:r>
    </w:p>
    <w:p w:rsidR="00F25222" w:rsidRPr="007F5D87" w:rsidRDefault="00F25222" w:rsidP="00F25222">
      <w:pPr>
        <w:pStyle w:val="Paragraphedeliste"/>
        <w:numPr>
          <w:ilvl w:val="0"/>
          <w:numId w:val="14"/>
        </w:numPr>
        <w:rPr>
          <w:szCs w:val="20"/>
        </w:rPr>
      </w:pPr>
      <w:r>
        <w:t>identifier les besoins et définir les ressources à mobiliser ;</w:t>
      </w:r>
    </w:p>
    <w:p w:rsidR="00F25222" w:rsidRPr="007F5D87" w:rsidRDefault="00F25222" w:rsidP="00F25222">
      <w:pPr>
        <w:pStyle w:val="Paragraphedeliste"/>
        <w:numPr>
          <w:ilvl w:val="0"/>
          <w:numId w:val="14"/>
        </w:numPr>
        <w:rPr>
          <w:szCs w:val="20"/>
        </w:rPr>
      </w:pPr>
      <w:r>
        <w:t>travailler sur un problème courant (par exemple, augmenter, améliorer la productivité ou améliorer le marketing) ;</w:t>
      </w:r>
    </w:p>
    <w:p w:rsidR="00F25222" w:rsidRPr="007F5D87" w:rsidRDefault="00F25222" w:rsidP="00F25222">
      <w:pPr>
        <w:pStyle w:val="Paragraphedeliste"/>
        <w:numPr>
          <w:ilvl w:val="0"/>
          <w:numId w:val="14"/>
        </w:numPr>
        <w:rPr>
          <w:szCs w:val="20"/>
        </w:rPr>
      </w:pPr>
      <w:r>
        <w:t>former les membres du GIE et des groupements ;</w:t>
      </w:r>
    </w:p>
    <w:p w:rsidR="00F25222" w:rsidRPr="00AE3BD3" w:rsidRDefault="00F25222" w:rsidP="00F25222">
      <w:pPr>
        <w:rPr>
          <w:szCs w:val="20"/>
        </w:rPr>
      </w:pPr>
    </w:p>
    <w:p w:rsidR="00F25222" w:rsidRPr="007F5D87" w:rsidRDefault="00F25222" w:rsidP="00F25222">
      <w:pPr>
        <w:rPr>
          <w:rFonts w:ascii="Times New Roman" w:hAnsi="Times New Roman"/>
          <w:sz w:val="24"/>
        </w:rPr>
      </w:pPr>
      <w:r>
        <w:rPr>
          <w:rFonts w:ascii="Times New Roman" w:hAnsi="Times New Roman"/>
          <w:sz w:val="24"/>
          <w:u w:val="single"/>
        </w:rPr>
        <w:t>Activité 2.2.2</w:t>
      </w:r>
      <w:r>
        <w:rPr>
          <w:rFonts w:ascii="Times New Roman" w:hAnsi="Times New Roman"/>
          <w:sz w:val="24"/>
        </w:rPr>
        <w:t> : Concevoir, par le biais d’un processus participatif, un mécanisme de partage des bénéfices de l’activité/chaîne de valeur</w:t>
      </w:r>
    </w:p>
    <w:p w:rsidR="00F25222" w:rsidRPr="007F5D87" w:rsidRDefault="00F25222" w:rsidP="00F25222">
      <w:pPr>
        <w:rPr>
          <w:rFonts w:ascii="Times New Roman" w:hAnsi="Times New Roman"/>
          <w:sz w:val="24"/>
        </w:rPr>
      </w:pPr>
      <w:r>
        <w:rPr>
          <w:rFonts w:ascii="Times New Roman" w:hAnsi="Times New Roman"/>
          <w:sz w:val="24"/>
        </w:rPr>
        <w:t>L’annexe </w:t>
      </w:r>
      <w:r w:rsidR="0039204D">
        <w:rPr>
          <w:rFonts w:ascii="Times New Roman" w:hAnsi="Times New Roman"/>
          <w:sz w:val="24"/>
        </w:rPr>
        <w:t xml:space="preserve">F </w:t>
      </w:r>
      <w:r>
        <w:rPr>
          <w:rFonts w:ascii="Times New Roman" w:hAnsi="Times New Roman"/>
          <w:sz w:val="24"/>
        </w:rPr>
        <w:t xml:space="preserve">du document de projet détaille les différentes options de mécanisme. De manière générale, il existe trois accords de partage des bénéfices : 1) les </w:t>
      </w:r>
      <w:r w:rsidR="0095214F">
        <w:rPr>
          <w:rFonts w:ascii="Times New Roman" w:hAnsi="Times New Roman"/>
          <w:sz w:val="24"/>
        </w:rPr>
        <w:t xml:space="preserve">taxes sur les chaînes de valeur ; </w:t>
      </w:r>
      <w:r>
        <w:rPr>
          <w:rFonts w:ascii="Times New Roman" w:hAnsi="Times New Roman"/>
          <w:sz w:val="24"/>
        </w:rPr>
        <w:t xml:space="preserve"> 2) les redevances sur les produits ; 3) les contrats entre le producteur/GIE de producteurs et la société acheteuse. Le spécialiste de l’entrepreneuriat rural animera des sessions de travail avec les GIE/groupements et les représentants des communes pour concevoir et approuver ensemble un mécanisme de partage des bénéfices qui sera adapté à chaque territoire et activité/chaîne de valeur. Par conséquent, les actions à mettre en œuvre sont les suivantes :</w:t>
      </w:r>
    </w:p>
    <w:p w:rsidR="00F25222" w:rsidRPr="007F5D87" w:rsidRDefault="00F25222" w:rsidP="00F25222">
      <w:pPr>
        <w:pStyle w:val="Paragraphedeliste"/>
        <w:numPr>
          <w:ilvl w:val="0"/>
          <w:numId w:val="14"/>
        </w:numPr>
      </w:pPr>
      <w:r>
        <w:t>animer des séances de travail/discussions sur le partage des bénéfices ;</w:t>
      </w:r>
    </w:p>
    <w:p w:rsidR="00F25222" w:rsidRPr="007F5D87" w:rsidRDefault="00F25222" w:rsidP="00F25222">
      <w:pPr>
        <w:pStyle w:val="Paragraphedeliste"/>
        <w:numPr>
          <w:ilvl w:val="0"/>
          <w:numId w:val="14"/>
        </w:numPr>
      </w:pPr>
      <w:r>
        <w:t>concevoir le mécanisme de partage des bénéfices et le proposer à l’autorité compétente (commune) ;</w:t>
      </w:r>
    </w:p>
    <w:p w:rsidR="00F25222" w:rsidRPr="007F5D87" w:rsidRDefault="00F25222" w:rsidP="00F25222">
      <w:pPr>
        <w:pStyle w:val="Paragraphedeliste"/>
        <w:numPr>
          <w:ilvl w:val="0"/>
          <w:numId w:val="14"/>
        </w:numPr>
      </w:pPr>
      <w:r>
        <w:t>définir les principes et les conditions d’utilisation de ces fonds ;</w:t>
      </w:r>
    </w:p>
    <w:p w:rsidR="00F25222" w:rsidRPr="007F5D87" w:rsidRDefault="00F25222" w:rsidP="00F25222">
      <w:pPr>
        <w:pStyle w:val="Paragraphedeliste"/>
        <w:numPr>
          <w:ilvl w:val="0"/>
          <w:numId w:val="14"/>
        </w:numPr>
      </w:pPr>
      <w:r>
        <w:t xml:space="preserve">assurer la mise en </w:t>
      </w:r>
      <w:r w:rsidR="0095214F">
        <w:t>œuvre efficace de ce mécanisme.</w:t>
      </w:r>
    </w:p>
    <w:p w:rsidR="00F25222" w:rsidRPr="00AE3BD3" w:rsidRDefault="00F25222" w:rsidP="00F25222"/>
    <w:p w:rsidR="00F25222" w:rsidRPr="007F5D87" w:rsidRDefault="00F25222" w:rsidP="00F25222">
      <w:pPr>
        <w:rPr>
          <w:rFonts w:ascii="Times New Roman" w:hAnsi="Times New Roman"/>
          <w:sz w:val="24"/>
        </w:rPr>
      </w:pPr>
      <w:r>
        <w:rPr>
          <w:rFonts w:ascii="Times New Roman" w:hAnsi="Times New Roman"/>
          <w:sz w:val="24"/>
          <w:u w:val="single"/>
        </w:rPr>
        <w:t>Activité 2.2.3</w:t>
      </w:r>
      <w:r>
        <w:rPr>
          <w:rFonts w:ascii="Times New Roman" w:hAnsi="Times New Roman"/>
          <w:sz w:val="24"/>
        </w:rPr>
        <w:t> : Structurer ces fonds en fonds renouvelables afin de développer des activités pérennes et résilientes</w:t>
      </w:r>
    </w:p>
    <w:p w:rsidR="00F25222" w:rsidRPr="007F5D87" w:rsidRDefault="00F25222" w:rsidP="00F25222">
      <w:pPr>
        <w:rPr>
          <w:rFonts w:ascii="Times New Roman" w:hAnsi="Times New Roman"/>
          <w:sz w:val="24"/>
        </w:rPr>
      </w:pPr>
      <w:r>
        <w:rPr>
          <w:rFonts w:ascii="Times New Roman" w:hAnsi="Times New Roman"/>
          <w:sz w:val="24"/>
        </w:rPr>
        <w:t xml:space="preserve">Les fonds provenant des mécanismes de partage des bénéfices visent à renforcer la résilience des territoires par le biais d’investissements dans la RNC environnante. Par conséquent, </w:t>
      </w:r>
      <w:r w:rsidRPr="00137EFB">
        <w:rPr>
          <w:rFonts w:ascii="Times New Roman" w:hAnsi="Times New Roman"/>
          <w:sz w:val="24"/>
        </w:rPr>
        <w:t>l’organisation des ressources financières en fonds renouvelables vise à créer un impact plus large et plus durable</w:t>
      </w:r>
      <w:r>
        <w:rPr>
          <w:rFonts w:ascii="Times New Roman" w:hAnsi="Times New Roman"/>
          <w:sz w:val="24"/>
        </w:rPr>
        <w:t>. Ainsi, le projet devrait (avec le concours des experts) structurer ce mécanisme de partage des bénéfices en fonds renouvelables (hébergé par les mutuelles d’épargne et de crédit ou les institutions de microfinancement partenaires) et concevoir une procédure d’allocation et de remboursement pour ces fonds.</w:t>
      </w:r>
    </w:p>
    <w:p w:rsidR="00F25222" w:rsidRPr="00AE3BD3" w:rsidRDefault="00F25222" w:rsidP="00F25222">
      <w:pPr>
        <w:rPr>
          <w:rFonts w:ascii="Times New Roman" w:hAnsi="Times New Roman"/>
          <w:sz w:val="24"/>
        </w:rPr>
      </w:pPr>
    </w:p>
    <w:p w:rsidR="00F25222" w:rsidRPr="007F5D87" w:rsidRDefault="00F25222" w:rsidP="00F25222">
      <w:pPr>
        <w:rPr>
          <w:rFonts w:ascii="Times New Roman" w:hAnsi="Times New Roman"/>
          <w:sz w:val="24"/>
        </w:rPr>
      </w:pPr>
      <w:r>
        <w:rPr>
          <w:rFonts w:ascii="Times New Roman" w:hAnsi="Times New Roman"/>
          <w:sz w:val="24"/>
          <w:u w:val="single"/>
        </w:rPr>
        <w:t>Activité 2.2.4</w:t>
      </w:r>
      <w:r>
        <w:rPr>
          <w:rFonts w:ascii="Times New Roman" w:hAnsi="Times New Roman"/>
          <w:sz w:val="24"/>
        </w:rPr>
        <w:t> : Assurer le suivi, l’évaluation et partager d’expérience du GIE/groupements test</w:t>
      </w:r>
      <w:r w:rsidR="0095214F">
        <w:rPr>
          <w:rFonts w:ascii="Times New Roman" w:hAnsi="Times New Roman"/>
          <w:sz w:val="24"/>
        </w:rPr>
        <w:t>.</w:t>
      </w:r>
    </w:p>
    <w:p w:rsidR="00F25222" w:rsidRPr="007F5D87" w:rsidRDefault="00F25222" w:rsidP="00F25222">
      <w:pPr>
        <w:rPr>
          <w:rFonts w:ascii="Times New Roman" w:hAnsi="Times New Roman"/>
          <w:sz w:val="24"/>
        </w:rPr>
      </w:pPr>
      <w:r>
        <w:rPr>
          <w:rFonts w:ascii="Times New Roman" w:hAnsi="Times New Roman"/>
          <w:sz w:val="24"/>
        </w:rPr>
        <w:t xml:space="preserve">Afin de fournir des idées à d’autres GIE et entrepreneurs, ces expériences feront l’objet de suivi, seront exploitées et partagées avec les villageois des quatre (4) sites. Ce partage d’expérience se fera sous la forme de réunions villageoises au cours desquelles un ou plusieurs entrepreneurs </w:t>
      </w:r>
      <w:r>
        <w:rPr>
          <w:rFonts w:ascii="Times New Roman" w:hAnsi="Times New Roman"/>
          <w:sz w:val="24"/>
        </w:rPr>
        <w:lastRenderedPageBreak/>
        <w:t xml:space="preserve">soutenus par le projet partageront leur expérience (possibilité d’inviter des entrepreneurs d’autres sites du projet). </w:t>
      </w:r>
    </w:p>
    <w:p w:rsidR="00F25222" w:rsidRPr="00AE3BD3"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2.3 : L’information sur le climat est diffusée et les capacités des villageois (en particulier celles des femmes et des jeunes) sont renforcées pour se protéger contre les risques climatiques</w:t>
      </w:r>
    </w:p>
    <w:p w:rsidR="00F25222" w:rsidRPr="007F5D87" w:rsidRDefault="00F25222" w:rsidP="00F25222">
      <w:pPr>
        <w:pStyle w:val="NumberedParas"/>
        <w:numPr>
          <w:ilvl w:val="0"/>
          <w:numId w:val="0"/>
        </w:numPr>
      </w:pPr>
    </w:p>
    <w:p w:rsidR="00F25222" w:rsidRPr="00E93BDD" w:rsidRDefault="00F25222" w:rsidP="00F25222">
      <w:pPr>
        <w:pStyle w:val="NumberedParas"/>
      </w:pPr>
      <w:r>
        <w:t xml:space="preserve">Au titre de ce produit, les ressources du </w:t>
      </w:r>
      <w:r w:rsidRPr="00E93BDD">
        <w:t>Fonds pour les PMA soutiendront l’amélioration de la chaîne de production existante et la diffusion des informations agrométéorologiques. L’ANACIM, les communes et les radios rurales seront impliquées dans la mise en œuvre des activités. Le Sénégal est doté de 24 stations météorologiques manuelles et 3 automatiques sur l’ensemble de son territoire. Pour améliorer la couverture géospatiale du réseau national de surveillance, les stations météorologiques existantes doivent être : i) complétées par de nouvelles stations ; ii) automatisées.</w:t>
      </w:r>
    </w:p>
    <w:p w:rsidR="00F25222" w:rsidRPr="007F5D87" w:rsidRDefault="00F25222" w:rsidP="00F25222">
      <w:pPr>
        <w:pStyle w:val="NumberedParas"/>
        <w:numPr>
          <w:ilvl w:val="0"/>
          <w:numId w:val="0"/>
        </w:numPr>
      </w:pPr>
    </w:p>
    <w:p w:rsidR="00F25222" w:rsidRPr="007F5D87" w:rsidRDefault="00F25222" w:rsidP="00F25222">
      <w:pPr>
        <w:pStyle w:val="NumberedParas"/>
      </w:pPr>
      <w:r>
        <w:t>En implantant des stations météorologiques sur ses sites d’intervention, le projet améliorera la qualité de la couverture géospatiale du réseau national de surveillance. Cet équipement fournira également les données nécessaires pour permettre aux producteurs de se préparer. L’ANACIM sera responsable de l’exploitation et de l’entretien des stations hydrométéorologiques améliorées dans le cadre de ses responsabilités permanentes. En outre, l’agence assumera la responsabilité de la pérennité de l’exploitation et de l’entretien à long terme de l’équipement acquis pendant la durée de vie du projet et après sa clôture. On prévoit les activités suivantes :</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2.3.1 :</w:t>
      </w:r>
      <w:r>
        <w:rPr>
          <w:rFonts w:ascii="Times New Roman" w:hAnsi="Times New Roman"/>
          <w:sz w:val="24"/>
          <w:szCs w:val="20"/>
        </w:rPr>
        <w:t xml:space="preserve"> compléter l’équipement existant avec 3 stations météorologiques automatiques pour renforcer le mécanisme de collecte et de traitement des données dans ces zones d’intervention. Une station est déjà fonctionnelle à Ranérou et la station de Simenti doit être modernisée. Les actions à entreprendre sont les suivantes :</w:t>
      </w:r>
    </w:p>
    <w:p w:rsidR="00F25222" w:rsidRPr="007F5D87" w:rsidRDefault="00F25222" w:rsidP="00F25222">
      <w:pPr>
        <w:pStyle w:val="Paragraphedeliste"/>
        <w:numPr>
          <w:ilvl w:val="0"/>
          <w:numId w:val="8"/>
        </w:numPr>
        <w:jc w:val="both"/>
        <w:rPr>
          <w:szCs w:val="20"/>
        </w:rPr>
      </w:pPr>
      <w:r>
        <w:t>l’ANACIM évaluera l’état actuel du réseau météorologique dans les 4 régions cibles (en termes de nombre, d’emplacement et de type d’équipement) fournissant des observations météorologiques et climatiques pertinentes ;</w:t>
      </w:r>
    </w:p>
    <w:p w:rsidR="00F25222" w:rsidRPr="007F5D87" w:rsidRDefault="00F25222" w:rsidP="00F25222">
      <w:pPr>
        <w:pStyle w:val="Paragraphedeliste"/>
        <w:numPr>
          <w:ilvl w:val="0"/>
          <w:numId w:val="8"/>
        </w:numPr>
        <w:jc w:val="both"/>
        <w:rPr>
          <w:szCs w:val="20"/>
        </w:rPr>
      </w:pPr>
      <w:r>
        <w:t>installer ou moderniser trois stations météorologiques automatiques toutes équipées afin de collecter les données pluviométriques, de température, d’hygrométrie et de vent ;</w:t>
      </w:r>
    </w:p>
    <w:p w:rsidR="00F25222" w:rsidRPr="007F5D87" w:rsidRDefault="00F25222" w:rsidP="00F25222">
      <w:pPr>
        <w:pStyle w:val="Paragraphedeliste"/>
        <w:numPr>
          <w:ilvl w:val="0"/>
          <w:numId w:val="8"/>
        </w:numPr>
        <w:jc w:val="both"/>
        <w:rPr>
          <w:szCs w:val="20"/>
        </w:rPr>
      </w:pPr>
      <w:r>
        <w:t>concevoir un plan de maintenance à long terme et le mettre en œuvre pour éviter toute éventuelle dégradation des stations ;</w:t>
      </w:r>
    </w:p>
    <w:p w:rsidR="00F25222" w:rsidRPr="00E93BDD" w:rsidRDefault="00F25222" w:rsidP="00F25222">
      <w:pPr>
        <w:pStyle w:val="Paragraphedeliste"/>
        <w:numPr>
          <w:ilvl w:val="0"/>
          <w:numId w:val="8"/>
        </w:numPr>
        <w:jc w:val="both"/>
        <w:rPr>
          <w:szCs w:val="20"/>
        </w:rPr>
      </w:pPr>
      <w:r>
        <w:t xml:space="preserve">impliquer la commune et former un responsable en charge de la coordination au sein du personnel municipal pour pouvoir diffuser les </w:t>
      </w:r>
      <w:r w:rsidRPr="00E93BDD">
        <w:t>informations agroclimatiques ;</w:t>
      </w:r>
    </w:p>
    <w:p w:rsidR="00F25222" w:rsidRPr="007F5D87" w:rsidRDefault="00F25222" w:rsidP="00F25222">
      <w:pPr>
        <w:pStyle w:val="Paragraphedeliste"/>
        <w:numPr>
          <w:ilvl w:val="0"/>
          <w:numId w:val="8"/>
        </w:numPr>
        <w:jc w:val="both"/>
        <w:rPr>
          <w:szCs w:val="20"/>
        </w:rPr>
      </w:pPr>
      <w:r>
        <w:t>produire et diffuser des bulletins hydrométéorologiques agricoles en fonction des besoins des utilisateurs finaux.</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2.3.2</w:t>
      </w:r>
      <w:r>
        <w:rPr>
          <w:rFonts w:ascii="Times New Roman" w:hAnsi="Times New Roman"/>
          <w:sz w:val="24"/>
          <w:szCs w:val="20"/>
        </w:rPr>
        <w:t xml:space="preserve"> : Diffusion de l’information agrométéorologique et conseil aux producteurs </w:t>
      </w:r>
    </w:p>
    <w:p w:rsidR="00F25222" w:rsidRPr="007F5D87" w:rsidRDefault="00F25222" w:rsidP="00F25222">
      <w:pPr>
        <w:rPr>
          <w:rFonts w:ascii="Times New Roman" w:hAnsi="Times New Roman"/>
          <w:sz w:val="24"/>
          <w:szCs w:val="20"/>
        </w:rPr>
      </w:pPr>
      <w:r>
        <w:rPr>
          <w:rFonts w:ascii="Times New Roman" w:hAnsi="Times New Roman"/>
          <w:sz w:val="24"/>
          <w:szCs w:val="20"/>
        </w:rPr>
        <w:t xml:space="preserve">L’information agrométéorologique sera diffusée auprès d’au moins 5 000 ménages à travers trois canaux complémentaires : 1) des émissions de radio communautaire ; 2) les responsables de la coordination municipaux et les comités villageois de développement ; 3) les SMS. Avec 11,5 millions de Sénégalais possédant un téléphone portable (soit un taux de 83 %), la possibilité </w:t>
      </w:r>
      <w:r>
        <w:rPr>
          <w:rFonts w:ascii="Times New Roman" w:hAnsi="Times New Roman"/>
          <w:sz w:val="24"/>
          <w:szCs w:val="20"/>
        </w:rPr>
        <w:lastRenderedPageBreak/>
        <w:t>de partager instantanément les données collectées et de diffuser des bulletins météorologiques par SMS sera explorée. Entre autres actions spécifiques, on peut citer :</w:t>
      </w:r>
    </w:p>
    <w:p w:rsidR="00F25222" w:rsidRPr="007F5D87" w:rsidRDefault="00F25222" w:rsidP="00F25222">
      <w:pPr>
        <w:pStyle w:val="Paragraphedeliste"/>
        <w:numPr>
          <w:ilvl w:val="0"/>
          <w:numId w:val="9"/>
        </w:numPr>
        <w:rPr>
          <w:szCs w:val="20"/>
        </w:rPr>
      </w:pPr>
      <w:r>
        <w:t>établir et signer des ententes avec les radios rurales ;</w:t>
      </w:r>
    </w:p>
    <w:p w:rsidR="00F25222" w:rsidRPr="007F5D87" w:rsidRDefault="00F25222" w:rsidP="00F25222">
      <w:pPr>
        <w:pStyle w:val="Paragraphedeliste"/>
        <w:numPr>
          <w:ilvl w:val="0"/>
          <w:numId w:val="9"/>
        </w:numPr>
        <w:rPr>
          <w:szCs w:val="20"/>
        </w:rPr>
      </w:pPr>
      <w:r>
        <w:t>produire des informations hydrométéorologiques agricoles (par le biais de l’ANACIM), et les transmettre aux diffuseurs ;</w:t>
      </w:r>
    </w:p>
    <w:p w:rsidR="00F25222" w:rsidRPr="007F5D87" w:rsidRDefault="00F25222" w:rsidP="00F25222">
      <w:pPr>
        <w:pStyle w:val="Paragraphedeliste"/>
        <w:numPr>
          <w:ilvl w:val="0"/>
          <w:numId w:val="9"/>
        </w:numPr>
        <w:rPr>
          <w:szCs w:val="20"/>
        </w:rPr>
      </w:pPr>
      <w:r>
        <w:t>entamer un dialogue avec les prestataires de services (Orange, Tigo, Expresso, etc.) pour promouvoir l’importance de la responsabilité sociale et coopérative afin de parvenir à un accord pour la mise en place de SMS gratuits ;</w:t>
      </w:r>
    </w:p>
    <w:p w:rsidR="00F25222" w:rsidRPr="007F5D87" w:rsidRDefault="00F25222" w:rsidP="00F25222">
      <w:pPr>
        <w:pStyle w:val="Paragraphedeliste"/>
        <w:numPr>
          <w:ilvl w:val="0"/>
          <w:numId w:val="9"/>
        </w:numPr>
        <w:rPr>
          <w:szCs w:val="20"/>
        </w:rPr>
      </w:pPr>
      <w:r>
        <w:t>mettre en place une plateforme d’échange par SMS ;</w:t>
      </w:r>
    </w:p>
    <w:p w:rsidR="00F25222" w:rsidRPr="007F5D87" w:rsidRDefault="00F25222" w:rsidP="00F25222">
      <w:pPr>
        <w:pStyle w:val="Paragraphedeliste"/>
        <w:numPr>
          <w:ilvl w:val="0"/>
          <w:numId w:val="9"/>
        </w:numPr>
        <w:rPr>
          <w:szCs w:val="20"/>
        </w:rPr>
      </w:pPr>
      <w:r>
        <w:t>former un groupe de formateurs qui formera les communautés, les utilisateurs, les producteurs et les gestionnaires de projets ;</w:t>
      </w:r>
    </w:p>
    <w:p w:rsidR="00F25222" w:rsidRPr="007F5D87" w:rsidRDefault="00F25222" w:rsidP="00F25222">
      <w:pPr>
        <w:pStyle w:val="Paragraphedeliste"/>
        <w:numPr>
          <w:ilvl w:val="0"/>
          <w:numId w:val="9"/>
        </w:numPr>
        <w:rPr>
          <w:szCs w:val="20"/>
        </w:rPr>
      </w:pPr>
      <w:r>
        <w:t>mettre en place un système de suivi au niveau de la commune pour soutenir les utilisateurs ;</w:t>
      </w:r>
    </w:p>
    <w:p w:rsidR="00F25222" w:rsidRPr="007F5D87" w:rsidRDefault="00F25222" w:rsidP="00F25222">
      <w:pPr>
        <w:pStyle w:val="Paragraphedeliste"/>
        <w:numPr>
          <w:ilvl w:val="0"/>
          <w:numId w:val="9"/>
        </w:numPr>
        <w:rPr>
          <w:szCs w:val="20"/>
        </w:rPr>
      </w:pPr>
      <w:r>
        <w:t>évaluer et tirer parti des expériences de mise à l’échelle.</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2.3.3</w:t>
      </w:r>
      <w:r>
        <w:rPr>
          <w:rFonts w:ascii="Times New Roman" w:hAnsi="Times New Roman"/>
          <w:sz w:val="24"/>
          <w:szCs w:val="20"/>
        </w:rPr>
        <w:t xml:space="preserve"> : Renforcement des capacités pour que les communautés deviennent proactives dans la gestion des risques liés </w:t>
      </w:r>
      <w:r w:rsidR="00F22AF3">
        <w:rPr>
          <w:rFonts w:ascii="Times New Roman" w:hAnsi="Times New Roman"/>
          <w:sz w:val="24"/>
          <w:szCs w:val="20"/>
        </w:rPr>
        <w:t>aux changements climatiques</w:t>
      </w:r>
      <w:r>
        <w:rPr>
          <w:rFonts w:ascii="Times New Roman" w:hAnsi="Times New Roman"/>
          <w:sz w:val="24"/>
          <w:szCs w:val="20"/>
        </w:rPr>
        <w:t>. Des formations seront organisées au niveau du village, coorganisées par le comité villageois de développement, dans le but de fournir des capacités pour comprendre les paramètres et les incidences climatiques et être en mesure de prendre la bonne décision pour gérer les risques climatiques. Par exemple, lorsque l’harmattan arrive dans la région, les agriculteurs (qui seront alertés quelques jours auparavant grâce à l’information météorologique – produit 2.3.2) pourront décider de protéger les cultures par le paillage. En outre, les formations insisteront également sur les compétences de direction et renforceront l’esprit d’entreprise et les compétences organisationnelles. L’unité de gestion du projet nouera un partenariat avec l’ONG Ashoka (réseaux mondiaux d’entrepreneurs sociaux et environnementaux) afin de soutenir le renforcement des capacités des producteurs.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actions/formations spécifiques incluent :</w:t>
      </w:r>
    </w:p>
    <w:p w:rsidR="00F25222" w:rsidRPr="007F5D87" w:rsidRDefault="00F25222" w:rsidP="00F25222">
      <w:pPr>
        <w:pStyle w:val="Paragraphedeliste"/>
        <w:numPr>
          <w:ilvl w:val="0"/>
          <w:numId w:val="41"/>
        </w:numPr>
        <w:rPr>
          <w:szCs w:val="20"/>
        </w:rPr>
      </w:pPr>
      <w:r>
        <w:t>l’élaboration d’un plan de formation spécifique pour les communautés ;</w:t>
      </w:r>
    </w:p>
    <w:p w:rsidR="00F25222" w:rsidRPr="007F5D87" w:rsidRDefault="00F25222" w:rsidP="00F25222">
      <w:pPr>
        <w:pStyle w:val="Paragraphedeliste"/>
        <w:numPr>
          <w:ilvl w:val="0"/>
          <w:numId w:val="41"/>
        </w:numPr>
        <w:rPr>
          <w:szCs w:val="20"/>
        </w:rPr>
      </w:pPr>
      <w:r w:rsidRPr="00E93BDD">
        <w:t>Former des formateurs qui renforceront</w:t>
      </w:r>
      <w:r>
        <w:t xml:space="preserve"> les capacités des producteurs à comprendre les paramètres et les risques climatiques ;</w:t>
      </w:r>
    </w:p>
    <w:p w:rsidR="00F25222" w:rsidRPr="007F5D87" w:rsidRDefault="00F25222" w:rsidP="00F25222">
      <w:pPr>
        <w:pStyle w:val="Paragraphedeliste"/>
        <w:numPr>
          <w:ilvl w:val="0"/>
          <w:numId w:val="41"/>
        </w:numPr>
        <w:rPr>
          <w:szCs w:val="20"/>
        </w:rPr>
      </w:pPr>
      <w:r>
        <w:t>la création d’une bande dessinée à l’intention des producteurs et destinée à être diffusée à travers les CVD ;</w:t>
      </w:r>
    </w:p>
    <w:p w:rsidR="00F25222" w:rsidRPr="007F5D87" w:rsidRDefault="00F25222" w:rsidP="00F25222">
      <w:pPr>
        <w:pStyle w:val="Paragraphedeliste"/>
        <w:numPr>
          <w:ilvl w:val="0"/>
          <w:numId w:val="41"/>
        </w:numPr>
        <w:rPr>
          <w:szCs w:val="20"/>
        </w:rPr>
      </w:pPr>
      <w:r>
        <w:t>la formation des agriculteurs à de meilleures pratiques agricoles et à la planification en fonction de la variabilité du climat et des conditions météorologiques.</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 xml:space="preserve">Produit 2.4 : Les connaissances, les expériences clés et les enseignements tirés sont diffusés </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Au titre de ce produit, des mécanismes d’apprentissage communautaire sont établis et les expériences sont partagées par le biais de sites Internet, de publications techniques, de vidéos et d’autres médias pertinents. Des produits de communication (films, articles, affiches, rapports, etc.) sont développés pour informer sur le projet, les premiers enseignements tirés des mécanismes de financement novateurs mis en place (par exemple, les mécanismes de partage des bénéfices ou l’initiative de financement participatif) sont partagés aux fins de la diffusion pour produire des semences résistantes à la sécheresse, le développement des petites </w:t>
      </w:r>
      <w:r>
        <w:lastRenderedPageBreak/>
        <w:t xml:space="preserve">entreprises résilientes </w:t>
      </w:r>
      <w:r w:rsidR="00F22AF3">
        <w:t>aux changements climatiques</w:t>
      </w:r>
      <w:r>
        <w:t>, etc. Les informations sont diffusées sur le site Internet du projet et dans les journaux, à la télévision, lors d’expositions ou d’ateliers nationaux. Les ressources du Fonds pour les PMA seront axées sur l’amélioration du partage des connaissances et des enseignements tirés aux communautés locales en vue de favoriser une plus grande appropriation et de permettre la reproduction. Les activités spécifiques comprendront :</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2.4.1</w:t>
      </w:r>
      <w:r>
        <w:t> : les capacités de l’unité de gestion du projet seront renforcées pour produire et diffuser efficacement les connaissances et les enseignements tirés du projet. Cette activité sera réalisée avant l’évaluation à mi-parcours (en utilisant les connaissances et les enseignements tirés du PGIES et d’autres projets de référence). L’unité de gestion du PGIES a travaillé sans une véritable stratégie de communication et dispose de ressources humaines et matérielles limitées pour en tirer parti et partager les enseignements tirés. Un responsable de la communication sera également recruté pour définir la stratégie de communication du projet avec les parties prenantes, les moyens et le suivi au jour le jour des aspects liés à ce domaine. Les premières cibles de la stratégie de communication seront la population locale et le personnel communal dans les zones ciblées par le projet et les zones environnantes.</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2.4.2</w:t>
      </w:r>
      <w:r>
        <w:t xml:space="preserve"> : Conception d’outils de communication. Un film sera réalisé et diffusé dans les 15 communes et dans au moins 150 villages. Un partenariat sera établi avec l’association locale Nebebay (qui a plusieurs projets climatiques en cours sur les sites du delta du Saloum) afin de bénéficier de son expérience de sensibilisation </w:t>
      </w:r>
      <w:r w:rsidR="00F22AF3">
        <w:t>aux changements climatiques</w:t>
      </w:r>
      <w:r>
        <w:t xml:space="preserve"> (projection de films nocturnes dans les villages du Saloum). Deux brochures (manuels) très pratiques seront élaborées et diffusées : une qui présente des pratiques résilientes à l’intention de la population rurale, une autre qui présente des mécanismes de financement novateurs à l’intention des communes. Le paquet d’information sera présenté dans les formats adéquats et traduit les langues appropriées pour permettre la diffusion par les ondes des radios communautaires ou des chaînes de télévision dans les langues nationales.</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2.4.3</w:t>
      </w:r>
      <w:r>
        <w:t xml:space="preserve"> : Organiser au moins 15 visites d’étude des maires et du personnel municipal dans le but de partager les bonnes pratiques pour augmenter le financement climatique. Par exemple, l’expérience de Sokone (organisation d’un téléthon qui a permis de recueillir 60 000 dollars US) peut bénéficier à d’autres communes. En outre, au moins 500 villageois (75 % de femmes) participeront à des visites d’échange dans le but d’apprendre des bonnes pratiques. </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2.4.4</w:t>
      </w:r>
      <w:r>
        <w:t xml:space="preserve"> : Un site Internet du projet sera créé avec des liens vers le site d’adaptation du PNUD/FEM (adaptation-undp.org) et Wikiadapt pour s’assurer que les enseignements tirés de ce projet touchent un public plus large, y compris les organismes internationaux, les donateurs et le Secrétariat du FEM. Au moins cinq articles seront publiés sur d’autres </w:t>
      </w:r>
      <w:r w:rsidRPr="00E93BDD">
        <w:t>sites tels que exposure, stories.undp.org, etc.</w:t>
      </w:r>
    </w:p>
    <w:p w:rsidR="00F25222" w:rsidRPr="007F5D87" w:rsidRDefault="00F25222" w:rsidP="00F25222">
      <w:pPr>
        <w:spacing w:after="0"/>
        <w:jc w:val="left"/>
        <w:rPr>
          <w:rFonts w:cs="Segoe UI"/>
          <w:color w:val="000000"/>
          <w:szCs w:val="20"/>
        </w:rPr>
      </w:pPr>
    </w:p>
    <w:p w:rsidR="00F25222" w:rsidRPr="007F5D87" w:rsidRDefault="00F25222" w:rsidP="00F25222">
      <w:pPr>
        <w:spacing w:after="0"/>
        <w:jc w:val="left"/>
        <w:rPr>
          <w:rFonts w:cs="Segoe UI"/>
          <w:color w:val="000000"/>
          <w:szCs w:val="20"/>
        </w:rPr>
      </w:pPr>
    </w:p>
    <w:p w:rsidR="00F25222" w:rsidRPr="007F5D87" w:rsidRDefault="00F25222" w:rsidP="00F25222">
      <w:pPr>
        <w:numPr>
          <w:ilvl w:val="0"/>
          <w:numId w:val="3"/>
        </w:numPr>
        <w:spacing w:after="0"/>
        <w:jc w:val="left"/>
        <w:rPr>
          <w:rFonts w:cs="Segoe UI"/>
          <w:color w:val="000000"/>
          <w:sz w:val="24"/>
          <w:szCs w:val="20"/>
        </w:rPr>
      </w:pPr>
      <w:r>
        <w:rPr>
          <w:sz w:val="24"/>
          <w:szCs w:val="20"/>
          <w:u w:val="single"/>
        </w:rPr>
        <w:t>Implication des parties prenantes :</w:t>
      </w:r>
      <w:r>
        <w:rPr>
          <w:i/>
          <w:sz w:val="24"/>
          <w:szCs w:val="20"/>
        </w:rPr>
        <w:t xml:space="preserve"> </w:t>
      </w:r>
    </w:p>
    <w:p w:rsidR="00F25222" w:rsidRPr="007F5D87" w:rsidRDefault="00F25222" w:rsidP="00F25222">
      <w:pPr>
        <w:pStyle w:val="NumberedParas"/>
        <w:numPr>
          <w:ilvl w:val="0"/>
          <w:numId w:val="0"/>
        </w:numPr>
      </w:pPr>
    </w:p>
    <w:p w:rsidR="00F25222" w:rsidRPr="007F5D87" w:rsidRDefault="00F25222" w:rsidP="00F25222">
      <w:pPr>
        <w:pStyle w:val="NumberedParas"/>
      </w:pPr>
      <w:r>
        <w:rPr>
          <w:color w:val="000000"/>
          <w:szCs w:val="20"/>
        </w:rPr>
        <w:t xml:space="preserve">La stratégie de mise en œuvre du projet financé par le Fonds pour les PMA comprend une large participation des parties prenantes. Les détails de leur participation à la phase de préparation du projet sont fournis dans les annexes. </w:t>
      </w:r>
      <w:r>
        <w:t xml:space="preserve">Les principales parties prenantes du projet </w:t>
      </w:r>
      <w:r>
        <w:lastRenderedPageBreak/>
        <w:t xml:space="preserve">comprennent : i) les ministères, les administrations locales et les autres institutions publiques qui mettent en œuvre le projet et/ou en bénéficient ; ii) les partenaires coopérants, les ONG et les organisations de la société civile impliquées dans l’appui direct ; iii) les communautés qui vivent dans les zones rurales ciblées, y compris la participation de groupes potentiellement vulnérables tels que les femmes. </w:t>
      </w:r>
      <w:r>
        <w:rPr>
          <w:color w:val="000000"/>
          <w:szCs w:val="20"/>
        </w:rPr>
        <w:t>Le Tableau 5 ci-dessous propose un plan d’implication des parties prenantes pour la phase de mise en œuvre. Il sera développé et validé lors de l’atelier de lancement du projet.</w:t>
      </w:r>
    </w:p>
    <w:p w:rsidR="00F25222" w:rsidRPr="007F5D87" w:rsidRDefault="00F25222" w:rsidP="00F25222">
      <w:pPr>
        <w:rPr>
          <w:rFonts w:ascii="Times New Roman" w:hAnsi="Times New Roman"/>
          <w:sz w:val="24"/>
        </w:rPr>
      </w:pPr>
    </w:p>
    <w:p w:rsidR="00F25222" w:rsidRPr="007F5D87" w:rsidRDefault="00F25222" w:rsidP="00F25222">
      <w:pPr>
        <w:pStyle w:val="Lgende"/>
        <w:rPr>
          <w:b w:val="0"/>
          <w:i w:val="0"/>
          <w:szCs w:val="22"/>
          <w:u w:val="single"/>
        </w:rPr>
      </w:pPr>
      <w:r>
        <w:rPr>
          <w:b w:val="0"/>
          <w:szCs w:val="22"/>
          <w:u w:val="single"/>
        </w:rPr>
        <w:t>Tableau 5: Plan d’engagement des parties prenantes</w:t>
      </w:r>
    </w:p>
    <w:p w:rsidR="00F25222" w:rsidRPr="007F5D87" w:rsidRDefault="00F25222" w:rsidP="00F25222">
      <w:pPr>
        <w:spacing w:after="0"/>
        <w:jc w:val="left"/>
        <w:rPr>
          <w:rFonts w:cs="Segoe UI"/>
          <w:color w:val="000000"/>
          <w:szCs w:val="20"/>
        </w:rPr>
      </w:pPr>
    </w:p>
    <w:tbl>
      <w:tblPr>
        <w:tblW w:w="92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892"/>
        <w:gridCol w:w="4345"/>
      </w:tblGrid>
      <w:tr w:rsidR="00F25222" w:rsidRPr="007F5D87" w:rsidTr="00E22425">
        <w:trPr>
          <w:trHeight w:val="260"/>
          <w:tblHeader/>
        </w:trPr>
        <w:tc>
          <w:tcPr>
            <w:tcW w:w="3029" w:type="dxa"/>
            <w:shd w:val="clear" w:color="auto" w:fill="EAF1DD"/>
          </w:tcPr>
          <w:p w:rsidR="00F25222" w:rsidRPr="007F5D87" w:rsidRDefault="00F25222" w:rsidP="00E22425">
            <w:pPr>
              <w:spacing w:after="0"/>
              <w:rPr>
                <w:b/>
              </w:rPr>
            </w:pPr>
            <w:r>
              <w:rPr>
                <w:b/>
              </w:rPr>
              <w:t xml:space="preserve">Produits </w:t>
            </w:r>
          </w:p>
        </w:tc>
        <w:tc>
          <w:tcPr>
            <w:tcW w:w="1892" w:type="dxa"/>
            <w:shd w:val="clear" w:color="auto" w:fill="EAF1DD"/>
          </w:tcPr>
          <w:p w:rsidR="00F25222" w:rsidRPr="007F5D87" w:rsidRDefault="00F25222" w:rsidP="00E22425">
            <w:pPr>
              <w:spacing w:after="0"/>
              <w:rPr>
                <w:b/>
                <w:szCs w:val="20"/>
              </w:rPr>
            </w:pPr>
            <w:r>
              <w:rPr>
                <w:b/>
                <w:iCs/>
                <w:szCs w:val="20"/>
              </w:rPr>
              <w:t>Parties prenantes</w:t>
            </w:r>
          </w:p>
        </w:tc>
        <w:tc>
          <w:tcPr>
            <w:tcW w:w="4345" w:type="dxa"/>
            <w:shd w:val="clear" w:color="auto" w:fill="EAF1DD"/>
          </w:tcPr>
          <w:p w:rsidR="00F25222" w:rsidRPr="007F5D87" w:rsidRDefault="00F25222" w:rsidP="00E22425">
            <w:pPr>
              <w:spacing w:after="0"/>
              <w:rPr>
                <w:b/>
                <w:szCs w:val="20"/>
              </w:rPr>
            </w:pPr>
            <w:r>
              <w:rPr>
                <w:b/>
                <w:szCs w:val="20"/>
              </w:rPr>
              <w:t>Responsabilités principales</w:t>
            </w:r>
          </w:p>
        </w:tc>
      </w:tr>
      <w:tr w:rsidR="00F25222" w:rsidRPr="007F5D87" w:rsidTr="00E22425">
        <w:tc>
          <w:tcPr>
            <w:tcW w:w="3029" w:type="dxa"/>
            <w:shd w:val="clear" w:color="auto" w:fill="auto"/>
          </w:tcPr>
          <w:p w:rsidR="00F25222" w:rsidRPr="007F5D87" w:rsidRDefault="00F25222" w:rsidP="00E22425">
            <w:pPr>
              <w:spacing w:after="0"/>
              <w:rPr>
                <w:rFonts w:eastAsia="Times New Roman"/>
                <w:b/>
                <w:i/>
                <w:szCs w:val="20"/>
              </w:rPr>
            </w:pPr>
            <w:r>
              <w:rPr>
                <w:b/>
              </w:rPr>
              <w:t>1.1 :</w:t>
            </w:r>
            <w:r>
              <w:rPr>
                <w:sz w:val="16"/>
              </w:rPr>
              <w:t xml:space="preserve"> </w:t>
            </w:r>
            <w:r>
              <w:t xml:space="preserve">Des mesures d’adaptation aux changements climatiques sont intégrées dans les plans et budgets de développement locaux et des </w:t>
            </w:r>
            <w:r w:rsidR="00A5434B">
              <w:t>FCD</w:t>
            </w:r>
            <w:r>
              <w:t xml:space="preserve"> sont établis.</w:t>
            </w:r>
          </w:p>
        </w:tc>
        <w:tc>
          <w:tcPr>
            <w:tcW w:w="1892" w:type="dxa"/>
          </w:tcPr>
          <w:p w:rsidR="00F25222" w:rsidRPr="007F5D87" w:rsidRDefault="00F25222" w:rsidP="00E22425">
            <w:pPr>
              <w:spacing w:after="0"/>
            </w:pPr>
            <w:r>
              <w:t>Communes et GIC</w:t>
            </w:r>
          </w:p>
          <w:p w:rsidR="00F25222" w:rsidRPr="007F5D87" w:rsidRDefault="00F25222" w:rsidP="00E22425">
            <w:pPr>
              <w:spacing w:after="0"/>
            </w:pPr>
            <w:r>
              <w:t>PNDL</w:t>
            </w:r>
          </w:p>
          <w:p w:rsidR="00F25222" w:rsidRPr="00AE3BD3" w:rsidRDefault="00F25222" w:rsidP="00E22425">
            <w:pPr>
              <w:spacing w:after="0"/>
            </w:pPr>
          </w:p>
          <w:p w:rsidR="00F25222" w:rsidRPr="007F5D87" w:rsidRDefault="00F25222" w:rsidP="00E22425">
            <w:pPr>
              <w:spacing w:after="0"/>
            </w:pPr>
            <w:r>
              <w:t>ARD</w:t>
            </w:r>
          </w:p>
          <w:p w:rsidR="00F25222" w:rsidRPr="00AE3BD3" w:rsidRDefault="00F25222" w:rsidP="00E22425">
            <w:pPr>
              <w:spacing w:after="0"/>
            </w:pPr>
          </w:p>
          <w:p w:rsidR="00F25222" w:rsidRPr="007F5D87" w:rsidRDefault="00F25222" w:rsidP="00E22425">
            <w:pPr>
              <w:spacing w:after="0"/>
            </w:pPr>
            <w:r>
              <w:t xml:space="preserve">IED Sénégal </w:t>
            </w:r>
          </w:p>
          <w:p w:rsidR="00F25222" w:rsidRPr="007F5D87" w:rsidRDefault="00F25222" w:rsidP="00E22425">
            <w:pPr>
              <w:spacing w:after="0"/>
            </w:pPr>
            <w:r>
              <w:t>OSC, population locale</w:t>
            </w:r>
          </w:p>
        </w:tc>
        <w:tc>
          <w:tcPr>
            <w:tcW w:w="4345" w:type="dxa"/>
          </w:tcPr>
          <w:p w:rsidR="00F25222" w:rsidRPr="007F5D87" w:rsidRDefault="00F25222" w:rsidP="00E22425">
            <w:pPr>
              <w:spacing w:after="0"/>
            </w:pPr>
            <w:r>
              <w:t>Fournir des informations et la documentation.</w:t>
            </w:r>
          </w:p>
          <w:p w:rsidR="00F25222" w:rsidRPr="007F5D87" w:rsidRDefault="00F25222" w:rsidP="00E22425">
            <w:pPr>
              <w:spacing w:after="0"/>
            </w:pPr>
            <w:r>
              <w:t xml:space="preserve">Signer un contrat de partenariat avec le PNDL au début du projet - </w:t>
            </w:r>
          </w:p>
          <w:p w:rsidR="00F25222" w:rsidRPr="007F5D87" w:rsidRDefault="00F25222" w:rsidP="00E22425">
            <w:pPr>
              <w:spacing w:after="0"/>
            </w:pPr>
            <w:r>
              <w:t xml:space="preserve">Appui technique des communes pour intégrer l’adaptation aux changements climatiques et établir le </w:t>
            </w:r>
            <w:r w:rsidR="00A5434B">
              <w:t>FCD</w:t>
            </w:r>
          </w:p>
          <w:p w:rsidR="00F25222" w:rsidRPr="007F5D87" w:rsidRDefault="00F25222" w:rsidP="00E22425">
            <w:pPr>
              <w:spacing w:after="0"/>
            </w:pPr>
            <w:r>
              <w:t xml:space="preserve">Apportez la capitalisation du </w:t>
            </w:r>
            <w:r w:rsidR="00A5434B">
              <w:t>FCD</w:t>
            </w:r>
            <w:r>
              <w:t xml:space="preserve"> (projet DFID).</w:t>
            </w:r>
          </w:p>
          <w:p w:rsidR="00F25222" w:rsidRPr="007F5D87" w:rsidRDefault="00F25222" w:rsidP="00E22425">
            <w:pPr>
              <w:spacing w:after="0"/>
            </w:pPr>
            <w:r>
              <w:t xml:space="preserve">Identification des principales menaces liées </w:t>
            </w:r>
            <w:r w:rsidR="00F22AF3">
              <w:t>aux changements climatiques</w:t>
            </w:r>
            <w:r>
              <w:t>, activités clés, appui à la mise en œuvre des activités, mobilisation des communautés.</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1.2 :</w:t>
            </w:r>
            <w:r>
              <w:t xml:space="preserve"> Des mécanismes de financement novateurs sont mis en place et contribuent à financer des mesures d’adaptation au niveau local.</w:t>
            </w:r>
          </w:p>
        </w:tc>
        <w:tc>
          <w:tcPr>
            <w:tcW w:w="1892" w:type="dxa"/>
          </w:tcPr>
          <w:p w:rsidR="00F25222" w:rsidRPr="007F5D87" w:rsidRDefault="00F25222" w:rsidP="00E22425">
            <w:pPr>
              <w:spacing w:after="0"/>
            </w:pPr>
            <w:r>
              <w:t>DFV (MEDD)</w:t>
            </w:r>
          </w:p>
          <w:p w:rsidR="00F25222" w:rsidRPr="00AE3BD3" w:rsidRDefault="00F25222" w:rsidP="00E22425">
            <w:pPr>
              <w:spacing w:after="0"/>
            </w:pPr>
          </w:p>
          <w:p w:rsidR="00F25222" w:rsidRPr="007F5D87" w:rsidRDefault="00F25222" w:rsidP="00E22425">
            <w:pPr>
              <w:spacing w:after="0"/>
            </w:pPr>
            <w:r>
              <w:t>PNDL</w:t>
            </w:r>
          </w:p>
          <w:p w:rsidR="00F25222" w:rsidRPr="007F5D87" w:rsidRDefault="00F25222" w:rsidP="00E22425">
            <w:pPr>
              <w:spacing w:after="0"/>
            </w:pPr>
            <w:r>
              <w:t>Secteur privé</w:t>
            </w:r>
          </w:p>
          <w:p w:rsidR="00F25222" w:rsidRPr="00AE3BD3" w:rsidRDefault="00F25222" w:rsidP="00E22425">
            <w:pPr>
              <w:spacing w:after="0"/>
            </w:pPr>
          </w:p>
          <w:p w:rsidR="00F25222" w:rsidRPr="007F5D87" w:rsidRDefault="00F25222" w:rsidP="00E22425">
            <w:pPr>
              <w:spacing w:after="0"/>
            </w:pPr>
            <w:r>
              <w:t>CNAPPP</w:t>
            </w:r>
          </w:p>
          <w:p w:rsidR="00F25222" w:rsidRPr="00AE3BD3" w:rsidRDefault="00F25222" w:rsidP="00E22425">
            <w:pPr>
              <w:spacing w:after="0"/>
            </w:pPr>
          </w:p>
          <w:p w:rsidR="00F25222" w:rsidRPr="007F5D87" w:rsidRDefault="00F25222" w:rsidP="00E22425">
            <w:pPr>
              <w:spacing w:after="0"/>
            </w:pPr>
            <w:r>
              <w:t>Communautés locales</w:t>
            </w:r>
          </w:p>
          <w:p w:rsidR="00F25222" w:rsidRPr="007F5D87" w:rsidRDefault="00F25222" w:rsidP="00E22425">
            <w:pPr>
              <w:spacing w:after="0"/>
              <w:rPr>
                <w:lang w:val="en-GB"/>
              </w:rPr>
            </w:pPr>
          </w:p>
          <w:p w:rsidR="00F25222" w:rsidRPr="007F5D87" w:rsidRDefault="00F25222" w:rsidP="00E22425">
            <w:pPr>
              <w:spacing w:after="0"/>
            </w:pPr>
            <w:r>
              <w:t>MIN</w:t>
            </w:r>
          </w:p>
          <w:p w:rsidR="00F25222" w:rsidRPr="007F5D87" w:rsidRDefault="00F25222" w:rsidP="00E22425">
            <w:pPr>
              <w:spacing w:after="0"/>
              <w:rPr>
                <w:lang w:val="en-GB"/>
              </w:rPr>
            </w:pPr>
          </w:p>
        </w:tc>
        <w:tc>
          <w:tcPr>
            <w:tcW w:w="4345" w:type="dxa"/>
          </w:tcPr>
          <w:p w:rsidR="00F25222" w:rsidRPr="007F5D87" w:rsidRDefault="00F25222" w:rsidP="00E22425">
            <w:pPr>
              <w:spacing w:after="0"/>
              <w:rPr>
                <w:bCs/>
                <w:iCs/>
              </w:rPr>
            </w:pPr>
            <w:r>
              <w:t>Fournir une assistance pour concevoir des mécanismes financiers novateurs</w:t>
            </w:r>
          </w:p>
          <w:p w:rsidR="00F25222" w:rsidRPr="007F5D87" w:rsidRDefault="00F25222" w:rsidP="00E22425">
            <w:pPr>
              <w:spacing w:after="0"/>
              <w:rPr>
                <w:bCs/>
                <w:iCs/>
              </w:rPr>
            </w:pPr>
            <w:r>
              <w:t>Appui technique aux communes.</w:t>
            </w:r>
          </w:p>
          <w:p w:rsidR="00F25222" w:rsidRPr="007F5D87" w:rsidRDefault="00F25222" w:rsidP="00E22425">
            <w:pPr>
              <w:spacing w:after="0"/>
              <w:rPr>
                <w:bCs/>
                <w:iCs/>
              </w:rPr>
            </w:pPr>
            <w:r>
              <w:t>Participer à des ateliers de conception de la RSE, des mécanismes de compensation.</w:t>
            </w:r>
          </w:p>
          <w:p w:rsidR="00F25222" w:rsidRPr="007F5D87" w:rsidRDefault="00F25222" w:rsidP="00E22425">
            <w:pPr>
              <w:spacing w:after="0"/>
              <w:rPr>
                <w:bCs/>
                <w:iCs/>
              </w:rPr>
            </w:pPr>
            <w:r>
              <w:t>Former les communes pour l’établissement de PPP.</w:t>
            </w:r>
          </w:p>
          <w:p w:rsidR="00F25222" w:rsidRPr="007F5D87" w:rsidRDefault="00F25222" w:rsidP="00E22425">
            <w:pPr>
              <w:spacing w:after="0"/>
              <w:rPr>
                <w:bCs/>
                <w:iCs/>
              </w:rPr>
            </w:pPr>
            <w:r>
              <w:t>Conception participative et mise en œuvre des mécanismes financiers.</w:t>
            </w:r>
          </w:p>
          <w:p w:rsidR="00F25222" w:rsidRPr="007F5D87" w:rsidRDefault="00F25222" w:rsidP="00E22425">
            <w:pPr>
              <w:spacing w:after="0"/>
              <w:rPr>
                <w:bCs/>
                <w:iCs/>
              </w:rPr>
            </w:pPr>
            <w:r>
              <w:t>Collaborer avec le MEDD pour implanter le fonds minier.</w:t>
            </w:r>
          </w:p>
        </w:tc>
      </w:tr>
      <w:tr w:rsidR="00F25222" w:rsidRPr="007E3761" w:rsidTr="00E22425">
        <w:tc>
          <w:tcPr>
            <w:tcW w:w="3029" w:type="dxa"/>
            <w:shd w:val="clear" w:color="auto" w:fill="auto"/>
          </w:tcPr>
          <w:p w:rsidR="00F25222" w:rsidRPr="007E3761" w:rsidRDefault="00F25222" w:rsidP="00E22425">
            <w:pPr>
              <w:spacing w:after="0"/>
              <w:rPr>
                <w:b/>
                <w:bCs/>
                <w:iCs/>
              </w:rPr>
            </w:pPr>
            <w:r>
              <w:rPr>
                <w:b/>
                <w:bCs/>
                <w:iCs/>
              </w:rPr>
              <w:t>1.3 :</w:t>
            </w:r>
            <w:r>
              <w:t xml:space="preserve"> Le réseau des mutuelles d’épargne et de crédit est renforcé et accroît les crédits d’exploitation fournis à la population vulnérable.</w:t>
            </w:r>
          </w:p>
        </w:tc>
        <w:tc>
          <w:tcPr>
            <w:tcW w:w="1892" w:type="dxa"/>
          </w:tcPr>
          <w:p w:rsidR="00F25222" w:rsidRPr="007E3761" w:rsidRDefault="00F25222" w:rsidP="00E22425">
            <w:pPr>
              <w:spacing w:after="0"/>
              <w:rPr>
                <w:bCs/>
                <w:iCs/>
              </w:rPr>
            </w:pPr>
            <w:r>
              <w:t>MEC</w:t>
            </w:r>
          </w:p>
          <w:p w:rsidR="00F25222" w:rsidRPr="00AE3BD3" w:rsidRDefault="00F25222" w:rsidP="00E22425">
            <w:pPr>
              <w:spacing w:after="0"/>
              <w:rPr>
                <w:bCs/>
                <w:iCs/>
              </w:rPr>
            </w:pPr>
          </w:p>
          <w:p w:rsidR="00F25222" w:rsidRPr="007E3761" w:rsidRDefault="00F25222" w:rsidP="00E22425">
            <w:pPr>
              <w:spacing w:after="0"/>
              <w:rPr>
                <w:bCs/>
                <w:iCs/>
              </w:rPr>
            </w:pPr>
            <w:r>
              <w:t>IMF</w:t>
            </w:r>
          </w:p>
          <w:p w:rsidR="00F25222" w:rsidRPr="00AE3BD3" w:rsidRDefault="00F25222" w:rsidP="00E22425">
            <w:pPr>
              <w:spacing w:after="0"/>
              <w:rPr>
                <w:bCs/>
                <w:iCs/>
              </w:rPr>
            </w:pPr>
          </w:p>
          <w:p w:rsidR="00F25222" w:rsidRPr="007E3761" w:rsidRDefault="00F25222" w:rsidP="00E22425">
            <w:pPr>
              <w:spacing w:after="0"/>
              <w:rPr>
                <w:bCs/>
                <w:iCs/>
              </w:rPr>
            </w:pPr>
            <w:r>
              <w:t>DRS (Ministère des finances)</w:t>
            </w:r>
          </w:p>
          <w:p w:rsidR="00F25222" w:rsidRPr="00AE3BD3" w:rsidRDefault="00F25222" w:rsidP="00E22425">
            <w:pPr>
              <w:spacing w:after="0"/>
              <w:rPr>
                <w:bCs/>
                <w:iCs/>
              </w:rPr>
            </w:pPr>
          </w:p>
          <w:p w:rsidR="00F25222" w:rsidRPr="007E3761" w:rsidRDefault="00F25222" w:rsidP="00E22425">
            <w:pPr>
              <w:spacing w:after="0"/>
              <w:rPr>
                <w:bCs/>
                <w:iCs/>
              </w:rPr>
            </w:pPr>
            <w:r>
              <w:t>Groupements de femmes</w:t>
            </w:r>
          </w:p>
        </w:tc>
        <w:tc>
          <w:tcPr>
            <w:tcW w:w="4345" w:type="dxa"/>
          </w:tcPr>
          <w:p w:rsidR="00F25222" w:rsidRPr="007E3761" w:rsidRDefault="00F25222" w:rsidP="00E22425">
            <w:pPr>
              <w:spacing w:after="0"/>
              <w:rPr>
                <w:bCs/>
                <w:iCs/>
              </w:rPr>
            </w:pPr>
            <w:r>
              <w:t>Bénéficier du renforcement des capacités, de la motivation à devenir plus professionnel.</w:t>
            </w:r>
          </w:p>
          <w:p w:rsidR="00F25222" w:rsidRPr="007E3761" w:rsidRDefault="00F25222" w:rsidP="00E22425">
            <w:pPr>
              <w:spacing w:after="0"/>
              <w:rPr>
                <w:bCs/>
                <w:iCs/>
              </w:rPr>
            </w:pPr>
            <w:r>
              <w:t>Établir des partenariats avec les MEC et leur apporter une assistance technique.</w:t>
            </w:r>
          </w:p>
          <w:p w:rsidR="00F25222" w:rsidRPr="007E3761" w:rsidRDefault="00F25222" w:rsidP="00E22425">
            <w:pPr>
              <w:spacing w:after="0"/>
              <w:rPr>
                <w:bCs/>
                <w:iCs/>
              </w:rPr>
            </w:pPr>
            <w:r>
              <w:t>Fournir un soutien technique aux MEC, faciliter les partenariats avec les IMF et fournir du matériel pour des formations à l’intention des groupements de femmes.</w:t>
            </w:r>
          </w:p>
          <w:p w:rsidR="00F25222" w:rsidRPr="007E3761" w:rsidRDefault="00F25222" w:rsidP="00E22425">
            <w:pPr>
              <w:spacing w:after="0"/>
              <w:rPr>
                <w:bCs/>
                <w:iCs/>
              </w:rPr>
            </w:pPr>
            <w:r>
              <w:t>Suivre de sessions de formation ; soumettre des projets à financer par les MEC et les IMF.</w:t>
            </w:r>
          </w:p>
        </w:tc>
      </w:tr>
      <w:tr w:rsidR="00F25222" w:rsidRPr="007E3761" w:rsidTr="00E22425">
        <w:tc>
          <w:tcPr>
            <w:tcW w:w="3029" w:type="dxa"/>
            <w:shd w:val="clear" w:color="auto" w:fill="auto"/>
          </w:tcPr>
          <w:p w:rsidR="00F25222" w:rsidRPr="007E3761" w:rsidRDefault="00F25222" w:rsidP="00E22425">
            <w:pPr>
              <w:spacing w:after="0"/>
              <w:rPr>
                <w:b/>
                <w:bCs/>
                <w:iCs/>
              </w:rPr>
            </w:pPr>
            <w:r>
              <w:rPr>
                <w:b/>
                <w:bCs/>
                <w:iCs/>
              </w:rPr>
              <w:t>1.4 :</w:t>
            </w:r>
            <w:r>
              <w:t xml:space="preserve"> Renforcement des capacités pour identifier les interventions d’adaptation prioritaires et pour gérer les projets et en assurer le suivi.</w:t>
            </w:r>
          </w:p>
        </w:tc>
        <w:tc>
          <w:tcPr>
            <w:tcW w:w="1892" w:type="dxa"/>
          </w:tcPr>
          <w:p w:rsidR="00F25222" w:rsidRPr="007E3761" w:rsidRDefault="00F25222" w:rsidP="00E22425">
            <w:pPr>
              <w:spacing w:after="0"/>
              <w:rPr>
                <w:bCs/>
                <w:iCs/>
              </w:rPr>
            </w:pPr>
            <w:r>
              <w:t xml:space="preserve">Communes </w:t>
            </w:r>
          </w:p>
          <w:p w:rsidR="00F25222" w:rsidRPr="007E3761" w:rsidRDefault="00F25222" w:rsidP="00E22425">
            <w:pPr>
              <w:spacing w:after="0"/>
              <w:rPr>
                <w:bCs/>
                <w:iCs/>
                <w:lang w:val="en-GB"/>
              </w:rPr>
            </w:pPr>
          </w:p>
          <w:p w:rsidR="00F25222" w:rsidRPr="007E3761" w:rsidRDefault="00F25222" w:rsidP="00E22425">
            <w:pPr>
              <w:spacing w:after="0"/>
              <w:rPr>
                <w:bCs/>
                <w:iCs/>
              </w:rPr>
            </w:pPr>
            <w:r>
              <w:t>ONG/OSC</w:t>
            </w:r>
          </w:p>
        </w:tc>
        <w:tc>
          <w:tcPr>
            <w:tcW w:w="4345" w:type="dxa"/>
          </w:tcPr>
          <w:p w:rsidR="00F25222" w:rsidRPr="007E3761" w:rsidRDefault="00F25222" w:rsidP="00E22425">
            <w:pPr>
              <w:spacing w:after="0"/>
              <w:rPr>
                <w:bCs/>
                <w:iCs/>
              </w:rPr>
            </w:pPr>
            <w:r>
              <w:t>Cofinancer et organiser la collecte de fonds consacrée à la rédaction de propositions de subventions pour le financement climatique.</w:t>
            </w:r>
          </w:p>
          <w:p w:rsidR="00F25222" w:rsidRPr="007E3761" w:rsidRDefault="00F25222" w:rsidP="00E22425">
            <w:pPr>
              <w:spacing w:after="0"/>
              <w:rPr>
                <w:bCs/>
                <w:iCs/>
              </w:rPr>
            </w:pPr>
            <w:r>
              <w:t>Suivre une formation pour rédiger des propositions et gérer les fonds climatiques.</w:t>
            </w:r>
          </w:p>
        </w:tc>
      </w:tr>
      <w:tr w:rsidR="00F25222" w:rsidRPr="007F5D87" w:rsidTr="00E22425">
        <w:tc>
          <w:tcPr>
            <w:tcW w:w="3029" w:type="dxa"/>
            <w:shd w:val="clear" w:color="auto" w:fill="auto"/>
          </w:tcPr>
          <w:p w:rsidR="00F25222" w:rsidRPr="007E3761" w:rsidRDefault="00F25222" w:rsidP="00E22425">
            <w:pPr>
              <w:spacing w:after="0"/>
              <w:rPr>
                <w:bCs/>
                <w:iCs/>
              </w:rPr>
            </w:pPr>
            <w:r>
              <w:rPr>
                <w:b/>
                <w:bCs/>
                <w:iCs/>
              </w:rPr>
              <w:lastRenderedPageBreak/>
              <w:t>2.1 :</w:t>
            </w:r>
            <w:r>
              <w:t xml:space="preserve"> Les investissements et les pratiques résilientes sont adoptés par 5 000 ménages vulnérables et augmentent leurs revenus dans un contexte de changement climatique</w:t>
            </w:r>
          </w:p>
        </w:tc>
        <w:tc>
          <w:tcPr>
            <w:tcW w:w="1892" w:type="dxa"/>
          </w:tcPr>
          <w:p w:rsidR="00F25222" w:rsidRPr="00707E38" w:rsidRDefault="00F25222" w:rsidP="00E22425">
            <w:pPr>
              <w:spacing w:after="0"/>
              <w:rPr>
                <w:bCs/>
                <w:iCs/>
                <w:lang w:val="en-US"/>
              </w:rPr>
            </w:pPr>
            <w:r w:rsidRPr="00707E38">
              <w:rPr>
                <w:lang w:val="en-US"/>
              </w:rPr>
              <w:t>IREF</w:t>
            </w:r>
          </w:p>
          <w:p w:rsidR="00F25222" w:rsidRPr="00707E38" w:rsidRDefault="00F25222" w:rsidP="00E22425">
            <w:pPr>
              <w:spacing w:after="0"/>
              <w:rPr>
                <w:bCs/>
                <w:iCs/>
                <w:lang w:val="en-US"/>
              </w:rPr>
            </w:pPr>
          </w:p>
          <w:p w:rsidR="00F25222" w:rsidRPr="00707E38" w:rsidRDefault="00F25222" w:rsidP="00E22425">
            <w:pPr>
              <w:spacing w:after="0"/>
              <w:rPr>
                <w:bCs/>
                <w:iCs/>
                <w:lang w:val="en-US"/>
              </w:rPr>
            </w:pPr>
            <w:r w:rsidRPr="00707E38">
              <w:rPr>
                <w:lang w:val="en-US"/>
              </w:rPr>
              <w:t>CVD/CIVD</w:t>
            </w:r>
          </w:p>
          <w:p w:rsidR="00F25222" w:rsidRPr="00707E38" w:rsidRDefault="00F25222" w:rsidP="00E22425">
            <w:pPr>
              <w:spacing w:after="0"/>
              <w:rPr>
                <w:bCs/>
                <w:iCs/>
                <w:lang w:val="en-US"/>
              </w:rPr>
            </w:pPr>
          </w:p>
          <w:p w:rsidR="00F25222" w:rsidRPr="00707E38" w:rsidRDefault="00F25222" w:rsidP="00E22425">
            <w:pPr>
              <w:spacing w:after="0"/>
              <w:rPr>
                <w:bCs/>
                <w:iCs/>
                <w:lang w:val="en-US"/>
              </w:rPr>
            </w:pPr>
          </w:p>
          <w:p w:rsidR="00F25222" w:rsidRPr="00707E38" w:rsidRDefault="00F25222" w:rsidP="00E22425">
            <w:pPr>
              <w:spacing w:after="0"/>
              <w:rPr>
                <w:bCs/>
                <w:iCs/>
                <w:lang w:val="en-US"/>
              </w:rPr>
            </w:pPr>
            <w:r w:rsidRPr="00707E38">
              <w:rPr>
                <w:lang w:val="en-US"/>
              </w:rPr>
              <w:t>PEPAM, PAPIL</w:t>
            </w:r>
          </w:p>
          <w:p w:rsidR="00F25222" w:rsidRPr="00707E38" w:rsidRDefault="00F25222" w:rsidP="00E22425">
            <w:pPr>
              <w:spacing w:after="0"/>
              <w:rPr>
                <w:bCs/>
                <w:iCs/>
                <w:lang w:val="en-US"/>
              </w:rPr>
            </w:pPr>
            <w:r w:rsidRPr="00707E38">
              <w:rPr>
                <w:lang w:val="en-US"/>
              </w:rPr>
              <w:t>PADAER</w:t>
            </w:r>
          </w:p>
          <w:p w:rsidR="00F25222" w:rsidRPr="007E3761" w:rsidRDefault="00F25222" w:rsidP="00E22425">
            <w:pPr>
              <w:spacing w:after="0"/>
              <w:rPr>
                <w:bCs/>
                <w:iCs/>
              </w:rPr>
            </w:pPr>
            <w:r>
              <w:t>Ministère de l’agriculture, Conseil national des semences</w:t>
            </w:r>
          </w:p>
          <w:p w:rsidR="00F25222" w:rsidRPr="00AE3BD3" w:rsidRDefault="00F25222" w:rsidP="00E22425">
            <w:pPr>
              <w:spacing w:after="0"/>
              <w:rPr>
                <w:bCs/>
                <w:iCs/>
              </w:rPr>
            </w:pPr>
          </w:p>
          <w:p w:rsidR="00F25222" w:rsidRPr="007E3761" w:rsidRDefault="00F25222" w:rsidP="00E22425">
            <w:pPr>
              <w:spacing w:after="0"/>
              <w:rPr>
                <w:bCs/>
                <w:iCs/>
              </w:rPr>
            </w:pPr>
            <w:r>
              <w:t>Producteurs, groupements de femmes</w:t>
            </w:r>
          </w:p>
          <w:p w:rsidR="00F25222" w:rsidRPr="007E3761" w:rsidRDefault="00F25222" w:rsidP="00E22425">
            <w:pPr>
              <w:spacing w:after="0"/>
              <w:rPr>
                <w:bCs/>
                <w:iCs/>
              </w:rPr>
            </w:pPr>
            <w:r>
              <w:t>Secteur privé</w:t>
            </w:r>
          </w:p>
        </w:tc>
        <w:tc>
          <w:tcPr>
            <w:tcW w:w="4345" w:type="dxa"/>
          </w:tcPr>
          <w:p w:rsidR="00F25222" w:rsidRPr="007E3761" w:rsidRDefault="00F25222" w:rsidP="00E22425">
            <w:pPr>
              <w:spacing w:after="0"/>
              <w:rPr>
                <w:bCs/>
                <w:iCs/>
              </w:rPr>
            </w:pPr>
            <w:r>
              <w:t>Appui technique à la restauration de la RNC, construction et entretien des coupe-feux.</w:t>
            </w:r>
          </w:p>
          <w:p w:rsidR="00F25222" w:rsidRPr="007E3761" w:rsidRDefault="00F25222" w:rsidP="00E22425">
            <w:pPr>
              <w:spacing w:after="0"/>
              <w:rPr>
                <w:bCs/>
                <w:iCs/>
              </w:rPr>
            </w:pPr>
            <w:r>
              <w:t>Gérer et contrôler la RNC, diffuser des informations aux villageois et mobiliser les communautés.</w:t>
            </w:r>
          </w:p>
          <w:p w:rsidR="00F25222" w:rsidRPr="007E3761" w:rsidRDefault="00F25222" w:rsidP="00E22425">
            <w:pPr>
              <w:spacing w:after="0"/>
              <w:rPr>
                <w:bCs/>
                <w:iCs/>
              </w:rPr>
            </w:pPr>
            <w:r>
              <w:t>Assistance technique pour l’investissement dans l’accès à l’eau.</w:t>
            </w:r>
          </w:p>
          <w:p w:rsidR="00F25222" w:rsidRPr="007E3761" w:rsidRDefault="00F25222" w:rsidP="00E22425">
            <w:pPr>
              <w:spacing w:after="0"/>
              <w:rPr>
                <w:bCs/>
                <w:iCs/>
              </w:rPr>
            </w:pPr>
            <w:r>
              <w:t>Cofinancement et appui technique.</w:t>
            </w:r>
          </w:p>
          <w:p w:rsidR="00F25222" w:rsidRPr="007E3761" w:rsidRDefault="00F25222" w:rsidP="00E22425">
            <w:pPr>
              <w:spacing w:after="0"/>
              <w:rPr>
                <w:bCs/>
                <w:iCs/>
              </w:rPr>
            </w:pPr>
            <w:r>
              <w:t>Appui technique et fourniture de semences. Tester et diffuser des semences résilientes, former et superviser les communautés. Certification des semences résilientes.</w:t>
            </w:r>
          </w:p>
          <w:p w:rsidR="00F25222" w:rsidRPr="007E3761" w:rsidRDefault="00F25222" w:rsidP="00E22425">
            <w:pPr>
              <w:spacing w:after="0"/>
              <w:rPr>
                <w:bCs/>
                <w:iCs/>
              </w:rPr>
            </w:pPr>
            <w:r>
              <w:t>Production et diffusion de semences résilientes.</w:t>
            </w:r>
          </w:p>
          <w:p w:rsidR="00F25222" w:rsidRPr="00AE3BD3" w:rsidRDefault="00F25222" w:rsidP="00E22425">
            <w:pPr>
              <w:spacing w:after="0"/>
              <w:rPr>
                <w:bCs/>
                <w:iCs/>
              </w:rPr>
            </w:pPr>
          </w:p>
          <w:p w:rsidR="00F25222" w:rsidRPr="007F5D87" w:rsidRDefault="00F25222" w:rsidP="00E22425">
            <w:pPr>
              <w:spacing w:after="0"/>
              <w:rPr>
                <w:bCs/>
                <w:iCs/>
              </w:rPr>
            </w:pPr>
            <w:r>
              <w:t>Soutenir les chaînes de valeur résilientes. Acheter des produits.</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2.2 :</w:t>
            </w:r>
            <w:r>
              <w:t xml:space="preserve"> Le développement des petites entreprises résilientes est soutenu par des fonds renouvelables.</w:t>
            </w:r>
          </w:p>
        </w:tc>
        <w:tc>
          <w:tcPr>
            <w:tcW w:w="1892" w:type="dxa"/>
          </w:tcPr>
          <w:p w:rsidR="00F25222" w:rsidRPr="007F5D87" w:rsidRDefault="00F25222" w:rsidP="00E22425">
            <w:pPr>
              <w:spacing w:after="0"/>
              <w:rPr>
                <w:bCs/>
                <w:iCs/>
              </w:rPr>
            </w:pPr>
            <w:r>
              <w:t>GIE/entrepreneurs</w:t>
            </w:r>
          </w:p>
          <w:p w:rsidR="00F25222" w:rsidRPr="007F5D87" w:rsidRDefault="00F25222" w:rsidP="00E22425">
            <w:pPr>
              <w:spacing w:after="0"/>
              <w:rPr>
                <w:bCs/>
                <w:iCs/>
                <w:lang w:val="en-GB"/>
              </w:rPr>
            </w:pPr>
          </w:p>
          <w:p w:rsidR="00F25222" w:rsidRPr="007F5D87" w:rsidRDefault="00F25222" w:rsidP="00E22425">
            <w:pPr>
              <w:spacing w:after="0"/>
              <w:rPr>
                <w:bCs/>
                <w:iCs/>
                <w:lang w:val="en-GB"/>
              </w:rPr>
            </w:pPr>
          </w:p>
          <w:p w:rsidR="00F25222" w:rsidRPr="007F5D87" w:rsidRDefault="00F25222" w:rsidP="00E22425">
            <w:pPr>
              <w:spacing w:after="0"/>
              <w:rPr>
                <w:bCs/>
                <w:iCs/>
              </w:rPr>
            </w:pPr>
            <w:r>
              <w:t xml:space="preserve">Autres projets </w:t>
            </w:r>
          </w:p>
        </w:tc>
        <w:tc>
          <w:tcPr>
            <w:tcW w:w="4345" w:type="dxa"/>
          </w:tcPr>
          <w:p w:rsidR="00F25222" w:rsidRPr="007F5D87" w:rsidRDefault="00F25222" w:rsidP="00E22425">
            <w:pPr>
              <w:spacing w:after="0"/>
              <w:rPr>
                <w:bCs/>
                <w:iCs/>
              </w:rPr>
            </w:pPr>
            <w:r>
              <w:t>Développer des petites entreprises résilientes ; la motivation à s’engager dans un groupement pour stimuler l’activité résiliente.</w:t>
            </w:r>
          </w:p>
          <w:p w:rsidR="00F25222" w:rsidRPr="007F5D87" w:rsidRDefault="00F25222" w:rsidP="00E22425">
            <w:pPr>
              <w:spacing w:after="0"/>
              <w:rPr>
                <w:bCs/>
                <w:iCs/>
              </w:rPr>
            </w:pPr>
            <w:r>
              <w:t>Sélectionnez les GIE/entrepreneurs pour le groupement.</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2.3 :</w:t>
            </w:r>
            <w:r>
              <w:t xml:space="preserve"> L’information sur le climat est diffusée et les capacités des villageois (en particulier celles des femmes et des jeunes) sont renforcées pour se protéger contre les risques climatiques.</w:t>
            </w:r>
          </w:p>
        </w:tc>
        <w:tc>
          <w:tcPr>
            <w:tcW w:w="1892" w:type="dxa"/>
          </w:tcPr>
          <w:p w:rsidR="00F25222" w:rsidRPr="007F5D87" w:rsidRDefault="00F25222" w:rsidP="00E22425">
            <w:pPr>
              <w:spacing w:after="0"/>
              <w:rPr>
                <w:bCs/>
                <w:iCs/>
                <w:szCs w:val="20"/>
              </w:rPr>
            </w:pPr>
            <w:r>
              <w:t>ANACIM</w:t>
            </w:r>
          </w:p>
          <w:p w:rsidR="00F25222" w:rsidRPr="007F5D87" w:rsidRDefault="00F25222" w:rsidP="00E22425">
            <w:pPr>
              <w:spacing w:after="0"/>
              <w:rPr>
                <w:bCs/>
                <w:iCs/>
                <w:szCs w:val="20"/>
              </w:rPr>
            </w:pPr>
            <w:r>
              <w:t>Communautés locales</w:t>
            </w: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7F5D87" w:rsidRDefault="00F25222" w:rsidP="00E22425">
            <w:pPr>
              <w:spacing w:after="0"/>
              <w:rPr>
                <w:bCs/>
                <w:iCs/>
                <w:szCs w:val="20"/>
              </w:rPr>
            </w:pPr>
            <w:r>
              <w:t>Communes</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Ministère de l’agriculture</w:t>
            </w:r>
          </w:p>
          <w:p w:rsidR="00F25222" w:rsidRPr="007F5D87" w:rsidRDefault="00F25222" w:rsidP="00E22425">
            <w:pPr>
              <w:spacing w:after="0"/>
              <w:rPr>
                <w:bCs/>
                <w:iCs/>
                <w:szCs w:val="20"/>
              </w:rPr>
            </w:pPr>
            <w:r>
              <w:t>Radios communautaires</w:t>
            </w:r>
          </w:p>
          <w:p w:rsidR="00F25222" w:rsidRPr="007F5D87" w:rsidRDefault="00F25222" w:rsidP="00E22425">
            <w:pPr>
              <w:spacing w:after="0"/>
              <w:rPr>
                <w:bCs/>
                <w:iCs/>
                <w:szCs w:val="20"/>
              </w:rPr>
            </w:pPr>
            <w:r>
              <w:t>CVD/CIVD</w:t>
            </w:r>
          </w:p>
        </w:tc>
        <w:tc>
          <w:tcPr>
            <w:tcW w:w="4345" w:type="dxa"/>
          </w:tcPr>
          <w:p w:rsidR="00F25222" w:rsidRPr="007F5D87" w:rsidRDefault="00F25222" w:rsidP="00E22425">
            <w:pPr>
              <w:spacing w:after="0"/>
              <w:rPr>
                <w:szCs w:val="20"/>
              </w:rPr>
            </w:pPr>
            <w:r>
              <w:t xml:space="preserve">Installer de nouvelles stations météorologiques et hydrologiques et réhabiliter celles qui existent ; surveiller et diffuser les informations liées au climat (vulgarisateur, partenariats avec la radio - URAC, etc.) ; développer des services météorologiques (SMS, conseils). </w:t>
            </w:r>
          </w:p>
          <w:p w:rsidR="00F25222" w:rsidRPr="007F5D87" w:rsidRDefault="00F25222" w:rsidP="00E22425">
            <w:pPr>
              <w:spacing w:after="0"/>
              <w:rPr>
                <w:szCs w:val="20"/>
              </w:rPr>
            </w:pPr>
            <w:r>
              <w:t>Jouer un rôle central dans la diffusion de l’information climatique</w:t>
            </w:r>
          </w:p>
          <w:p w:rsidR="00F25222" w:rsidRPr="007F5D87" w:rsidRDefault="00F25222" w:rsidP="00E22425">
            <w:pPr>
              <w:spacing w:after="0"/>
              <w:rPr>
                <w:szCs w:val="20"/>
              </w:rPr>
            </w:pPr>
            <w:r>
              <w:t>Soutien pour conseiller les agriculteurs.</w:t>
            </w:r>
          </w:p>
          <w:p w:rsidR="00F25222" w:rsidRPr="00AE3BD3" w:rsidRDefault="00F25222" w:rsidP="00E22425">
            <w:pPr>
              <w:spacing w:after="0"/>
              <w:rPr>
                <w:szCs w:val="20"/>
              </w:rPr>
            </w:pPr>
          </w:p>
          <w:p w:rsidR="00F25222" w:rsidRPr="007F5D87" w:rsidRDefault="00F25222" w:rsidP="00E22425">
            <w:pPr>
              <w:spacing w:after="0"/>
              <w:rPr>
                <w:szCs w:val="20"/>
              </w:rPr>
            </w:pPr>
            <w:r>
              <w:t>Diffusion de l’information climatique.</w:t>
            </w:r>
          </w:p>
          <w:p w:rsidR="00F25222" w:rsidRPr="00AE3BD3" w:rsidRDefault="00F25222" w:rsidP="00E22425">
            <w:pPr>
              <w:spacing w:after="0"/>
              <w:rPr>
                <w:szCs w:val="20"/>
              </w:rPr>
            </w:pPr>
          </w:p>
          <w:p w:rsidR="00F25222" w:rsidRPr="007F5D87" w:rsidRDefault="00F25222" w:rsidP="00E22425">
            <w:pPr>
              <w:spacing w:after="0"/>
              <w:rPr>
                <w:szCs w:val="20"/>
              </w:rPr>
            </w:pPr>
            <w:r>
              <w:t>Utilisation et diffusion de l’information climatique</w:t>
            </w:r>
          </w:p>
        </w:tc>
      </w:tr>
      <w:tr w:rsidR="00F25222" w:rsidRPr="007F5D87" w:rsidTr="00E22425">
        <w:tc>
          <w:tcPr>
            <w:tcW w:w="3029" w:type="dxa"/>
            <w:shd w:val="clear" w:color="auto" w:fill="auto"/>
          </w:tcPr>
          <w:p w:rsidR="00F25222" w:rsidRPr="007F5D87" w:rsidRDefault="00F25222" w:rsidP="00E22425">
            <w:pPr>
              <w:rPr>
                <w:rFonts w:ascii="Times New Roman" w:hAnsi="Times New Roman"/>
                <w:sz w:val="24"/>
                <w:szCs w:val="20"/>
              </w:rPr>
            </w:pPr>
            <w:r>
              <w:rPr>
                <w:b/>
                <w:bCs/>
                <w:iCs/>
              </w:rPr>
              <w:t>2.4 :</w:t>
            </w:r>
            <w:r>
              <w:t xml:space="preserve"> Les connaissances, les expériences clés et les enseignements tirés sont diffusés.</w:t>
            </w:r>
          </w:p>
        </w:tc>
        <w:tc>
          <w:tcPr>
            <w:tcW w:w="1892" w:type="dxa"/>
          </w:tcPr>
          <w:p w:rsidR="00F25222" w:rsidRPr="007F5D87" w:rsidRDefault="00F25222" w:rsidP="00E22425">
            <w:pPr>
              <w:spacing w:after="0"/>
              <w:rPr>
                <w:bCs/>
                <w:iCs/>
                <w:szCs w:val="20"/>
              </w:rPr>
            </w:pPr>
            <w:r>
              <w:t>MEDD</w:t>
            </w:r>
          </w:p>
          <w:p w:rsidR="00F25222" w:rsidRPr="007F5D87" w:rsidRDefault="00F25222" w:rsidP="00E22425">
            <w:pPr>
              <w:spacing w:after="0"/>
              <w:rPr>
                <w:bCs/>
                <w:iCs/>
                <w:szCs w:val="20"/>
              </w:rPr>
            </w:pPr>
            <w:r>
              <w:t>IREF et services techniques</w:t>
            </w:r>
          </w:p>
          <w:p w:rsidR="00F25222" w:rsidRPr="007F5D87" w:rsidRDefault="00F25222" w:rsidP="00E22425">
            <w:pPr>
              <w:spacing w:after="0"/>
              <w:rPr>
                <w:bCs/>
                <w:iCs/>
                <w:szCs w:val="20"/>
              </w:rPr>
            </w:pPr>
            <w:r>
              <w:t>Médias locaux et nationaux</w:t>
            </w:r>
          </w:p>
          <w:p w:rsidR="00F25222" w:rsidRPr="007F5D87" w:rsidRDefault="00F25222" w:rsidP="00E22425">
            <w:pPr>
              <w:spacing w:after="0"/>
              <w:rPr>
                <w:bCs/>
                <w:iCs/>
                <w:szCs w:val="20"/>
              </w:rPr>
            </w:pPr>
            <w:r>
              <w:t>Maires de communes</w:t>
            </w:r>
          </w:p>
        </w:tc>
        <w:tc>
          <w:tcPr>
            <w:tcW w:w="4345" w:type="dxa"/>
          </w:tcPr>
          <w:p w:rsidR="00F25222" w:rsidRPr="007F5D87" w:rsidRDefault="00F25222" w:rsidP="00E22425">
            <w:pPr>
              <w:spacing w:after="0"/>
              <w:rPr>
                <w:szCs w:val="20"/>
              </w:rPr>
            </w:pPr>
            <w:r>
              <w:t>Exploitation et partage des résultats du projet</w:t>
            </w:r>
          </w:p>
          <w:p w:rsidR="00F25222" w:rsidRPr="007F5D87" w:rsidRDefault="00F25222" w:rsidP="00E22425">
            <w:pPr>
              <w:spacing w:after="0"/>
              <w:rPr>
                <w:bCs/>
                <w:iCs/>
                <w:szCs w:val="20"/>
              </w:rPr>
            </w:pPr>
            <w:r>
              <w:t>Diffusion de bonnes pratiques</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Soutenir la diffusion des résultats du projet</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Partager les bonnes pratiques avec les autres.</w:t>
            </w:r>
          </w:p>
        </w:tc>
      </w:tr>
    </w:tbl>
    <w:p w:rsidR="00F25222" w:rsidRPr="007F5D87" w:rsidRDefault="00F25222" w:rsidP="00F25222">
      <w:pPr>
        <w:spacing w:after="0"/>
        <w:jc w:val="left"/>
        <w:rPr>
          <w:rFonts w:cs="Segoe UI"/>
          <w:color w:val="000000"/>
          <w:szCs w:val="20"/>
        </w:rPr>
      </w:pPr>
    </w:p>
    <w:p w:rsidR="00F25222" w:rsidRPr="007F5D87" w:rsidRDefault="00F25222" w:rsidP="00F25222"/>
    <w:p w:rsidR="00F25222" w:rsidRPr="007F5D87" w:rsidRDefault="00F25222" w:rsidP="00F25222"/>
    <w:p w:rsidR="00F25222" w:rsidRPr="007F5D87" w:rsidRDefault="00F25222" w:rsidP="00F25222"/>
    <w:p w:rsidR="00F25222" w:rsidRPr="007F5D87" w:rsidRDefault="00F25222" w:rsidP="00F25222"/>
    <w:p w:rsidR="00F25222" w:rsidRPr="007F5D87" w:rsidRDefault="00F25222" w:rsidP="00F25222">
      <w:pPr>
        <w:spacing w:after="0"/>
        <w:jc w:val="left"/>
        <w:rPr>
          <w:b/>
          <w:smallCaps/>
          <w:spacing w:val="-2"/>
          <w:sz w:val="28"/>
          <w:szCs w:val="28"/>
        </w:rPr>
      </w:pPr>
      <w:bookmarkStart w:id="15" w:name="_Toc443050723"/>
      <w:bookmarkStart w:id="16" w:name="_Toc338707269"/>
      <w:bookmarkStart w:id="17" w:name="_Toc338708185"/>
      <w:bookmarkStart w:id="18" w:name="_Toc339725214"/>
      <w:r>
        <w:br w:type="page"/>
      </w:r>
    </w:p>
    <w:p w:rsidR="00F25222" w:rsidRPr="009011CA" w:rsidRDefault="00F25222" w:rsidP="00F25222">
      <w:pPr>
        <w:pStyle w:val="Titre1"/>
        <w:spacing w:before="0" w:after="0"/>
        <w:rPr>
          <w:rFonts w:ascii="Calibri" w:hAnsi="Calibri"/>
          <w:szCs w:val="28"/>
        </w:rPr>
      </w:pPr>
      <w:bookmarkStart w:id="19" w:name="_Toc496886556"/>
      <w:bookmarkStart w:id="20" w:name="_Toc498638393"/>
      <w:r w:rsidRPr="009011CA">
        <w:rPr>
          <w:rFonts w:ascii="Calibri" w:hAnsi="Calibri"/>
          <w:sz w:val="32"/>
          <w:szCs w:val="28"/>
        </w:rPr>
        <w:lastRenderedPageBreak/>
        <w:t>Faisabilité</w:t>
      </w:r>
      <w:bookmarkEnd w:id="15"/>
      <w:bookmarkEnd w:id="16"/>
      <w:bookmarkEnd w:id="17"/>
      <w:bookmarkEnd w:id="18"/>
      <w:bookmarkEnd w:id="19"/>
      <w:bookmarkEnd w:id="20"/>
    </w:p>
    <w:p w:rsidR="00F25222" w:rsidRPr="007F5D87" w:rsidRDefault="00F25222" w:rsidP="00F25222">
      <w:pPr>
        <w:rPr>
          <w:rFonts w:cs="Arial"/>
          <w:noProof/>
          <w:szCs w:val="20"/>
          <w:lang w:eastAsia="zh-CN"/>
        </w:rPr>
      </w:pPr>
    </w:p>
    <w:p w:rsidR="00F25222" w:rsidRPr="007F5D87" w:rsidRDefault="00F25222" w:rsidP="00F25222">
      <w:pPr>
        <w:pStyle w:val="Paragraphedeliste"/>
        <w:numPr>
          <w:ilvl w:val="0"/>
          <w:numId w:val="5"/>
        </w:numPr>
        <w:ind w:left="720"/>
        <w:rPr>
          <w:rFonts w:ascii="Calibri" w:hAnsi="Calibri" w:cs="Arial"/>
          <w:noProof/>
          <w:szCs w:val="20"/>
        </w:rPr>
      </w:pPr>
      <w:r>
        <w:rPr>
          <w:rFonts w:ascii="Calibri" w:hAnsi="Calibri"/>
          <w:szCs w:val="20"/>
          <w:u w:val="single"/>
        </w:rPr>
        <w:t>Rentabilité et efficacité</w:t>
      </w:r>
    </w:p>
    <w:p w:rsidR="00F25222" w:rsidRPr="007F5D87" w:rsidRDefault="00F25222" w:rsidP="00F25222">
      <w:pPr>
        <w:rPr>
          <w:color w:val="000000"/>
          <w:szCs w:val="20"/>
        </w:rPr>
      </w:pPr>
    </w:p>
    <w:p w:rsidR="00F25222" w:rsidRPr="007F5D87" w:rsidRDefault="00F25222" w:rsidP="00F25222">
      <w:pPr>
        <w:pStyle w:val="NumberedParas"/>
      </w:pPr>
      <w:r>
        <w:t>Dans la situation de référence (scénario du statu quo), nombre de RNC/UP resteront largement sur le papier et auront du mal à trouver des ressources financières adéquates pour leur consolidation. Cette situation est la même pour les actions d’adaptation aux changements climatiques au niveau local. Les systèmes de gouvernance et de gestion risquent de rester confus et leur efficacité en matière d’adaptation aux changements climatiques restera incertaine. Cela peut conduire à un recul de l’adhésion et de la participation locale aux activités liées au climat, y compris les activités de la RNC/UP. De nombreuses RNC/UP continueront à rencontrer des difficultés en matière de soutien des décideurs régionaux et communaux, et par conséquent, pourraient être en conflit avec d’autres propositions d’utilisation des terres. Cela aggravera les effets d</w:t>
      </w:r>
      <w:r w:rsidR="009011CA">
        <w:t>es</w:t>
      </w:r>
      <w:r>
        <w:t xml:space="preserve"> changement</w:t>
      </w:r>
      <w:r w:rsidR="009011CA">
        <w:t>s</w:t>
      </w:r>
      <w:r>
        <w:t xml:space="preserve"> climatique</w:t>
      </w:r>
      <w:r w:rsidR="009011CA">
        <w:t>s</w:t>
      </w:r>
      <w:r>
        <w:t xml:space="preserve"> au niveau local.</w:t>
      </w:r>
    </w:p>
    <w:p w:rsidR="00F25222" w:rsidRPr="007F5D87" w:rsidRDefault="00F25222" w:rsidP="00F25222">
      <w:pPr>
        <w:pStyle w:val="NumberedParas"/>
        <w:numPr>
          <w:ilvl w:val="0"/>
          <w:numId w:val="0"/>
        </w:numPr>
      </w:pPr>
    </w:p>
    <w:p w:rsidR="00F25222" w:rsidRPr="007F5D87" w:rsidRDefault="00F25222" w:rsidP="00F25222">
      <w:pPr>
        <w:pStyle w:val="NumberedParas"/>
      </w:pPr>
      <w:r>
        <w:rPr>
          <w:color w:val="000000"/>
          <w:szCs w:val="20"/>
        </w:rPr>
        <w:t>Les activités du projet financé par le Fonds pour les PMA ont été conçues pour équilibrer les considérations de rentabilité et d’utilisation efficace des ressources du Fonds par rapport aux objectifs urgents liés à l’adaptation aux changements climatiques.</w:t>
      </w:r>
      <w:r>
        <w:t xml:space="preserve"> Plusieurs considérations relatives à la rentabilité de la stratégie du projet ont été analysées au cours de son processus de préparation. Les options d’adaptation qui ont été sélectionnées dans le présent document de projet sont les solutions les plus appropriées et les plus rentables.</w:t>
      </w:r>
    </w:p>
    <w:p w:rsidR="00F25222" w:rsidRPr="007F5D87" w:rsidRDefault="00F25222" w:rsidP="00F25222">
      <w:pPr>
        <w:pStyle w:val="NumberedParas"/>
        <w:numPr>
          <w:ilvl w:val="0"/>
          <w:numId w:val="0"/>
        </w:numPr>
      </w:pPr>
    </w:p>
    <w:p w:rsidR="00F25222" w:rsidRPr="007F5D87" w:rsidRDefault="00F25222" w:rsidP="00F25222">
      <w:pPr>
        <w:pStyle w:val="NumberedParas"/>
      </w:pPr>
      <w:r>
        <w:t>Tout d’abord, conformément aux principes d’additionnalité du Fonds pour les PMA, le projet poursuivra les partenariats avec des initiatives en cours dans le pays, afin de réduire les coûts opérationnels et de réduire les risques de doublons au niveau des activités. Par exemple, lors de la phase de préparation du projet, un partenariat solide a été noué avec le PASA Loumakaf et le PADAER sur les sites de Ferlo et de Niokolo-Koba. Plusieurs activités seront menées conjointement, telles que les activités relevant des produits 1.2, 2.1 et 2.2. Le projet accordera la priorité à ces partenariats et à ces relations de collaboration afin de tirer parti des enseignements et des meilleures pratiques établies par les projets antérieurs.</w:t>
      </w:r>
    </w:p>
    <w:p w:rsidR="00F25222" w:rsidRPr="007F5D87" w:rsidRDefault="00F25222" w:rsidP="00F25222">
      <w:pPr>
        <w:pStyle w:val="NumberedParas"/>
        <w:numPr>
          <w:ilvl w:val="0"/>
          <w:numId w:val="0"/>
        </w:numPr>
      </w:pPr>
    </w:p>
    <w:p w:rsidR="00F25222" w:rsidRPr="007F5D87" w:rsidRDefault="00F25222" w:rsidP="00F25222">
      <w:pPr>
        <w:pStyle w:val="NumberedParas"/>
      </w:pPr>
      <w:r>
        <w:t>Le projet actuel est axé sur l’adaptation aux changements climatiques autour de la RNC/UP, et vise à établir des mécanismes financiers durables à long terme. S</w:t>
      </w:r>
      <w:r w:rsidR="009011CA">
        <w:t>e</w:t>
      </w:r>
      <w:r>
        <w:t xml:space="preserve"> </w:t>
      </w:r>
      <w:r w:rsidR="009011CA">
        <w:t>basant sur</w:t>
      </w:r>
      <w:r>
        <w:t xml:space="preserve"> la zone ciblée spécifiquement par le projet, les coûts d’investissement sont de 109 dollars des États-Unis/personne ou 9,5 dollars des États-Unis/ha. Lorsque nous incluons des RNC/UP supplémentaires qui sont établies en parallèle par les partenaires du projet, les coûts sont de 5,7 dollars des États-Unis/ha. C’est un chiffre vraiment raisonnable et rentable.</w:t>
      </w:r>
    </w:p>
    <w:p w:rsidR="00F25222" w:rsidRPr="007F5D87" w:rsidRDefault="00F25222" w:rsidP="00F25222">
      <w:pPr>
        <w:pStyle w:val="NumberedParas"/>
        <w:numPr>
          <w:ilvl w:val="0"/>
          <w:numId w:val="0"/>
        </w:numPr>
        <w:rPr>
          <w:color w:val="000000"/>
          <w:szCs w:val="20"/>
        </w:rPr>
      </w:pPr>
    </w:p>
    <w:p w:rsidR="00F25222" w:rsidRPr="007F5D87" w:rsidRDefault="00F25222" w:rsidP="00F25222">
      <w:pPr>
        <w:pStyle w:val="NumberedParas"/>
        <w:rPr>
          <w:color w:val="000000"/>
          <w:szCs w:val="20"/>
        </w:rPr>
      </w:pPr>
      <w:r>
        <w:rPr>
          <w:color w:val="000000"/>
          <w:szCs w:val="20"/>
        </w:rPr>
        <w:t>De plus, la sélection des produits et activités et leur conception technique reposaient sur des consultations participatives regroupant les communautés à la base, les autorités locales et les services techniques publics. Ces consultations ont permis d’identifier des actions prioritaires en adéquation avec les besoins de la population. La conception technique s’est appuyée sur les enseignements tirés de précédents projets dans le domaine du changement climatique, la foresterie, l’eau et l’agriculture. La priorité a été donnée à deux aspects :</w:t>
      </w:r>
    </w:p>
    <w:p w:rsidR="00F25222" w:rsidRPr="007F5D87" w:rsidRDefault="00F25222" w:rsidP="00F25222">
      <w:pPr>
        <w:pStyle w:val="NumberedParas"/>
        <w:numPr>
          <w:ilvl w:val="0"/>
          <w:numId w:val="42"/>
        </w:numPr>
        <w:rPr>
          <w:color w:val="000000"/>
          <w:szCs w:val="20"/>
        </w:rPr>
      </w:pPr>
      <w:r>
        <w:rPr>
          <w:color w:val="000000"/>
          <w:szCs w:val="20"/>
        </w:rPr>
        <w:t xml:space="preserve">La nécessité d’accompagner les parties prenantes locales (ménages vulnérables, producteurs, communes, etc.) en les dotant de compétences et de technologies pertinentes pour pérenniser leurs activités. En d’autres termes, cela revient à développer des mécanismes et des capacités pour augmenter les financements dédiés à l’adaptation aux changements climatiques au niveau local. C’est un gage de la viabilité des produits de subsistance résilients </w:t>
      </w:r>
      <w:r w:rsidR="00F22AF3">
        <w:rPr>
          <w:color w:val="000000"/>
          <w:szCs w:val="20"/>
        </w:rPr>
        <w:t>aux changements climatiques</w:t>
      </w:r>
      <w:r>
        <w:rPr>
          <w:color w:val="000000"/>
          <w:szCs w:val="20"/>
        </w:rPr>
        <w:t xml:space="preserve"> et de préservation de la production familiale et les revenus face aux effets climatiques.</w:t>
      </w:r>
    </w:p>
    <w:p w:rsidR="00F25222" w:rsidRPr="007F5D87" w:rsidRDefault="00F25222" w:rsidP="00F25222">
      <w:pPr>
        <w:pStyle w:val="NumberedParas"/>
        <w:numPr>
          <w:ilvl w:val="0"/>
          <w:numId w:val="42"/>
        </w:numPr>
        <w:rPr>
          <w:color w:val="000000"/>
          <w:szCs w:val="20"/>
        </w:rPr>
      </w:pPr>
      <w:r>
        <w:rPr>
          <w:color w:val="000000"/>
          <w:szCs w:val="20"/>
        </w:rPr>
        <w:t xml:space="preserve">La nécessité de fournir aux groupements de femmes d’autres moyens de soutien qui leur permettent de s’adapter </w:t>
      </w:r>
      <w:r w:rsidR="00F22AF3">
        <w:rPr>
          <w:color w:val="000000"/>
          <w:szCs w:val="20"/>
        </w:rPr>
        <w:t>aux changements climatiques</w:t>
      </w:r>
      <w:r>
        <w:rPr>
          <w:color w:val="000000"/>
          <w:szCs w:val="20"/>
        </w:rPr>
        <w:t xml:space="preserve"> et d’opérer une transformation efficace, y compris l’élevage, l’agriculture et les produits agricoles, afin d’augmenter leurs revenus et d’améliorer l’alimentation de leurs familles et de diversifier leurs revenus.</w:t>
      </w:r>
    </w:p>
    <w:p w:rsidR="00F25222" w:rsidRPr="007F5D87" w:rsidRDefault="00F25222" w:rsidP="00F25222">
      <w:pPr>
        <w:pStyle w:val="NumberedParas"/>
        <w:numPr>
          <w:ilvl w:val="0"/>
          <w:numId w:val="0"/>
        </w:numPr>
      </w:pPr>
    </w:p>
    <w:p w:rsidR="00F25222" w:rsidRPr="007F5D87" w:rsidRDefault="00F25222" w:rsidP="00F25222">
      <w:pPr>
        <w:pStyle w:val="NumberedParas"/>
      </w:pPr>
      <w:r>
        <w:t>Par ailleurs, le projet actuel est centré sur la consolidation du PGIES. Selon une étude réalisée au cours du PGIES (Kuhn et coll., 2011), le coût de gestion de la RNC/UP est d’environ 6 dollars des États-Unis/ha/an. Avec le projet du Fonds pour les PMA, le coût de gestion est inférieur à 1 dollar des États-Unis/ha/an. En tant que composante essentielle de l’adaptation aux changements climatiques, le projet adopte une approche de précaution en cherchant à protéger la couverture végétale avant que les écosystèmes ne se dégradent de façon irréversible. Les coûts de l’inaction sont élevés au Sénégal ; une fois dégradés, les écosystèmes naturels sont difficiles à restaurer en raison de la fragilité des terres, et les coûts sont extrêmement élevés même lorsque la restauration est une option, avec des coûts de reboisement estimés à 350 dollars des États-Unis/hectare. C’est pourquoi l’accent a été mis sur la gestion de la RNC/UP.</w:t>
      </w:r>
    </w:p>
    <w:p w:rsidR="00F25222" w:rsidRPr="00AE3BD3" w:rsidRDefault="00F25222" w:rsidP="00F25222">
      <w:pPr>
        <w:pStyle w:val="NumberedParas"/>
        <w:numPr>
          <w:ilvl w:val="0"/>
          <w:numId w:val="0"/>
        </w:numPr>
        <w:rPr>
          <w:szCs w:val="24"/>
        </w:rPr>
      </w:pPr>
    </w:p>
    <w:p w:rsidR="00F25222" w:rsidRPr="007F5D87" w:rsidRDefault="00F25222" w:rsidP="00F25222">
      <w:pPr>
        <w:pStyle w:val="NumberedParas"/>
      </w:pPr>
      <w:r>
        <w:t>Les partenariats avec des entreprises de l’industrie extractive constituent une approche supplémentaire que le projet a l’intention d’explorer. Des initiatives de partenariat similaires ailleurs dans le monde</w:t>
      </w:r>
      <w:r w:rsidRPr="007F5D87">
        <w:rPr>
          <w:rStyle w:val="Appelnotedebasdep"/>
          <w:szCs w:val="24"/>
          <w:lang w:val="en-US"/>
        </w:rPr>
        <w:footnoteReference w:id="42"/>
      </w:r>
      <w:r>
        <w:t xml:space="preserve"> indiquent fortement que les avantages incluent l’investissement dans l’éducation, la formation et le développement au niveau local par le biais de programmes de RSE. Les partenariats entre l’industrie extractive et les communes (RNC) devraient conduire à des revenus plus élevés dans les communautés locales et à des contributions aux charges récurrentes de la commune.</w:t>
      </w:r>
    </w:p>
    <w:p w:rsidR="00F25222" w:rsidRPr="007F5D87" w:rsidRDefault="00F25222" w:rsidP="00F25222">
      <w:pPr>
        <w:pStyle w:val="NumberedParas"/>
        <w:numPr>
          <w:ilvl w:val="0"/>
          <w:numId w:val="0"/>
        </w:numPr>
      </w:pPr>
    </w:p>
    <w:p w:rsidR="00F25222" w:rsidRPr="007F5D87" w:rsidRDefault="00F25222" w:rsidP="00F25222">
      <w:pPr>
        <w:pStyle w:val="NumberedParas"/>
      </w:pPr>
      <w:r>
        <w:t>À long terme, l’accent mis actuellement par le projet sur l’amélioration de l’adaptation aux changements climatiques à l’échelle du paysage vise à accroître l’investissement national ou régional en la matière. Au niveau national, une bonne planification de l’utilisation des terres devrait attirer les investissements du Gouvernement sénégalais et des donateurs pour le développement. Au niveau régional, l’adaptation aux changements climatiques devrait encourager les investissements locaux ; à l’heure actuelle, pratiquement aucun n’émane des communes.</w:t>
      </w:r>
    </w:p>
    <w:p w:rsidR="00F25222" w:rsidRPr="007F5D87" w:rsidRDefault="00F25222" w:rsidP="00F25222">
      <w:pPr>
        <w:pStyle w:val="NumberedParas"/>
        <w:numPr>
          <w:ilvl w:val="0"/>
          <w:numId w:val="0"/>
        </w:numPr>
      </w:pPr>
    </w:p>
    <w:p w:rsidR="00F25222" w:rsidRPr="007F5D87" w:rsidRDefault="00F25222" w:rsidP="00F25222">
      <w:pPr>
        <w:pStyle w:val="NumberedParas"/>
      </w:pPr>
      <w:r>
        <w:t>Enfin, lors de la création des RNC/UP, il convient de noter qu’elles ont été sélectionnées sur la base de leur contribution à la représentation de la biodiversité et à la viabilité à long terme. La plupart des sites cibles sont vastes, ce qui est souvent un facteur clé pour assurer la viabilité. Les grandes RNC/UP ont également une charge récurrente à l’hectare moins importante.</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En conclusion, bien que d’autres </w:t>
      </w:r>
      <w:r w:rsidRPr="00E93BDD">
        <w:t>options (alternatives) aient</w:t>
      </w:r>
      <w:r>
        <w:t xml:space="preserve"> également été envisagées au cours de la phase de préparation du projet, seules les plus appropriées et les plus rentables ont été sélectionnées et sont présentées dans les rapports d’experts disponibles dans les annexes.</w:t>
      </w:r>
    </w:p>
    <w:p w:rsidR="00F25222" w:rsidRPr="007F5D87" w:rsidRDefault="00F25222" w:rsidP="00F25222">
      <w:pPr>
        <w:pStyle w:val="NumberedParas"/>
        <w:numPr>
          <w:ilvl w:val="0"/>
          <w:numId w:val="0"/>
        </w:numPr>
      </w:pPr>
    </w:p>
    <w:p w:rsidR="00F25222" w:rsidRPr="007F5D87" w:rsidRDefault="00F25222" w:rsidP="00F25222">
      <w:pPr>
        <w:rPr>
          <w:rFonts w:cs="Segoe UI"/>
          <w:color w:val="000000"/>
          <w:szCs w:val="20"/>
        </w:rPr>
      </w:pPr>
    </w:p>
    <w:p w:rsidR="00F25222" w:rsidRPr="007F5D87" w:rsidRDefault="00F25222" w:rsidP="00F25222">
      <w:pPr>
        <w:pStyle w:val="Paragraphedeliste"/>
        <w:numPr>
          <w:ilvl w:val="0"/>
          <w:numId w:val="5"/>
        </w:numPr>
        <w:ind w:left="720"/>
        <w:rPr>
          <w:szCs w:val="20"/>
        </w:rPr>
      </w:pPr>
      <w:r>
        <w:rPr>
          <w:rFonts w:ascii="Calibri" w:hAnsi="Calibri"/>
          <w:szCs w:val="20"/>
          <w:u w:val="single"/>
        </w:rPr>
        <w:t>Gestion des risques</w:t>
      </w:r>
      <w:r>
        <w:rPr>
          <w:rFonts w:ascii="Calibri" w:hAnsi="Calibri"/>
          <w:szCs w:val="20"/>
        </w:rPr>
        <w:t xml:space="preserve"> </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Conformément aux exigences habituelles du PNUD, le coordonnateur du projet surveillera les risques tous les trimestres et fera </w:t>
      </w:r>
      <w:r w:rsidR="005D5C5A">
        <w:t xml:space="preserve">un </w:t>
      </w:r>
      <w:r>
        <w:t>rapport sur leur état au bureau pays du PNUD. Le bureau  pays enregistrera les progrès réalisés dans le registre des risques ATLAS du PNUD. Les risques seront jugés critiques lorsque l’impact et la probabilité sont élevés (c’est-à-dire lorsque l’impact est évalué à 5 ou 4 et que la probabilité est quant à elle évaluée à 3 ou plus). Les réponses de la direction aux risques critiques seront également communiquées au FEM dans le cadre du PIR annuel.</w:t>
      </w:r>
    </w:p>
    <w:p w:rsidR="00F25222" w:rsidRPr="007F5D87" w:rsidRDefault="00F25222" w:rsidP="00F25222">
      <w:pPr>
        <w:jc w:val="left"/>
        <w:rPr>
          <w:rFonts w:cs="Arial"/>
          <w:noProof/>
          <w:szCs w:val="20"/>
          <w:lang w:eastAsia="zh-CN"/>
        </w:rPr>
      </w:pPr>
    </w:p>
    <w:tbl>
      <w:tblPr>
        <w:tblW w:w="93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1117"/>
        <w:gridCol w:w="1462"/>
        <w:gridCol w:w="2805"/>
        <w:gridCol w:w="29"/>
        <w:gridCol w:w="870"/>
        <w:gridCol w:w="29"/>
        <w:gridCol w:w="1414"/>
        <w:gridCol w:w="29"/>
      </w:tblGrid>
      <w:tr w:rsidR="00F25222" w:rsidRPr="007F5D87" w:rsidTr="00E22425">
        <w:trPr>
          <w:gridAfter w:val="1"/>
          <w:wAfter w:w="25" w:type="dxa"/>
        </w:trPr>
        <w:tc>
          <w:tcPr>
            <w:tcW w:w="9312" w:type="dxa"/>
            <w:gridSpan w:val="8"/>
            <w:shd w:val="clear" w:color="auto" w:fill="FFCC00"/>
          </w:tcPr>
          <w:p w:rsidR="00F25222" w:rsidRPr="007F5D87" w:rsidRDefault="00F25222" w:rsidP="00E22425">
            <w:pPr>
              <w:jc w:val="center"/>
              <w:rPr>
                <w:rFonts w:cs="Arial"/>
                <w:b/>
                <w:sz w:val="18"/>
                <w:szCs w:val="18"/>
              </w:rPr>
            </w:pPr>
            <w:r>
              <w:rPr>
                <w:sz w:val="18"/>
                <w:szCs w:val="18"/>
              </w:rPr>
              <w:t xml:space="preserve"> </w:t>
            </w:r>
            <w:r>
              <w:rPr>
                <w:b/>
                <w:sz w:val="18"/>
                <w:szCs w:val="18"/>
              </w:rPr>
              <w:t>Risques du projet</w:t>
            </w:r>
          </w:p>
        </w:tc>
      </w:tr>
      <w:tr w:rsidR="00F25222" w:rsidRPr="007F5D87" w:rsidTr="00E22425">
        <w:trPr>
          <w:gridAfter w:val="1"/>
          <w:wAfter w:w="29" w:type="dxa"/>
        </w:trPr>
        <w:tc>
          <w:tcPr>
            <w:tcW w:w="1583" w:type="dxa"/>
            <w:shd w:val="clear" w:color="auto" w:fill="FFCC00"/>
          </w:tcPr>
          <w:p w:rsidR="00F25222" w:rsidRPr="007F5D87" w:rsidRDefault="00F25222" w:rsidP="00E22425">
            <w:pPr>
              <w:jc w:val="center"/>
              <w:rPr>
                <w:rFonts w:cs="Arial"/>
                <w:b/>
                <w:sz w:val="18"/>
                <w:szCs w:val="18"/>
              </w:rPr>
            </w:pPr>
            <w:r>
              <w:rPr>
                <w:b/>
                <w:sz w:val="18"/>
                <w:szCs w:val="18"/>
              </w:rPr>
              <w:t>Description</w:t>
            </w:r>
          </w:p>
        </w:tc>
        <w:tc>
          <w:tcPr>
            <w:tcW w:w="1117" w:type="dxa"/>
            <w:shd w:val="clear" w:color="auto" w:fill="FFCC00"/>
          </w:tcPr>
          <w:p w:rsidR="00F25222" w:rsidRPr="007F5D87" w:rsidRDefault="00F25222" w:rsidP="00E22425">
            <w:pPr>
              <w:jc w:val="center"/>
              <w:rPr>
                <w:rFonts w:cs="Arial"/>
                <w:b/>
                <w:sz w:val="18"/>
                <w:szCs w:val="18"/>
              </w:rPr>
            </w:pPr>
            <w:r>
              <w:rPr>
                <w:b/>
                <w:sz w:val="18"/>
                <w:szCs w:val="18"/>
              </w:rPr>
              <w:t>Type</w:t>
            </w:r>
          </w:p>
        </w:tc>
        <w:tc>
          <w:tcPr>
            <w:tcW w:w="1463" w:type="dxa"/>
            <w:shd w:val="clear" w:color="auto" w:fill="FFCC00"/>
          </w:tcPr>
          <w:p w:rsidR="00F25222" w:rsidRPr="007F5D87" w:rsidRDefault="00F25222" w:rsidP="00E22425">
            <w:pPr>
              <w:jc w:val="center"/>
              <w:rPr>
                <w:rFonts w:cs="Arial"/>
                <w:b/>
                <w:sz w:val="18"/>
                <w:szCs w:val="18"/>
              </w:rPr>
            </w:pPr>
            <w:r>
              <w:rPr>
                <w:b/>
                <w:sz w:val="18"/>
                <w:szCs w:val="18"/>
              </w:rPr>
              <w:t>Impact et</w:t>
            </w:r>
          </w:p>
          <w:p w:rsidR="00F25222" w:rsidRPr="007F5D87" w:rsidRDefault="00F25222" w:rsidP="00E22425">
            <w:pPr>
              <w:jc w:val="center"/>
              <w:rPr>
                <w:rFonts w:cs="Arial"/>
                <w:b/>
                <w:sz w:val="18"/>
                <w:szCs w:val="18"/>
              </w:rPr>
            </w:pPr>
            <w:r>
              <w:rPr>
                <w:b/>
                <w:sz w:val="18"/>
                <w:szCs w:val="18"/>
              </w:rPr>
              <w:t>Probabilité (1 à 5)</w:t>
            </w:r>
          </w:p>
        </w:tc>
        <w:tc>
          <w:tcPr>
            <w:tcW w:w="2806" w:type="dxa"/>
            <w:shd w:val="clear" w:color="auto" w:fill="FFCC00"/>
          </w:tcPr>
          <w:p w:rsidR="00F25222" w:rsidRPr="007F5D87" w:rsidRDefault="00F25222" w:rsidP="00E22425">
            <w:pPr>
              <w:jc w:val="center"/>
              <w:rPr>
                <w:rFonts w:cs="Arial"/>
                <w:b/>
                <w:sz w:val="18"/>
                <w:szCs w:val="18"/>
              </w:rPr>
            </w:pPr>
            <w:r>
              <w:rPr>
                <w:b/>
                <w:sz w:val="18"/>
                <w:szCs w:val="18"/>
              </w:rPr>
              <w:t>Mesures d’atténuation</w:t>
            </w:r>
          </w:p>
        </w:tc>
        <w:tc>
          <w:tcPr>
            <w:tcW w:w="899" w:type="dxa"/>
            <w:gridSpan w:val="2"/>
            <w:shd w:val="clear" w:color="auto" w:fill="FFCC00"/>
          </w:tcPr>
          <w:p w:rsidR="00F25222" w:rsidRPr="007F5D87" w:rsidRDefault="00F25222" w:rsidP="00E22425">
            <w:pPr>
              <w:jc w:val="center"/>
              <w:rPr>
                <w:rFonts w:cs="Arial"/>
                <w:b/>
                <w:sz w:val="18"/>
                <w:szCs w:val="18"/>
              </w:rPr>
            </w:pPr>
            <w:r>
              <w:rPr>
                <w:b/>
                <w:sz w:val="18"/>
                <w:szCs w:val="18"/>
              </w:rPr>
              <w:t>Propriétaire</w:t>
            </w:r>
          </w:p>
        </w:tc>
        <w:tc>
          <w:tcPr>
            <w:tcW w:w="1440" w:type="dxa"/>
            <w:gridSpan w:val="2"/>
            <w:shd w:val="clear" w:color="auto" w:fill="FFCC00"/>
          </w:tcPr>
          <w:p w:rsidR="00F25222" w:rsidRPr="007F5D87" w:rsidRDefault="00F25222" w:rsidP="00E22425">
            <w:pPr>
              <w:jc w:val="center"/>
              <w:rPr>
                <w:rFonts w:cs="Arial"/>
                <w:b/>
                <w:sz w:val="18"/>
                <w:szCs w:val="18"/>
              </w:rPr>
            </w:pPr>
            <w:r>
              <w:rPr>
                <w:b/>
                <w:sz w:val="18"/>
                <w:szCs w:val="18"/>
              </w:rPr>
              <w:t>Statut</w:t>
            </w:r>
          </w:p>
        </w:tc>
      </w:tr>
      <w:tr w:rsidR="00F25222" w:rsidRPr="007F5D87" w:rsidTr="00E22425">
        <w:trPr>
          <w:gridAfter w:val="1"/>
          <w:wAfter w:w="29" w:type="dxa"/>
        </w:trPr>
        <w:tc>
          <w:tcPr>
            <w:tcW w:w="1583" w:type="dxa"/>
          </w:tcPr>
          <w:p w:rsidR="00F25222" w:rsidRPr="007F5D87" w:rsidRDefault="00F25222" w:rsidP="00E22425">
            <w:pPr>
              <w:jc w:val="center"/>
              <w:rPr>
                <w:rFonts w:cs="Arial"/>
                <w:i/>
                <w:sz w:val="18"/>
                <w:szCs w:val="18"/>
              </w:rPr>
            </w:pPr>
            <w:r>
              <w:rPr>
                <w:sz w:val="18"/>
                <w:szCs w:val="18"/>
              </w:rPr>
              <w:t>Risque fiduciaire lié à l’opération complexe de mise en place de fonds renouvelables, de la microfinance et de fonds pour la perception de taxes ou prélèvements</w:t>
            </w:r>
          </w:p>
        </w:tc>
        <w:tc>
          <w:tcPr>
            <w:tcW w:w="1117" w:type="dxa"/>
          </w:tcPr>
          <w:p w:rsidR="00F25222" w:rsidRPr="007F5D87" w:rsidRDefault="00F25222" w:rsidP="00E22425">
            <w:pPr>
              <w:jc w:val="center"/>
              <w:rPr>
                <w:rFonts w:cs="Arial"/>
                <w:i/>
                <w:sz w:val="18"/>
                <w:szCs w:val="18"/>
              </w:rPr>
            </w:pPr>
            <w:r>
              <w:rPr>
                <w:i/>
                <w:sz w:val="18"/>
                <w:szCs w:val="18"/>
              </w:rPr>
              <w:t>Opérationnel</w:t>
            </w:r>
          </w:p>
        </w:tc>
        <w:tc>
          <w:tcPr>
            <w:tcW w:w="1463" w:type="dxa"/>
          </w:tcPr>
          <w:p w:rsidR="00F25222" w:rsidRPr="007F5D87" w:rsidRDefault="00F25222" w:rsidP="00E22425">
            <w:pPr>
              <w:jc w:val="center"/>
              <w:rPr>
                <w:rFonts w:cs="Arial"/>
                <w:sz w:val="18"/>
                <w:szCs w:val="18"/>
              </w:rPr>
            </w:pPr>
            <w:r>
              <w:rPr>
                <w:sz w:val="18"/>
                <w:szCs w:val="18"/>
              </w:rPr>
              <w:t>Impact : 2</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Le projet s’appuiera sur le processus de restructuration en cours suivant les recommandations de la performance de 2012 et appliquera la stratégie de gestion des risques fiduciaires du FENU et du PNUD dans le secteur de la microfinance au Sénégal.</w:t>
            </w:r>
          </w:p>
          <w:p w:rsidR="00F25222" w:rsidRPr="007F5D87" w:rsidRDefault="00F25222" w:rsidP="00E22425">
            <w:pPr>
              <w:jc w:val="left"/>
              <w:rPr>
                <w:rFonts w:cs="Arial"/>
                <w:i/>
                <w:sz w:val="18"/>
                <w:szCs w:val="18"/>
              </w:rPr>
            </w:pPr>
            <w:r>
              <w:rPr>
                <w:i/>
                <w:sz w:val="18"/>
                <w:szCs w:val="18"/>
              </w:rPr>
              <w:t>Le projet évaluera le succès et les échecs des mutuelles, les renforcera et impliquera les communautés dans ce processus. Plusieurs partenariats seront établis avec le FMI.</w:t>
            </w:r>
          </w:p>
        </w:tc>
        <w:tc>
          <w:tcPr>
            <w:tcW w:w="899" w:type="dxa"/>
            <w:gridSpan w:val="2"/>
          </w:tcPr>
          <w:p w:rsidR="00F25222" w:rsidRPr="007F5D87" w:rsidRDefault="00F25222" w:rsidP="00E22425">
            <w:pPr>
              <w:jc w:val="center"/>
              <w:rPr>
                <w:rFonts w:cs="Arial"/>
                <w:i/>
                <w:sz w:val="18"/>
                <w:szCs w:val="18"/>
              </w:rPr>
            </w:pPr>
            <w:r>
              <w:rPr>
                <w:i/>
                <w:sz w:val="18"/>
                <w:szCs w:val="18"/>
              </w:rPr>
              <w:t>UGP</w:t>
            </w:r>
          </w:p>
          <w:p w:rsidR="00F25222" w:rsidRPr="007F5D87" w:rsidRDefault="00F25222" w:rsidP="00E22425">
            <w:pPr>
              <w:jc w:val="center"/>
              <w:rPr>
                <w:rFonts w:cs="Arial"/>
                <w:i/>
                <w:sz w:val="18"/>
                <w:szCs w:val="18"/>
              </w:rPr>
            </w:pPr>
            <w:r>
              <w:rPr>
                <w:i/>
                <w:sz w:val="18"/>
                <w:szCs w:val="18"/>
              </w:rPr>
              <w:t>FMI</w:t>
            </w:r>
          </w:p>
          <w:p w:rsidR="00F25222" w:rsidRPr="007F5D87" w:rsidRDefault="00F25222" w:rsidP="00E22425">
            <w:pPr>
              <w:jc w:val="center"/>
              <w:rPr>
                <w:rFonts w:cs="Arial"/>
                <w:i/>
                <w:sz w:val="18"/>
                <w:szCs w:val="18"/>
              </w:rPr>
            </w:pPr>
            <w:r>
              <w:rPr>
                <w:i/>
                <w:sz w:val="18"/>
                <w:szCs w:val="18"/>
              </w:rPr>
              <w:t>Mutuelles</w:t>
            </w:r>
          </w:p>
        </w:tc>
        <w:tc>
          <w:tcPr>
            <w:tcW w:w="1440" w:type="dxa"/>
            <w:gridSpan w:val="2"/>
          </w:tcPr>
          <w:p w:rsidR="00F25222" w:rsidRPr="007F5D87" w:rsidRDefault="00F25222" w:rsidP="00E22425">
            <w:pPr>
              <w:rPr>
                <w:rFonts w:cs="Arial"/>
                <w:i/>
                <w:sz w:val="18"/>
                <w:szCs w:val="18"/>
              </w:rPr>
            </w:pPr>
            <w:r>
              <w:rPr>
                <w:i/>
                <w:sz w:val="18"/>
                <w:szCs w:val="18"/>
              </w:rPr>
              <w:t>Moyen - décroissant.</w:t>
            </w:r>
          </w:p>
          <w:p w:rsidR="00F25222" w:rsidRPr="007F5D87" w:rsidRDefault="00F25222" w:rsidP="00E22425">
            <w:pPr>
              <w:rPr>
                <w:rFonts w:cs="Arial"/>
                <w:sz w:val="18"/>
                <w:szCs w:val="18"/>
              </w:rPr>
            </w:pPr>
          </w:p>
          <w:p w:rsidR="00F25222" w:rsidRPr="007F5D87" w:rsidRDefault="00F25222" w:rsidP="00E22425">
            <w:pPr>
              <w:rPr>
                <w:rFonts w:cs="Arial"/>
                <w:sz w:val="18"/>
                <w:szCs w:val="18"/>
              </w:rPr>
            </w:pPr>
          </w:p>
          <w:p w:rsidR="00F25222" w:rsidRPr="007F5D87" w:rsidRDefault="00F25222" w:rsidP="00E22425">
            <w:pPr>
              <w:jc w:val="center"/>
              <w:rPr>
                <w:rFonts w:cs="Arial"/>
                <w:sz w:val="18"/>
                <w:szCs w:val="18"/>
              </w:rPr>
            </w:pP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de collaboration entre les différents ministères sectoriels, départements, agences, autorités centrales et organisations communautaires.</w:t>
            </w:r>
          </w:p>
        </w:tc>
        <w:tc>
          <w:tcPr>
            <w:tcW w:w="1117" w:type="dxa"/>
          </w:tcPr>
          <w:p w:rsidR="00F25222" w:rsidRPr="007F5D87" w:rsidRDefault="00F25222" w:rsidP="00E22425">
            <w:pPr>
              <w:jc w:val="center"/>
              <w:rPr>
                <w:rFonts w:cs="Arial"/>
                <w:i/>
                <w:sz w:val="18"/>
                <w:szCs w:val="18"/>
              </w:rPr>
            </w:pPr>
            <w:r>
              <w:rPr>
                <w:i/>
                <w:sz w:val="18"/>
                <w:szCs w:val="18"/>
              </w:rPr>
              <w:t>Opérationnel et stratégique.</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2</w:t>
            </w:r>
          </w:p>
        </w:tc>
        <w:tc>
          <w:tcPr>
            <w:tcW w:w="2806" w:type="dxa"/>
          </w:tcPr>
          <w:p w:rsidR="00F25222" w:rsidRPr="007F5D87" w:rsidRDefault="00F25222" w:rsidP="00E22425">
            <w:pPr>
              <w:jc w:val="left"/>
              <w:rPr>
                <w:rFonts w:cs="Arial"/>
                <w:i/>
                <w:sz w:val="18"/>
                <w:szCs w:val="18"/>
              </w:rPr>
            </w:pPr>
            <w:r>
              <w:rPr>
                <w:i/>
                <w:sz w:val="18"/>
                <w:szCs w:val="18"/>
              </w:rPr>
              <w:t xml:space="preserve">Le projet sera mis en œuvre conformément aux modalités de gestion décrites dans la section VII du présent document de projet. Les modalités de gestion de projet actuellement établies favorisent la coordination des autorités gouvernementales au sein du conseil d’administration du projet. </w:t>
            </w:r>
          </w:p>
          <w:p w:rsidR="00F25222" w:rsidRPr="007F5D87" w:rsidRDefault="00F25222" w:rsidP="00E22425">
            <w:pPr>
              <w:jc w:val="left"/>
              <w:rPr>
                <w:rFonts w:cs="Arial"/>
                <w:i/>
                <w:sz w:val="18"/>
                <w:szCs w:val="18"/>
              </w:rPr>
            </w:pPr>
            <w:r>
              <w:rPr>
                <w:i/>
                <w:sz w:val="18"/>
                <w:szCs w:val="18"/>
              </w:rPr>
              <w:t>Le président du comité de projet interviendra et mettra en œuvre des mesures correctives si une coordination limitée entre les autorités gouvernementales entrave la progression du projet financé par le Fonds pour les PMA.</w:t>
            </w:r>
          </w:p>
          <w:p w:rsidR="00F25222" w:rsidRPr="007F5D87" w:rsidRDefault="00F25222" w:rsidP="00E22425">
            <w:pPr>
              <w:jc w:val="left"/>
              <w:rPr>
                <w:rFonts w:cs="Arial"/>
                <w:i/>
                <w:sz w:val="18"/>
                <w:szCs w:val="18"/>
              </w:rPr>
            </w:pPr>
            <w:r>
              <w:rPr>
                <w:i/>
                <w:sz w:val="18"/>
                <w:szCs w:val="18"/>
              </w:rPr>
              <w:t>Plusieurs accords de partenariat seront établis au début du projet (PNDL, ministères en charge des collectivités locales, etc.)</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Faible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rPr>
              <w:t>Capacité limitée des institutions locales/techniques à soutenir les communautés vulnérables en matière d’adaptation</w:t>
            </w:r>
          </w:p>
        </w:tc>
        <w:tc>
          <w:tcPr>
            <w:tcW w:w="1117" w:type="dxa"/>
          </w:tcPr>
          <w:p w:rsidR="00F25222" w:rsidRPr="007F5D87" w:rsidRDefault="00F25222" w:rsidP="00E22425">
            <w:pPr>
              <w:jc w:val="center"/>
              <w:rPr>
                <w:rFonts w:cs="Arial"/>
                <w:i/>
                <w:sz w:val="18"/>
                <w:szCs w:val="18"/>
              </w:rPr>
            </w:pPr>
            <w:r>
              <w:rPr>
                <w:i/>
                <w:sz w:val="18"/>
                <w:szCs w:val="18"/>
              </w:rPr>
              <w:t>Politique et opérationnel</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 xml:space="preserve">Les institutions locales bénéficient du PNDL pour accroître leurs capacités. </w:t>
            </w:r>
          </w:p>
          <w:p w:rsidR="00F25222" w:rsidRPr="007F5D87" w:rsidRDefault="00F25222" w:rsidP="00E22425">
            <w:pPr>
              <w:jc w:val="left"/>
              <w:rPr>
                <w:rFonts w:cs="Arial"/>
                <w:i/>
                <w:sz w:val="18"/>
                <w:szCs w:val="18"/>
              </w:rPr>
            </w:pPr>
            <w:r>
              <w:rPr>
                <w:i/>
                <w:sz w:val="18"/>
                <w:szCs w:val="18"/>
              </w:rPr>
              <w:t>Les services techniques bénéficient actuellement des activités de sensibilisation en cours sur le changement climatique et les options d’adaptation.</w:t>
            </w:r>
          </w:p>
          <w:p w:rsidR="00F25222" w:rsidRPr="007F5D87" w:rsidRDefault="00F25222" w:rsidP="00E22425">
            <w:pPr>
              <w:jc w:val="left"/>
              <w:rPr>
                <w:rFonts w:cs="Arial"/>
                <w:i/>
                <w:sz w:val="18"/>
                <w:szCs w:val="18"/>
              </w:rPr>
            </w:pPr>
            <w:r>
              <w:rPr>
                <w:i/>
                <w:sz w:val="18"/>
                <w:szCs w:val="18"/>
              </w:rPr>
              <w:t>Des actions complémentaires de renforcement des capacités sont prévues dans le projet proposé.</w:t>
            </w:r>
          </w:p>
        </w:tc>
        <w:tc>
          <w:tcPr>
            <w:tcW w:w="899" w:type="dxa"/>
            <w:gridSpan w:val="2"/>
          </w:tcPr>
          <w:p w:rsidR="00F25222" w:rsidRPr="007F5D87" w:rsidRDefault="00F25222" w:rsidP="00E22425">
            <w:pPr>
              <w:jc w:val="center"/>
              <w:rPr>
                <w:rFonts w:cs="Arial"/>
                <w:i/>
                <w:sz w:val="18"/>
                <w:szCs w:val="18"/>
              </w:rPr>
            </w:pPr>
            <w:r>
              <w:rPr>
                <w:i/>
                <w:sz w:val="18"/>
                <w:szCs w:val="18"/>
              </w:rPr>
              <w:t>Communes, MEDD</w:t>
            </w:r>
          </w:p>
        </w:tc>
        <w:tc>
          <w:tcPr>
            <w:tcW w:w="1440" w:type="dxa"/>
            <w:gridSpan w:val="2"/>
          </w:tcPr>
          <w:p w:rsidR="00F25222" w:rsidRPr="007F5D87" w:rsidRDefault="00F25222" w:rsidP="00E22425">
            <w:pPr>
              <w:jc w:val="center"/>
              <w:rPr>
                <w:rFonts w:cs="Arial"/>
                <w:i/>
                <w:sz w:val="18"/>
                <w:szCs w:val="18"/>
              </w:rPr>
            </w:pPr>
            <w:r>
              <w:rPr>
                <w:i/>
                <w:sz w:val="18"/>
                <w:szCs w:val="18"/>
              </w:rPr>
              <w:t>Moyen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d’implication des communes (par exemple cofinancement), d’acteurs privés ou publics.</w:t>
            </w:r>
          </w:p>
        </w:tc>
        <w:tc>
          <w:tcPr>
            <w:tcW w:w="1117" w:type="dxa"/>
          </w:tcPr>
          <w:p w:rsidR="00F25222" w:rsidRPr="007F5D87" w:rsidRDefault="00F25222" w:rsidP="00E22425">
            <w:pPr>
              <w:jc w:val="center"/>
              <w:rPr>
                <w:rFonts w:cs="Arial"/>
                <w:i/>
                <w:sz w:val="18"/>
                <w:szCs w:val="18"/>
              </w:rPr>
            </w:pPr>
            <w:r>
              <w:rPr>
                <w:i/>
                <w:sz w:val="18"/>
                <w:szCs w:val="18"/>
              </w:rPr>
              <w:t>Politique et opérationnel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3</w:t>
            </w:r>
          </w:p>
          <w:p w:rsidR="00F25222" w:rsidRPr="007F5D87" w:rsidRDefault="00F25222" w:rsidP="00E22425">
            <w:pPr>
              <w:jc w:val="center"/>
              <w:rPr>
                <w:rFonts w:cs="Arial"/>
                <w:sz w:val="18"/>
                <w:szCs w:val="18"/>
              </w:rPr>
            </w:pPr>
          </w:p>
        </w:tc>
        <w:tc>
          <w:tcPr>
            <w:tcW w:w="2806" w:type="dxa"/>
          </w:tcPr>
          <w:p w:rsidR="00F25222" w:rsidRPr="007F5D87" w:rsidRDefault="00F25222" w:rsidP="00E22425">
            <w:pPr>
              <w:jc w:val="left"/>
              <w:rPr>
                <w:rFonts w:cs="Arial"/>
                <w:i/>
                <w:sz w:val="18"/>
                <w:szCs w:val="18"/>
              </w:rPr>
            </w:pPr>
            <w:r>
              <w:rPr>
                <w:i/>
                <w:sz w:val="18"/>
                <w:szCs w:val="18"/>
              </w:rPr>
              <w:t>Pendant la phase de préparation du projet, toutes les communes ont été visitées et se sont engagées à participer à ses activités. La majorité d’entre elles ont pris part à l’atelier de validation du projet.</w:t>
            </w:r>
          </w:p>
          <w:p w:rsidR="00F25222" w:rsidRPr="007F5D87" w:rsidRDefault="00F25222" w:rsidP="00E22425">
            <w:pPr>
              <w:jc w:val="left"/>
              <w:rPr>
                <w:rFonts w:cs="Arial"/>
                <w:i/>
                <w:sz w:val="18"/>
                <w:szCs w:val="18"/>
              </w:rPr>
            </w:pPr>
            <w:r>
              <w:rPr>
                <w:i/>
                <w:sz w:val="18"/>
                <w:szCs w:val="18"/>
              </w:rPr>
              <w:t>De plus, le projet fournira le renforcement des capacités, des réunions régulières et assurera leur participation à chaque étape du processus.</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Moyen</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d’implication/participation des villageois.</w:t>
            </w:r>
          </w:p>
        </w:tc>
        <w:tc>
          <w:tcPr>
            <w:tcW w:w="1117" w:type="dxa"/>
          </w:tcPr>
          <w:p w:rsidR="00F25222" w:rsidRPr="007F5D87" w:rsidRDefault="00F25222" w:rsidP="00E22425">
            <w:pPr>
              <w:jc w:val="center"/>
              <w:rPr>
                <w:rFonts w:cs="Arial"/>
                <w:i/>
                <w:sz w:val="18"/>
                <w:szCs w:val="18"/>
              </w:rPr>
            </w:pPr>
            <w:r>
              <w:rPr>
                <w:i/>
                <w:sz w:val="18"/>
                <w:szCs w:val="18"/>
              </w:rPr>
              <w:t>Organisationnel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2</w:t>
            </w:r>
          </w:p>
        </w:tc>
        <w:tc>
          <w:tcPr>
            <w:tcW w:w="2806" w:type="dxa"/>
          </w:tcPr>
          <w:p w:rsidR="00F25222" w:rsidRPr="007F5D87" w:rsidRDefault="00F25222" w:rsidP="00E22425">
            <w:pPr>
              <w:rPr>
                <w:rFonts w:cs="Arial"/>
                <w:i/>
                <w:sz w:val="18"/>
                <w:szCs w:val="18"/>
              </w:rPr>
            </w:pPr>
            <w:r>
              <w:rPr>
                <w:i/>
                <w:sz w:val="18"/>
                <w:szCs w:val="18"/>
              </w:rPr>
              <w:t>Les interventions financées par le Fonds pour les PMA ont été élaborées au terme de multiples consultations avec les communautés locales en 2016.</w:t>
            </w:r>
          </w:p>
          <w:p w:rsidR="00F25222" w:rsidRPr="007F5D87" w:rsidRDefault="00F25222" w:rsidP="00E22425">
            <w:pPr>
              <w:rPr>
                <w:rFonts w:cs="Arial"/>
                <w:i/>
                <w:sz w:val="18"/>
                <w:szCs w:val="18"/>
              </w:rPr>
            </w:pPr>
            <w:r>
              <w:rPr>
                <w:i/>
                <w:sz w:val="18"/>
                <w:szCs w:val="18"/>
              </w:rPr>
              <w:t>Une large implication des communautés locales dans la prise de décision sera poursuivie tout au long de la phase de mise en œuvre.</w:t>
            </w:r>
          </w:p>
          <w:p w:rsidR="00F25222" w:rsidRPr="007F5D87" w:rsidRDefault="00F25222" w:rsidP="00E22425">
            <w:pPr>
              <w:rPr>
                <w:rFonts w:cs="Arial"/>
                <w:i/>
                <w:sz w:val="18"/>
                <w:szCs w:val="18"/>
              </w:rPr>
            </w:pPr>
            <w:r>
              <w:rPr>
                <w:i/>
                <w:sz w:val="18"/>
                <w:szCs w:val="18"/>
              </w:rPr>
              <w:t xml:space="preserve">Des activités tangibles et visibles qui prennent en charge les priorités communautaires seront exécutées très tôt au cours de la phase de mise en œuvre du projet. </w:t>
            </w:r>
          </w:p>
          <w:p w:rsidR="00F25222" w:rsidRPr="007F5D87" w:rsidRDefault="00F25222" w:rsidP="00E22425">
            <w:pPr>
              <w:rPr>
                <w:rFonts w:cs="Arial"/>
                <w:i/>
                <w:sz w:val="18"/>
                <w:szCs w:val="18"/>
              </w:rPr>
            </w:pPr>
            <w:r>
              <w:rPr>
                <w:i/>
                <w:sz w:val="18"/>
                <w:szCs w:val="18"/>
              </w:rPr>
              <w:t>Les assistants techniques désignés au sein de l’unité de gestion du projet de chaque site maintiendront un lien de communication solide avec les bénéficiaires, géreront les attentes des communautés locales et assureront l’alignement des résultats, des objectifs et des bénéfices du projet sur les besoins des communautés.</w:t>
            </w:r>
          </w:p>
          <w:p w:rsidR="00F25222" w:rsidRPr="007F5D87" w:rsidRDefault="00F25222" w:rsidP="00E22425">
            <w:pPr>
              <w:rPr>
                <w:rFonts w:cs="Arial"/>
                <w:i/>
                <w:sz w:val="18"/>
                <w:szCs w:val="18"/>
              </w:rPr>
            </w:pPr>
            <w:r>
              <w:rPr>
                <w:i/>
                <w:sz w:val="18"/>
                <w:szCs w:val="18"/>
              </w:rPr>
              <w:t>Le projet fournira le renforcement des capacités, des réunions régulières et assurera la participation à chaque étape du processus.</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Moyen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Les aléas climatiques retardent la mise en œuvre des interventions du projet. (Sécheresse, inondation)</w:t>
            </w:r>
          </w:p>
        </w:tc>
        <w:tc>
          <w:tcPr>
            <w:tcW w:w="1117" w:type="dxa"/>
          </w:tcPr>
          <w:p w:rsidR="00F25222" w:rsidRPr="007F5D87" w:rsidRDefault="00F25222" w:rsidP="00E22425">
            <w:pPr>
              <w:jc w:val="center"/>
              <w:rPr>
                <w:rFonts w:cs="Arial"/>
                <w:i/>
                <w:sz w:val="18"/>
                <w:szCs w:val="18"/>
              </w:rPr>
            </w:pPr>
            <w:r>
              <w:rPr>
                <w:i/>
                <w:sz w:val="18"/>
                <w:szCs w:val="18"/>
              </w:rPr>
              <w:t>Environnemental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Activités de projet particulièrement sensibles aux conditions climatiques.</w:t>
            </w:r>
          </w:p>
          <w:p w:rsidR="00F25222" w:rsidRPr="007F5D87" w:rsidRDefault="00F25222" w:rsidP="00E22425">
            <w:pPr>
              <w:jc w:val="left"/>
              <w:rPr>
                <w:rFonts w:cs="Arial"/>
                <w:i/>
                <w:sz w:val="18"/>
                <w:szCs w:val="18"/>
              </w:rPr>
            </w:pPr>
            <w:r>
              <w:rPr>
                <w:i/>
                <w:sz w:val="18"/>
                <w:szCs w:val="18"/>
              </w:rPr>
              <w:t>Utilisation de variétés résistantes, mise en œuvre et diffusion de bonnes pratiques.</w:t>
            </w:r>
          </w:p>
          <w:p w:rsidR="00F25222" w:rsidRPr="007F5D87" w:rsidRDefault="00F25222" w:rsidP="00E22425">
            <w:pPr>
              <w:jc w:val="left"/>
              <w:rPr>
                <w:rFonts w:cs="Arial"/>
                <w:i/>
                <w:sz w:val="18"/>
                <w:szCs w:val="18"/>
              </w:rPr>
            </w:pPr>
            <w:r>
              <w:rPr>
                <w:i/>
                <w:sz w:val="18"/>
                <w:szCs w:val="18"/>
              </w:rPr>
              <w:t>Cela inclura la collaboration avec l’ANACIM.</w:t>
            </w:r>
          </w:p>
        </w:tc>
        <w:tc>
          <w:tcPr>
            <w:tcW w:w="899" w:type="dxa"/>
            <w:gridSpan w:val="2"/>
          </w:tcPr>
          <w:p w:rsidR="00F25222" w:rsidRPr="007F5D87" w:rsidRDefault="00F25222" w:rsidP="00E22425">
            <w:pPr>
              <w:jc w:val="center"/>
              <w:rPr>
                <w:rFonts w:cs="Arial"/>
                <w:i/>
                <w:sz w:val="18"/>
                <w:szCs w:val="18"/>
              </w:rPr>
            </w:pPr>
            <w:r>
              <w:rPr>
                <w:i/>
                <w:sz w:val="18"/>
                <w:szCs w:val="18"/>
              </w:rPr>
              <w:t>UGP</w:t>
            </w:r>
          </w:p>
          <w:p w:rsidR="00F25222" w:rsidRPr="007F5D87" w:rsidRDefault="00F25222" w:rsidP="00E22425">
            <w:pPr>
              <w:jc w:val="center"/>
              <w:rPr>
                <w:rFonts w:cs="Arial"/>
                <w:i/>
                <w:sz w:val="18"/>
                <w:szCs w:val="18"/>
              </w:rPr>
            </w:pPr>
            <w:r>
              <w:rPr>
                <w:i/>
                <w:sz w:val="18"/>
                <w:szCs w:val="18"/>
              </w:rPr>
              <w:t>ANACIM</w:t>
            </w:r>
          </w:p>
        </w:tc>
        <w:tc>
          <w:tcPr>
            <w:tcW w:w="1440" w:type="dxa"/>
            <w:gridSpan w:val="2"/>
          </w:tcPr>
          <w:p w:rsidR="00F25222" w:rsidRPr="007F5D87" w:rsidRDefault="00F25222" w:rsidP="00E22425">
            <w:pPr>
              <w:jc w:val="center"/>
              <w:rPr>
                <w:rFonts w:cs="Arial"/>
                <w:i/>
                <w:sz w:val="18"/>
                <w:szCs w:val="18"/>
              </w:rPr>
            </w:pPr>
            <w:r>
              <w:rPr>
                <w:i/>
                <w:sz w:val="18"/>
                <w:szCs w:val="18"/>
              </w:rPr>
              <w:t>Moyen</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de collaboration avec les autres projets présents sur les sites d’intervention</w:t>
            </w:r>
          </w:p>
        </w:tc>
        <w:tc>
          <w:tcPr>
            <w:tcW w:w="1117" w:type="dxa"/>
          </w:tcPr>
          <w:p w:rsidR="00F25222" w:rsidRPr="007F5D87" w:rsidRDefault="00F25222" w:rsidP="00E22425">
            <w:pPr>
              <w:jc w:val="center"/>
              <w:rPr>
                <w:rFonts w:cs="Arial"/>
                <w:i/>
                <w:sz w:val="18"/>
                <w:szCs w:val="18"/>
              </w:rPr>
            </w:pPr>
            <w:r>
              <w:rPr>
                <w:i/>
                <w:sz w:val="18"/>
                <w:szCs w:val="18"/>
              </w:rPr>
              <w:t>Organisationnel</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1</w:t>
            </w:r>
          </w:p>
        </w:tc>
        <w:tc>
          <w:tcPr>
            <w:tcW w:w="2806" w:type="dxa"/>
          </w:tcPr>
          <w:p w:rsidR="00F25222" w:rsidRPr="007F5D87" w:rsidRDefault="00F25222" w:rsidP="00E22425">
            <w:pPr>
              <w:rPr>
                <w:rFonts w:cs="Arial"/>
                <w:i/>
                <w:sz w:val="18"/>
                <w:szCs w:val="18"/>
              </w:rPr>
            </w:pPr>
            <w:r>
              <w:rPr>
                <w:i/>
                <w:sz w:val="18"/>
                <w:szCs w:val="18"/>
              </w:rPr>
              <w:t>Le projet a été conçu sur la base de larges consultations avec d’autres projets en cours. Plusieurs lettres de partenariat ont déjà été signées.</w:t>
            </w:r>
          </w:p>
          <w:p w:rsidR="00F25222" w:rsidRPr="007F5D87" w:rsidRDefault="00F25222" w:rsidP="00E22425">
            <w:pPr>
              <w:rPr>
                <w:rFonts w:cs="Arial"/>
                <w:i/>
                <w:sz w:val="18"/>
                <w:szCs w:val="18"/>
              </w:rPr>
            </w:pPr>
            <w:r>
              <w:rPr>
                <w:i/>
                <w:sz w:val="18"/>
                <w:szCs w:val="18"/>
              </w:rPr>
              <w:t>L’unité de gestion du projet communiquera largement avec les partenaires et partagera les informations tout au long de la mise en œuvre du projet.</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Faible – décroissant.</w:t>
            </w:r>
          </w:p>
        </w:tc>
      </w:tr>
      <w:tr w:rsidR="00F25222" w:rsidRPr="007E3761" w:rsidTr="00E22425">
        <w:tc>
          <w:tcPr>
            <w:tcW w:w="158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Non-participation des parties prenantes au partenariat de compensation proposé avec les industries minières</w:t>
            </w:r>
          </w:p>
        </w:tc>
        <w:tc>
          <w:tcPr>
            <w:tcW w:w="1117" w:type="dxa"/>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Stratégique</w:t>
            </w:r>
          </w:p>
        </w:tc>
        <w:tc>
          <w:tcPr>
            <w:tcW w:w="146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Impact : 3</w:t>
            </w:r>
          </w:p>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Probabilité : 3</w:t>
            </w:r>
          </w:p>
        </w:tc>
        <w:tc>
          <w:tcPr>
            <w:tcW w:w="2835" w:type="dxa"/>
            <w:gridSpan w:val="2"/>
          </w:tcPr>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Le niveau de compensation financière sera établi selon une approche participative impliquant les parties prenantes concernées et sera différent pour chaque produit. Cela favorisera un niveau d’appropriation des activités plus élevé chez les parties prenantes. En outre, des consultations ont déjà eu lieu pendant la phase de formulation, afin de s’assurer que les parties prenantes ciblées adhèrent aux compensations.</w:t>
            </w:r>
          </w:p>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Enfin, les capacités de suivi du MEDD pour la mise en œuvre du programme de compensation des entreprises et de la biodiversité seront renforcées</w:t>
            </w:r>
          </w:p>
        </w:tc>
        <w:tc>
          <w:tcPr>
            <w:tcW w:w="899"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UGP</w:t>
            </w:r>
          </w:p>
        </w:tc>
        <w:tc>
          <w:tcPr>
            <w:tcW w:w="1440"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Moyen</w:t>
            </w:r>
          </w:p>
        </w:tc>
      </w:tr>
      <w:tr w:rsidR="00F25222" w:rsidRPr="007E3761" w:rsidTr="00E22425">
        <w:tc>
          <w:tcPr>
            <w:tcW w:w="158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Faible mobilisation de la population locale autour des initiatives de financement communautaire</w:t>
            </w:r>
          </w:p>
        </w:tc>
        <w:tc>
          <w:tcPr>
            <w:tcW w:w="1117" w:type="dxa"/>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Stratégique</w:t>
            </w:r>
          </w:p>
        </w:tc>
        <w:tc>
          <w:tcPr>
            <w:tcW w:w="146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Impact : 2</w:t>
            </w:r>
          </w:p>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Probabilité : 3</w:t>
            </w:r>
          </w:p>
        </w:tc>
        <w:tc>
          <w:tcPr>
            <w:tcW w:w="2835" w:type="dxa"/>
            <w:gridSpan w:val="2"/>
          </w:tcPr>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Les activités de financement communautaire exigent que les populations locales soient mobilisées et adhèrent à l’initiative promue. À Sokone, où le téléthon a été organisé, le maire justifiait de bonnes compétences en gestion pour mobiliser les populations. Au cours de la mise en œuvre du projet, l’unité de gestion devra veiller à ce que les avantages des initiatives soient compris et répondent aux besoins des populations locales. Elle veillera également à ce que les fonds soient gérés de manière transparente pour que la population locale soit confiante quant à leur utilisation adéquate.</w:t>
            </w:r>
          </w:p>
        </w:tc>
        <w:tc>
          <w:tcPr>
            <w:tcW w:w="899"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UGP</w:t>
            </w:r>
          </w:p>
        </w:tc>
        <w:tc>
          <w:tcPr>
            <w:tcW w:w="1440"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Faible-moyen</w:t>
            </w:r>
          </w:p>
        </w:tc>
      </w:tr>
    </w:tbl>
    <w:p w:rsidR="00F25222" w:rsidRDefault="00F25222" w:rsidP="00F25222">
      <w:pPr>
        <w:jc w:val="left"/>
        <w:rPr>
          <w:rFonts w:cs="Arial"/>
          <w:i/>
          <w:noProof/>
          <w:szCs w:val="20"/>
          <w:u w:val="single"/>
          <w:lang w:eastAsia="zh-CN"/>
        </w:rPr>
      </w:pPr>
    </w:p>
    <w:p w:rsidR="0095214F" w:rsidRDefault="0095214F" w:rsidP="00F25222">
      <w:pPr>
        <w:jc w:val="left"/>
        <w:rPr>
          <w:rFonts w:cs="Arial"/>
          <w:i/>
          <w:noProof/>
          <w:szCs w:val="20"/>
          <w:u w:val="single"/>
          <w:lang w:eastAsia="zh-CN"/>
        </w:rPr>
      </w:pPr>
    </w:p>
    <w:p w:rsidR="0095214F" w:rsidRPr="007E3761" w:rsidRDefault="0095214F" w:rsidP="00F25222">
      <w:pPr>
        <w:jc w:val="left"/>
        <w:rPr>
          <w:rFonts w:cs="Arial"/>
          <w:i/>
          <w:noProof/>
          <w:szCs w:val="20"/>
          <w:u w:val="single"/>
          <w:lang w:eastAsia="zh-CN"/>
        </w:rPr>
      </w:pPr>
    </w:p>
    <w:p w:rsidR="00F25222" w:rsidRPr="007E3761" w:rsidRDefault="00F25222" w:rsidP="00F25222">
      <w:pPr>
        <w:jc w:val="left"/>
        <w:rPr>
          <w:rFonts w:cs="Arial"/>
          <w:i/>
          <w:noProof/>
          <w:szCs w:val="20"/>
          <w:u w:val="single"/>
          <w:lang w:eastAsia="zh-CN"/>
        </w:rPr>
      </w:pPr>
    </w:p>
    <w:p w:rsidR="00F25222" w:rsidRPr="007E3761" w:rsidRDefault="00F25222" w:rsidP="00F25222">
      <w:pPr>
        <w:pStyle w:val="Paragraphedeliste"/>
        <w:numPr>
          <w:ilvl w:val="0"/>
          <w:numId w:val="5"/>
        </w:numPr>
        <w:spacing w:after="60"/>
        <w:ind w:left="720"/>
        <w:rPr>
          <w:szCs w:val="20"/>
        </w:rPr>
      </w:pPr>
      <w:r>
        <w:rPr>
          <w:rFonts w:ascii="Calibri" w:hAnsi="Calibri"/>
          <w:szCs w:val="20"/>
          <w:u w:val="single"/>
        </w:rPr>
        <w:t>Sauvegardes environnementales et sociales</w:t>
      </w:r>
    </w:p>
    <w:p w:rsidR="00F25222" w:rsidRPr="007E3761" w:rsidRDefault="00F25222" w:rsidP="00F25222">
      <w:pPr>
        <w:rPr>
          <w:color w:val="000000"/>
          <w:szCs w:val="20"/>
        </w:rPr>
      </w:pPr>
    </w:p>
    <w:p w:rsidR="00F25222" w:rsidRPr="007E3761" w:rsidRDefault="00F25222" w:rsidP="00F25222">
      <w:pPr>
        <w:pStyle w:val="NumberedParas"/>
      </w:pPr>
      <w:r>
        <w:t xml:space="preserve">Les exigences de sauvegarde environnementale et sociale du PNUD ont été satisfaites dans le développement de ce projet financé par le Fonds pour les PMA. Comme indiqué ci-dessous, le projet ne devrait pas avoir </w:t>
      </w:r>
      <w:r w:rsidR="005D5C5A">
        <w:t xml:space="preserve">d’impacts </w:t>
      </w:r>
      <w:r>
        <w:t>environnementa</w:t>
      </w:r>
      <w:r w:rsidR="005D5C5A">
        <w:t>ux</w:t>
      </w:r>
      <w:r>
        <w:t xml:space="preserve"> ou socia</w:t>
      </w:r>
      <w:r w:rsidR="005D5C5A">
        <w:t>ux négatifs</w:t>
      </w:r>
      <w:r>
        <w:t>.</w:t>
      </w:r>
    </w:p>
    <w:p w:rsidR="00F25222" w:rsidRPr="007E3761" w:rsidRDefault="00F25222" w:rsidP="00F25222">
      <w:pPr>
        <w:pStyle w:val="NumberedParas"/>
        <w:numPr>
          <w:ilvl w:val="0"/>
          <w:numId w:val="0"/>
        </w:numPr>
      </w:pPr>
    </w:p>
    <w:p w:rsidR="00F25222" w:rsidRPr="007E3761" w:rsidRDefault="00F25222" w:rsidP="00F25222">
      <w:pPr>
        <w:pStyle w:val="NumberedParas"/>
      </w:pPr>
      <w:r>
        <w:t>Il réduira la vulnérabilité des communautés à la variabilité du climat et aux effets d</w:t>
      </w:r>
      <w:r w:rsidR="005D5C5A">
        <w:t>es</w:t>
      </w:r>
      <w:r>
        <w:t xml:space="preserve"> changement</w:t>
      </w:r>
      <w:r w:rsidR="005D5C5A">
        <w:t>s</w:t>
      </w:r>
      <w:r>
        <w:t xml:space="preserve"> climatique</w:t>
      </w:r>
      <w:r w:rsidR="005D5C5A">
        <w:t>s</w:t>
      </w:r>
      <w:r>
        <w:t xml:space="preserve"> à travers le développement d’activités résilientes et la diffusion des meilleures pratiques. Les sites les plus vulnérables ont été sélectionnés pour bénéficier d’investissements pour des interventions à fort impact et la mise en œuvre </w:t>
      </w:r>
      <w:r w:rsidR="005D5C5A">
        <w:t>des actions de revégétalisation</w:t>
      </w:r>
      <w:r>
        <w:t xml:space="preserve"> à travers un processus participatif. Les membres des communautés vulnérables ciblées bénéficieront dès lors de ces interventions également. Par conséquent, aucun conflit au sein des communautés n’est attendu à la suite des interventions du projet. De plus, les infrastructures physiques construites par le projet seront conçues spécifiquement pour protéger les vies et les biens de la communauté. Enfin, l’amélioration de la gestion de l’eau et de la production alimentaire contribuera positivement à la santé des populations.</w:t>
      </w:r>
    </w:p>
    <w:p w:rsidR="00F25222" w:rsidRPr="007E3761" w:rsidRDefault="00F25222" w:rsidP="00F25222">
      <w:pPr>
        <w:pStyle w:val="NumberedParas"/>
        <w:numPr>
          <w:ilvl w:val="0"/>
          <w:numId w:val="0"/>
        </w:numPr>
      </w:pPr>
    </w:p>
    <w:p w:rsidR="00F25222" w:rsidRPr="007E3761" w:rsidRDefault="00F25222" w:rsidP="00F25222">
      <w:pPr>
        <w:pStyle w:val="NumberedParas"/>
      </w:pPr>
      <w:r>
        <w:t>L</w:t>
      </w:r>
      <w:r w:rsidR="005D5C5A">
        <w:t>a</w:t>
      </w:r>
      <w:r>
        <w:t xml:space="preserve"> </w:t>
      </w:r>
      <w:r w:rsidR="005D5C5A">
        <w:t xml:space="preserve">revégétalisation </w:t>
      </w:r>
      <w:r>
        <w:t xml:space="preserve">des terres dégradées protégera les ressources naturelles et les moyens de subsistance contre les effets du changement climatique. On n’attend </w:t>
      </w:r>
      <w:r w:rsidR="009C1238">
        <w:t xml:space="preserve">des activités de revégétalisation, </w:t>
      </w:r>
      <w:r>
        <w:t>que des effets positifs s</w:t>
      </w:r>
      <w:r w:rsidR="0095214F">
        <w:t>ur l’habitat et la biodiversité</w:t>
      </w:r>
      <w:r>
        <w:t>. Le fonctionnement de l’écosystème par exemple sera favorisé par les activités, car elles se concentreront sur la stabilisation des sols, amélioreront l’infiltration d’eau et restaureront la végétation naturelle. Les terres reboisées seront moins vulnérables à la dégradation par des pluies intenses. Les espèces indigènes seront également préférées pour maximiser les effets positifs sur l’environnement. Enfin, l’augmentation de la biomasse résultant du reverdissement contribuera à la séquestration du carbone.</w:t>
      </w:r>
    </w:p>
    <w:p w:rsidR="00F25222" w:rsidRPr="007E3761" w:rsidRDefault="00F25222" w:rsidP="00F25222">
      <w:pPr>
        <w:pStyle w:val="NumberedParas"/>
        <w:numPr>
          <w:ilvl w:val="0"/>
          <w:numId w:val="0"/>
        </w:numPr>
      </w:pPr>
    </w:p>
    <w:p w:rsidR="00F25222" w:rsidRPr="007E3761" w:rsidRDefault="00F25222" w:rsidP="00F25222">
      <w:pPr>
        <w:pStyle w:val="NumberedParas"/>
      </w:pPr>
      <w:r>
        <w:t>Bien que le projet profite aux communautés locales, il ne devrait pas entraîner une augmentation localisée de la population. Les interventions telles que l’amélioration de l’accès à l’information climatique devraient plutôt profiter aux communautés locales au-delà des sites d’intervention du Fonds pour les PMA. Par conséquent, aucun déplacement de population n’est attendu comme résultat direct ou indirect du projet.</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L’égalité des sexes est un domaine prioritaire du projet financé par le Fonds pour les PMA. Les interventions du projet favoriseront l’équité sociale et l’égalité. Tous les </w:t>
      </w:r>
      <w:r w:rsidR="009C1238">
        <w:t xml:space="preserve">impacts </w:t>
      </w:r>
      <w:r>
        <w:t>socia</w:t>
      </w:r>
      <w:r w:rsidR="009C1238">
        <w:t>ux</w:t>
      </w:r>
      <w:r>
        <w:t xml:space="preserve"> du projet devraient être positi</w:t>
      </w:r>
      <w:r w:rsidR="009C1238">
        <w:t>f</w:t>
      </w:r>
      <w:r>
        <w:t xml:space="preserve">s. L’approbation </w:t>
      </w:r>
      <w:r w:rsidR="000B6016">
        <w:t xml:space="preserve">et le soutien </w:t>
      </w:r>
      <w:r>
        <w:t xml:space="preserve">des communautés locales aux interventions seront </w:t>
      </w:r>
      <w:r w:rsidR="000B6016">
        <w:t>un préalable à</w:t>
      </w:r>
      <w:r>
        <w:t xml:space="preserve"> la mise en œuvre. Le projet financé par le Fonds pour les PMA ne devrait avoir aucun effet négatif sur l’environnement et la communauté, bien au contraire, il devrait apporter des effets positifs. Un examen environnemental et social complet a été effectué et est présenté à l’annexe I. En outre, les </w:t>
      </w:r>
      <w:r w:rsidR="000B6016">
        <w:t xml:space="preserve">réclamations </w:t>
      </w:r>
      <w:r>
        <w:t>environnementales et sociales seront signalées au FEM dans le cadre du REP annuel.</w:t>
      </w:r>
    </w:p>
    <w:p w:rsidR="00F25222" w:rsidRPr="007F5D87" w:rsidRDefault="00F25222" w:rsidP="00F25222">
      <w:pPr>
        <w:spacing w:after="0"/>
        <w:jc w:val="left"/>
        <w:rPr>
          <w:rFonts w:cs="Arial"/>
          <w:noProof/>
          <w:szCs w:val="20"/>
          <w:lang w:eastAsia="zh-CN"/>
        </w:rPr>
      </w:pPr>
    </w:p>
    <w:p w:rsidR="00F25222" w:rsidRPr="007F5D87" w:rsidRDefault="00F25222" w:rsidP="00F25222">
      <w:pPr>
        <w:pStyle w:val="Paragraphedeliste"/>
        <w:numPr>
          <w:ilvl w:val="0"/>
          <w:numId w:val="6"/>
        </w:numPr>
        <w:rPr>
          <w:rFonts w:ascii="Calibri" w:hAnsi="Calibri" w:cs="Calibri"/>
          <w:szCs w:val="20"/>
        </w:rPr>
      </w:pPr>
      <w:r>
        <w:rPr>
          <w:rFonts w:ascii="Calibri" w:hAnsi="Calibri"/>
          <w:szCs w:val="20"/>
          <w:u w:val="single"/>
        </w:rPr>
        <w:t>Normes environnementales et sociales du PNUD</w:t>
      </w:r>
    </w:p>
    <w:p w:rsidR="00F25222" w:rsidRPr="007F5D87" w:rsidRDefault="00F25222" w:rsidP="00F25222">
      <w:pPr>
        <w:pStyle w:val="NumberedParas"/>
        <w:numPr>
          <w:ilvl w:val="0"/>
          <w:numId w:val="0"/>
        </w:numPr>
      </w:pPr>
    </w:p>
    <w:p w:rsidR="00F25222" w:rsidRPr="007F5D87" w:rsidRDefault="00F25222" w:rsidP="00F25222">
      <w:pPr>
        <w:pStyle w:val="NumberedParas"/>
      </w:pPr>
      <w:r>
        <w:t>Le projet satisfait aux exigences des normes environnementales et sociales du PNUD (2014), en particulier les trois principes généraux et les 7 normes de niveau de projet.</w:t>
      </w:r>
    </w:p>
    <w:p w:rsidR="00F25222" w:rsidRPr="007F5D87" w:rsidRDefault="00F25222" w:rsidP="00F25222">
      <w:pPr>
        <w:pStyle w:val="NumberedParas"/>
        <w:numPr>
          <w:ilvl w:val="0"/>
          <w:numId w:val="0"/>
        </w:numPr>
        <w:rPr>
          <w:szCs w:val="24"/>
        </w:rPr>
      </w:pPr>
    </w:p>
    <w:p w:rsidR="00F25222" w:rsidRPr="007F5D87" w:rsidRDefault="00F25222" w:rsidP="00F25222">
      <w:pPr>
        <w:pStyle w:val="Corpsdetexte"/>
        <w:rPr>
          <w:rFonts w:ascii="Times New Roman" w:hAnsi="Times New Roman"/>
          <w:b/>
          <w:i/>
          <w:sz w:val="24"/>
        </w:rPr>
      </w:pPr>
      <w:r>
        <w:rPr>
          <w:rFonts w:ascii="Times New Roman" w:hAnsi="Times New Roman"/>
          <w:b/>
          <w:i/>
          <w:sz w:val="24"/>
        </w:rPr>
        <w:t>Principe 1. Droits de l’homme</w:t>
      </w:r>
    </w:p>
    <w:p w:rsidR="00F25222" w:rsidRPr="007F5D87" w:rsidRDefault="00F25222" w:rsidP="00F25222">
      <w:pPr>
        <w:pStyle w:val="NumberedParas"/>
      </w:pPr>
      <w:r>
        <w:t>L’approche est inclusive, non discriminatoire et transparente et respecte dès lors les droits de l’homme. Les membres des communautés vulnérables ciblées bénéficieront également des activités du projet, qui du reste, seront conçues pour protéger les vies et les biens de la communauté. Aucun conflit au sein des communautés n’est attendu à la suite des interventions du projet.</w:t>
      </w:r>
    </w:p>
    <w:p w:rsidR="00F25222" w:rsidRPr="007F5D87" w:rsidRDefault="00F25222" w:rsidP="00F25222">
      <w:pPr>
        <w:pStyle w:val="NumberedParas"/>
        <w:numPr>
          <w:ilvl w:val="0"/>
          <w:numId w:val="0"/>
        </w:numPr>
      </w:pPr>
    </w:p>
    <w:p w:rsidR="00F25222" w:rsidRDefault="00F25222" w:rsidP="00F25222">
      <w:pPr>
        <w:pStyle w:val="NumberedParas"/>
      </w:pPr>
      <w:r>
        <w:t>Le principal mécanisme de traitement des plaintes consiste à parvenir à un consensus au niveau de la communauté. En l’absence de consensus, les parties lésées ont accès à un mécanisme officiel de dépôt de plaintes, tel que défini dans le « Mécanisme de réponse aux parties prenantes : vue d’ensemble et éléments d’orientation » du PNUD (2014) et illustré comme suit :</w:t>
      </w:r>
    </w:p>
    <w:p w:rsidR="0016679B" w:rsidRDefault="00FF7391" w:rsidP="0016679B">
      <w:pPr>
        <w:pStyle w:val="NumberedParas"/>
        <w:numPr>
          <w:ilvl w:val="0"/>
          <w:numId w:val="0"/>
        </w:numPr>
        <w:ind w:left="360"/>
      </w:pPr>
      <w:r>
        <w:rPr>
          <w:noProof/>
          <w:lang w:eastAsia="fr-FR"/>
        </w:rPr>
        <w:drawing>
          <wp:inline distT="0" distB="0" distL="0" distR="0" wp14:anchorId="7E3D3ABF" wp14:editId="46BC2FE0">
            <wp:extent cx="5204460" cy="4076700"/>
            <wp:effectExtent l="0" t="0" r="0" b="0"/>
            <wp:docPr id="49" name="Image 49" descr="cid:image002.png@01D341D4.08A2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png@01D341D4.08A269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04460" cy="4076700"/>
                    </a:xfrm>
                    <a:prstGeom prst="rect">
                      <a:avLst/>
                    </a:prstGeom>
                    <a:noFill/>
                    <a:ln>
                      <a:noFill/>
                    </a:ln>
                  </pic:spPr>
                </pic:pic>
              </a:graphicData>
            </a:graphic>
          </wp:inline>
        </w:drawing>
      </w:r>
    </w:p>
    <w:p w:rsidR="00876F2E" w:rsidRPr="007F5D87" w:rsidRDefault="00876F2E" w:rsidP="00876F2E">
      <w:pPr>
        <w:pStyle w:val="NumberedParas"/>
        <w:numPr>
          <w:ilvl w:val="0"/>
          <w:numId w:val="0"/>
        </w:numPr>
      </w:pPr>
    </w:p>
    <w:p w:rsidR="00876F2E" w:rsidRPr="007F5D87" w:rsidRDefault="00876F2E" w:rsidP="00876F2E">
      <w:pPr>
        <w:pStyle w:val="NumberedParas"/>
      </w:pPr>
      <w:r>
        <w:t>Le processus suit 8 étapes que le projet est appelé à gérer (annexe A)</w:t>
      </w:r>
      <w:r w:rsidR="002575A2">
        <w:t> :</w:t>
      </w:r>
      <w:r w:rsidR="00BA37C9">
        <w:t xml:space="preserve"> </w:t>
      </w:r>
    </w:p>
    <w:p w:rsidR="00876F2E" w:rsidRPr="007F5D87" w:rsidRDefault="00C83242" w:rsidP="00771667">
      <w:pPr>
        <w:pStyle w:val="NumberedParas"/>
        <w:numPr>
          <w:ilvl w:val="0"/>
          <w:numId w:val="46"/>
        </w:numPr>
      </w:pPr>
      <w:r>
        <w:t>r</w:t>
      </w:r>
      <w:r w:rsidR="00876F2E">
        <w:t>ecevoir et enregistrer les demandes de traitement des plaintes</w:t>
      </w:r>
      <w:r>
        <w:t> ;</w:t>
      </w:r>
    </w:p>
    <w:p w:rsidR="00876F2E" w:rsidRPr="007F5D87" w:rsidRDefault="00C83242" w:rsidP="00771667">
      <w:pPr>
        <w:pStyle w:val="NumberedParas"/>
        <w:numPr>
          <w:ilvl w:val="0"/>
          <w:numId w:val="46"/>
        </w:numPr>
      </w:pPr>
      <w:r>
        <w:t>r</w:t>
      </w:r>
      <w:r w:rsidR="00876F2E">
        <w:t>econnaître, évaluer et affecter</w:t>
      </w:r>
      <w:r>
        <w:t> ;</w:t>
      </w:r>
    </w:p>
    <w:p w:rsidR="00876F2E" w:rsidRPr="00E93BDD" w:rsidRDefault="00C83242" w:rsidP="00771667">
      <w:pPr>
        <w:pStyle w:val="NumberedParas"/>
        <w:numPr>
          <w:ilvl w:val="0"/>
          <w:numId w:val="46"/>
        </w:numPr>
      </w:pPr>
      <w:r>
        <w:t>é</w:t>
      </w:r>
      <w:r w:rsidR="00876F2E">
        <w:t xml:space="preserve">laborer une réponse en consultation avec le personnel du bureau de pays, les </w:t>
      </w:r>
      <w:r w:rsidR="00876F2E" w:rsidRPr="00E93BDD">
        <w:t>gestionnaires, le centre régional/RBx et d’autres parties prenantes du PNUD, le cas échéant</w:t>
      </w:r>
      <w:r w:rsidRPr="00E93BDD">
        <w:t> ;</w:t>
      </w:r>
    </w:p>
    <w:p w:rsidR="00876F2E" w:rsidRPr="007F5D87" w:rsidRDefault="00C83242" w:rsidP="00771667">
      <w:pPr>
        <w:pStyle w:val="NumberedParas"/>
        <w:numPr>
          <w:ilvl w:val="0"/>
          <w:numId w:val="46"/>
        </w:numPr>
      </w:pPr>
      <w:r>
        <w:t>c</w:t>
      </w:r>
      <w:r w:rsidR="00876F2E">
        <w:t>ommuniquer la réponse proposée au requérant et parvenir à un accord</w:t>
      </w:r>
      <w:r>
        <w:t> ;</w:t>
      </w:r>
    </w:p>
    <w:p w:rsidR="00876F2E" w:rsidRPr="007F5D87" w:rsidRDefault="00C83242" w:rsidP="00771667">
      <w:pPr>
        <w:pStyle w:val="NumberedParas"/>
        <w:numPr>
          <w:ilvl w:val="0"/>
          <w:numId w:val="46"/>
        </w:numPr>
      </w:pPr>
      <w:r>
        <w:t>m</w:t>
      </w:r>
      <w:r w:rsidR="00876F2E">
        <w:t>ettre en œuvre la réponse pour traiter le motif de la plainte</w:t>
      </w:r>
      <w:r>
        <w:t> ;</w:t>
      </w:r>
    </w:p>
    <w:p w:rsidR="00876F2E" w:rsidRPr="007F5D87" w:rsidRDefault="00C83242" w:rsidP="00771667">
      <w:pPr>
        <w:pStyle w:val="NumberedParas"/>
        <w:numPr>
          <w:ilvl w:val="0"/>
          <w:numId w:val="46"/>
        </w:numPr>
      </w:pPr>
      <w:r>
        <w:t>e</w:t>
      </w:r>
      <w:r w:rsidR="00876F2E">
        <w:t>xaminer la réponse en cas de non</w:t>
      </w:r>
      <w:r w:rsidR="00CC7473">
        <w:t>-</w:t>
      </w:r>
      <w:r w:rsidR="00876F2E">
        <w:t>satisfaction</w:t>
      </w:r>
      <w:r>
        <w:t> ;</w:t>
      </w:r>
    </w:p>
    <w:p w:rsidR="00876F2E" w:rsidRPr="007F5D87" w:rsidRDefault="00C83242" w:rsidP="00771667">
      <w:pPr>
        <w:pStyle w:val="NumberedParas"/>
        <w:numPr>
          <w:ilvl w:val="0"/>
          <w:numId w:val="46"/>
        </w:numPr>
      </w:pPr>
      <w:r>
        <w:t>c</w:t>
      </w:r>
      <w:r w:rsidR="00876F2E">
        <w:t>lore ou transférer la demande</w:t>
      </w:r>
      <w:r>
        <w:t> ;</w:t>
      </w:r>
    </w:p>
    <w:p w:rsidR="00876F2E" w:rsidRPr="007F5D87" w:rsidRDefault="00C83242" w:rsidP="00771667">
      <w:pPr>
        <w:pStyle w:val="NumberedParas"/>
        <w:numPr>
          <w:ilvl w:val="0"/>
          <w:numId w:val="46"/>
        </w:numPr>
      </w:pPr>
      <w:r>
        <w:t>a</w:t>
      </w:r>
      <w:r w:rsidR="00876F2E">
        <w:t>ssurer le suivi et la documentation des réponses et des résultats</w:t>
      </w:r>
    </w:p>
    <w:p w:rsidR="00876F2E" w:rsidRPr="007F5D87" w:rsidRDefault="00876F2E" w:rsidP="00876F2E">
      <w:pPr>
        <w:pStyle w:val="NumberedParas"/>
        <w:numPr>
          <w:ilvl w:val="0"/>
          <w:numId w:val="0"/>
        </w:numPr>
      </w:pPr>
    </w:p>
    <w:p w:rsidR="00876F2E" w:rsidRPr="007F5D87" w:rsidRDefault="00C83242" w:rsidP="00876F2E">
      <w:pPr>
        <w:pStyle w:val="Corpsdetexte"/>
        <w:rPr>
          <w:rFonts w:ascii="Times New Roman" w:hAnsi="Times New Roman"/>
          <w:b/>
          <w:i/>
          <w:sz w:val="24"/>
        </w:rPr>
      </w:pPr>
      <w:r>
        <w:rPr>
          <w:rFonts w:ascii="Times New Roman" w:hAnsi="Times New Roman"/>
          <w:b/>
          <w:i/>
          <w:sz w:val="24"/>
        </w:rPr>
        <w:t>Principe 2.</w:t>
      </w:r>
      <w:r w:rsidR="00876F2E">
        <w:rPr>
          <w:rFonts w:ascii="Times New Roman" w:hAnsi="Times New Roman"/>
          <w:b/>
          <w:i/>
          <w:sz w:val="24"/>
        </w:rPr>
        <w:t xml:space="preserve"> </w:t>
      </w:r>
      <w:r w:rsidR="00876F2E" w:rsidRPr="00E93BDD">
        <w:rPr>
          <w:rFonts w:ascii="Times New Roman" w:hAnsi="Times New Roman"/>
          <w:b/>
          <w:i/>
          <w:sz w:val="24"/>
        </w:rPr>
        <w:t>Égalité des sexes et</w:t>
      </w:r>
      <w:r w:rsidR="00876F2E">
        <w:rPr>
          <w:rFonts w:ascii="Times New Roman" w:hAnsi="Times New Roman"/>
          <w:b/>
          <w:i/>
          <w:sz w:val="24"/>
        </w:rPr>
        <w:t xml:space="preserve"> autonomisation des femmes</w:t>
      </w:r>
    </w:p>
    <w:p w:rsidR="00876F2E" w:rsidRPr="007F5D87" w:rsidRDefault="00876F2E" w:rsidP="00876F2E">
      <w:pPr>
        <w:pStyle w:val="NumberedParas"/>
        <w:numPr>
          <w:ilvl w:val="0"/>
          <w:numId w:val="0"/>
        </w:numPr>
      </w:pPr>
    </w:p>
    <w:p w:rsidR="00876F2E" w:rsidRPr="007F5D87" w:rsidRDefault="00876F2E" w:rsidP="00876F2E">
      <w:pPr>
        <w:pStyle w:val="NumberedParas"/>
      </w:pPr>
      <w:r>
        <w:t>Le projet appuie une approche pour le développement tenant compte des disparités entre les sexes afin d’assurer des opportunités, des ressources, des avantages et des stratégies d’</w:t>
      </w:r>
      <w:r w:rsidR="00537B55">
        <w:t>adaptation aux changements climatiques</w:t>
      </w:r>
      <w:r>
        <w:t xml:space="preserve"> partagés sur un pied d’égalité entre les groupes sociaux dans les zones cibles. Divers outils et stratégies ont été développés pour atteindre cet objectif.</w:t>
      </w:r>
      <w:r w:rsidR="004533D6">
        <w:t xml:space="preserve"> </w:t>
      </w:r>
      <w:r>
        <w:t>Des indicateurs et cibles tenant compte des disparités entre les sexes ont déjà été formulés et seront affinés par l’étude de référence. Des données ventilées par sexe seront recueillies pendant la phase de mise en œuvre pour informer et mettre à jour les indicateurs du projet.</w:t>
      </w:r>
      <w:r w:rsidR="004533D6">
        <w:t xml:space="preserve"> </w:t>
      </w:r>
      <w:r>
        <w:t>En outre, un taux de participation des femmes d’au moins 50 % (à déterminer par l’étude de base) sera ciblé pour chaque activité de formation comme condition préalable à la tenue de l’événement.</w:t>
      </w:r>
      <w:r w:rsidR="004533D6">
        <w:t xml:space="preserve"> </w:t>
      </w:r>
      <w:r>
        <w:t>Les formateurs devront justifier des compétences et de l’expérience nécessaires pour planifier et faciliter la formation tenant compte des disparités entre les sexes. L’ensemble des outils de communication et de formation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p w:rsidR="00876F2E" w:rsidRPr="007F5D87" w:rsidRDefault="00876F2E" w:rsidP="00876F2E">
      <w:pPr>
        <w:pStyle w:val="NumberedParas"/>
        <w:numPr>
          <w:ilvl w:val="0"/>
          <w:numId w:val="0"/>
        </w:numPr>
      </w:pPr>
    </w:p>
    <w:p w:rsidR="00876F2E" w:rsidRPr="007F5D87" w:rsidRDefault="00C83242" w:rsidP="00876F2E">
      <w:pPr>
        <w:pStyle w:val="Corpsdetexte"/>
        <w:rPr>
          <w:rFonts w:ascii="Times New Roman" w:hAnsi="Times New Roman"/>
          <w:b/>
          <w:i/>
          <w:sz w:val="24"/>
        </w:rPr>
      </w:pPr>
      <w:r>
        <w:rPr>
          <w:rFonts w:ascii="Times New Roman" w:hAnsi="Times New Roman"/>
          <w:b/>
          <w:i/>
          <w:sz w:val="24"/>
        </w:rPr>
        <w:t xml:space="preserve">Principe 3. </w:t>
      </w:r>
      <w:r w:rsidR="00876F2E">
        <w:rPr>
          <w:rFonts w:ascii="Times New Roman" w:hAnsi="Times New Roman"/>
          <w:b/>
          <w:i/>
          <w:sz w:val="24"/>
        </w:rPr>
        <w:t>Durabilité environnementale</w:t>
      </w:r>
    </w:p>
    <w:p w:rsidR="00876F2E" w:rsidRPr="007F5D87" w:rsidRDefault="00876F2E" w:rsidP="00876F2E">
      <w:pPr>
        <w:pStyle w:val="NumberedParas"/>
      </w:pPr>
      <w:r>
        <w:t>Trois des sept normes requièrent une attention particulière</w:t>
      </w:r>
      <w:r w:rsidR="002575A2">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1. la c</w:t>
      </w:r>
      <w:r w:rsidR="00876F2E">
        <w:rPr>
          <w:rFonts w:ascii="Times New Roman" w:hAnsi="Times New Roman"/>
          <w:sz w:val="24"/>
        </w:rPr>
        <w:t>onservation de la biodiversité et gestion durable des ressources naturelles</w:t>
      </w:r>
      <w:r>
        <w:rPr>
          <w:rFonts w:ascii="Times New Roman" w:hAnsi="Times New Roman"/>
          <w:sz w:val="24"/>
        </w:rPr>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3. la s</w:t>
      </w:r>
      <w:r w:rsidR="00876F2E">
        <w:rPr>
          <w:rFonts w:ascii="Times New Roman" w:hAnsi="Times New Roman"/>
          <w:sz w:val="24"/>
        </w:rPr>
        <w:t xml:space="preserve">anté, </w:t>
      </w:r>
      <w:r>
        <w:rPr>
          <w:rFonts w:ascii="Times New Roman" w:hAnsi="Times New Roman"/>
          <w:sz w:val="24"/>
        </w:rPr>
        <w:t xml:space="preserve">la </w:t>
      </w:r>
      <w:r w:rsidR="00876F2E">
        <w:rPr>
          <w:rFonts w:ascii="Times New Roman" w:hAnsi="Times New Roman"/>
          <w:sz w:val="24"/>
        </w:rPr>
        <w:t>sécurité et</w:t>
      </w:r>
      <w:r>
        <w:rPr>
          <w:rFonts w:ascii="Times New Roman" w:hAnsi="Times New Roman"/>
          <w:sz w:val="24"/>
        </w:rPr>
        <w:t xml:space="preserve"> les</w:t>
      </w:r>
      <w:r w:rsidR="00876F2E">
        <w:rPr>
          <w:rFonts w:ascii="Times New Roman" w:hAnsi="Times New Roman"/>
          <w:sz w:val="24"/>
        </w:rPr>
        <w:t xml:space="preserve"> conditions de travail des collectivités</w:t>
      </w:r>
      <w:r>
        <w:rPr>
          <w:rFonts w:ascii="Times New Roman" w:hAnsi="Times New Roman"/>
          <w:sz w:val="24"/>
        </w:rPr>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 xml:space="preserve">7. </w:t>
      </w:r>
      <w:r w:rsidRPr="00E93BDD">
        <w:rPr>
          <w:rFonts w:ascii="Times New Roman" w:hAnsi="Times New Roman"/>
          <w:sz w:val="24"/>
        </w:rPr>
        <w:t>la p</w:t>
      </w:r>
      <w:r w:rsidR="00876F2E" w:rsidRPr="00E93BDD">
        <w:rPr>
          <w:rFonts w:ascii="Times New Roman" w:hAnsi="Times New Roman"/>
          <w:sz w:val="24"/>
        </w:rPr>
        <w:t>révention de la pollution et</w:t>
      </w:r>
      <w:r w:rsidR="00876F2E">
        <w:rPr>
          <w:rFonts w:ascii="Times New Roman" w:hAnsi="Times New Roman"/>
          <w:sz w:val="24"/>
        </w:rPr>
        <w:t xml:space="preserve"> </w:t>
      </w:r>
      <w:r>
        <w:rPr>
          <w:rFonts w:ascii="Times New Roman" w:hAnsi="Times New Roman"/>
          <w:sz w:val="24"/>
        </w:rPr>
        <w:t>l’</w:t>
      </w:r>
      <w:r w:rsidR="00876F2E">
        <w:rPr>
          <w:rFonts w:ascii="Times New Roman" w:hAnsi="Times New Roman"/>
          <w:sz w:val="24"/>
        </w:rPr>
        <w:t>utilisation rationnelle des ressources</w:t>
      </w:r>
      <w:r>
        <w:rPr>
          <w:rFonts w:ascii="Times New Roman" w:hAnsi="Times New Roman"/>
          <w:sz w:val="24"/>
        </w:rPr>
        <w:t>.</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 1 est déclenchée</w:t>
      </w:r>
      <w:r w:rsidR="00CC7473">
        <w:t xml:space="preserve">, </w:t>
      </w:r>
      <w:r>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implique l’utilisation et la commercialisation de ressources naturelles spécifiques, y compris des ressources prélevées à la périphérie ou dans des zones formellement protégées</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 xml:space="preserve">le risque est explicitement géré </w:t>
      </w:r>
      <w:r w:rsidR="00D2405E">
        <w:rPr>
          <w:rFonts w:ascii="Times New Roman" w:hAnsi="Times New Roman"/>
          <w:i/>
          <w:szCs w:val="24"/>
        </w:rPr>
        <w:t>à travers les actions suivantes</w:t>
      </w:r>
      <w:r w:rsidR="002575A2">
        <w:rPr>
          <w:rFonts w:ascii="Times New Roman" w:hAnsi="Times New Roman"/>
          <w:i/>
          <w:szCs w:val="24"/>
        </w:rPr>
        <w:t> :</w:t>
      </w:r>
      <w:r w:rsidR="00D2405E">
        <w:rPr>
          <w:rFonts w:ascii="Times New Roman" w:hAnsi="Times New Roman"/>
          <w:i/>
          <w:szCs w:val="24"/>
        </w:rPr>
        <w:t xml:space="preserve"> i) </w:t>
      </w:r>
      <w:r>
        <w:rPr>
          <w:rFonts w:ascii="Times New Roman" w:hAnsi="Times New Roman"/>
          <w:i/>
          <w:szCs w:val="24"/>
        </w:rPr>
        <w:t>agir d’une manière compatible avec les plans de gestion existants</w:t>
      </w:r>
      <w:r w:rsidR="00D2405E">
        <w:rPr>
          <w:rFonts w:ascii="Times New Roman" w:hAnsi="Times New Roman"/>
          <w:i/>
          <w:szCs w:val="24"/>
        </w:rPr>
        <w:t> ; ii) </w:t>
      </w:r>
      <w:r>
        <w:rPr>
          <w:rFonts w:ascii="Times New Roman" w:hAnsi="Times New Roman"/>
          <w:i/>
          <w:szCs w:val="24"/>
        </w:rPr>
        <w:t>impliquer directement les communautés locales dans la préparation et la mise en œuvre des plans de gestion qui donne la p</w:t>
      </w:r>
      <w:r w:rsidR="00C83242">
        <w:rPr>
          <w:rFonts w:ascii="Times New Roman" w:hAnsi="Times New Roman"/>
          <w:i/>
          <w:szCs w:val="24"/>
        </w:rPr>
        <w:t>riorité à l’utilisation durable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plantation de gomme arabique et d’autres espèces indigènes pour reboiser les zones où les arbres sont morts pendant les sécheresses des années 70–80 ainsi que la plantation de mangroves pour remplacer les zones déboisées</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il n’y a pas de risque parce que la plantation d’arbres indigènes de rempla</w:t>
      </w:r>
      <w:r w:rsidR="00C83242">
        <w:rPr>
          <w:rFonts w:ascii="Times New Roman" w:hAnsi="Times New Roman"/>
          <w:i/>
          <w:szCs w:val="24"/>
        </w:rPr>
        <w:t>cement améliore la biodiversité ;</w:t>
      </w:r>
    </w:p>
    <w:p w:rsidR="00876F2E" w:rsidRPr="007F5D87" w:rsidRDefault="00876F2E" w:rsidP="00876F2E">
      <w:pPr>
        <w:pStyle w:val="Listepuces"/>
        <w:rPr>
          <w:rFonts w:ascii="Times New Roman" w:hAnsi="Times New Roman"/>
          <w:i/>
          <w:szCs w:val="24"/>
        </w:rPr>
      </w:pPr>
      <w:r>
        <w:rPr>
          <w:rFonts w:ascii="Times New Roman" w:hAnsi="Times New Roman"/>
          <w:szCs w:val="24"/>
        </w:rPr>
        <w:t>promeut l’utilisation de ressources naturelles vivantes, telles que la collecte d’huîtres de mangrove ou de produits forestiers non ligneux, comme la gomme arabique</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traité uniquement par des méthodes de collecte de fonds qui sont durables et ne portent pas préjudice à la base de ressources</w:t>
      </w:r>
      <w:r w:rsidR="00C83242">
        <w:rPr>
          <w:rFonts w:ascii="Times New Roman" w:hAnsi="Times New Roman"/>
          <w:i/>
          <w:szCs w:val="24"/>
        </w:rPr>
        <w:t> ;</w:t>
      </w:r>
    </w:p>
    <w:p w:rsidR="00876F2E" w:rsidRPr="007F5D87" w:rsidRDefault="00876F2E" w:rsidP="00876F2E">
      <w:pPr>
        <w:pStyle w:val="Listepuces"/>
        <w:rPr>
          <w:rFonts w:ascii="Times New Roman" w:hAnsi="Times New Roman"/>
          <w:i/>
          <w:szCs w:val="24"/>
        </w:rPr>
      </w:pPr>
      <w:r>
        <w:rPr>
          <w:rFonts w:ascii="Times New Roman" w:hAnsi="Times New Roman"/>
          <w:szCs w:val="24"/>
        </w:rPr>
        <w:t>encourage la transformation locale des noix de cajou et des mangues dans le Saloum</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par l’exclusion </w:t>
      </w:r>
      <w:r w:rsidR="00025799">
        <w:rPr>
          <w:rFonts w:ascii="Times New Roman" w:hAnsi="Times New Roman"/>
          <w:i/>
          <w:szCs w:val="24"/>
        </w:rPr>
        <w:t xml:space="preserve">des activités financées par le projet,  </w:t>
      </w:r>
      <w:r>
        <w:rPr>
          <w:rFonts w:ascii="Times New Roman" w:hAnsi="Times New Roman"/>
          <w:i/>
          <w:szCs w:val="24"/>
        </w:rPr>
        <w:t>des noix provenant d’habitats naturels qui ont été illégalement déboisés</w:t>
      </w:r>
      <w:r w:rsidR="00C83242">
        <w:rPr>
          <w:rFonts w:ascii="Times New Roman" w:hAnsi="Times New Roman"/>
          <w:i/>
          <w:szCs w:val="24"/>
        </w:rPr>
        <w:t>;</w:t>
      </w:r>
    </w:p>
    <w:p w:rsidR="00876F2E" w:rsidRPr="007F5D87" w:rsidRDefault="00876F2E" w:rsidP="00876F2E">
      <w:pPr>
        <w:pStyle w:val="Listepuces"/>
        <w:rPr>
          <w:rFonts w:ascii="Times New Roman" w:hAnsi="Times New Roman"/>
          <w:i/>
          <w:szCs w:val="24"/>
        </w:rPr>
      </w:pPr>
      <w:r>
        <w:rPr>
          <w:rFonts w:ascii="Times New Roman" w:hAnsi="Times New Roman"/>
          <w:szCs w:val="24"/>
        </w:rPr>
        <w:t>réhabilite les pare-feu</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il n’y a pas de risque parce que les pare-feu existent déjà et que leur entretien n’endommagera pas les habitats naturels, mais facilitera l’accès des communautés éloignées au marché</w:t>
      </w:r>
      <w:r w:rsidR="00C83242">
        <w:rPr>
          <w:rFonts w:ascii="Times New Roman" w:hAnsi="Times New Roman"/>
          <w:szCs w:val="24"/>
        </w:rPr>
        <w:t> ;</w:t>
      </w:r>
    </w:p>
    <w:p w:rsidR="00876F2E" w:rsidRPr="007F5D87" w:rsidRDefault="00876F2E" w:rsidP="00876F2E">
      <w:pPr>
        <w:pStyle w:val="Listepuces"/>
        <w:rPr>
          <w:rFonts w:ascii="Times New Roman" w:hAnsi="Times New Roman"/>
          <w:i/>
          <w:szCs w:val="24"/>
        </w:rPr>
      </w:pPr>
      <w:r>
        <w:rPr>
          <w:rFonts w:ascii="Times New Roman" w:hAnsi="Times New Roman"/>
          <w:szCs w:val="24"/>
        </w:rPr>
        <w:t xml:space="preserve">réaménage les </w:t>
      </w:r>
      <w:r w:rsidR="00025799">
        <w:rPr>
          <w:rFonts w:ascii="Times New Roman" w:hAnsi="Times New Roman"/>
          <w:szCs w:val="24"/>
        </w:rPr>
        <w:t>mares saisonnières</w:t>
      </w:r>
      <w:r>
        <w:rPr>
          <w:rFonts w:ascii="Times New Roman" w:hAnsi="Times New Roman"/>
          <w:szCs w:val="24"/>
        </w:rPr>
        <w:t xml:space="preserve"> pour l’agriculture de décrue et pour le bétail</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projet atténuera les risques en ne soutenant pas l’enlèvement de la végétation naturelle de toute dépression naturelle et en favorisant leur conservation.</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 3 est déclenchée</w:t>
      </w:r>
      <w:r w:rsidR="00CC7473">
        <w:t xml:space="preserve">, </w:t>
      </w:r>
      <w:r>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comprend le développement et la gestion de petits bassins de rétention susceptibles de céder</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le risque est atténué par l’inclusion de mesures de sécurité dans la planificat</w:t>
      </w:r>
      <w:r w:rsidR="00C83242">
        <w:rPr>
          <w:rFonts w:ascii="Times New Roman" w:hAnsi="Times New Roman"/>
          <w:i/>
          <w:szCs w:val="24"/>
        </w:rPr>
        <w:t xml:space="preserve">ion et la gestion de ces </w:t>
      </w:r>
      <w:r w:rsidR="00025799">
        <w:rPr>
          <w:rFonts w:ascii="Times New Roman" w:hAnsi="Times New Roman"/>
          <w:i/>
          <w:szCs w:val="24"/>
        </w:rPr>
        <w:t xml:space="preserve"> bassins</w:t>
      </w:r>
      <w:r w:rsidR="00C83242">
        <w:rPr>
          <w:rFonts w:ascii="Times New Roman" w:hAnsi="Times New Roman"/>
          <w:i/>
          <w:sz w:val="28"/>
          <w:szCs w:val="24"/>
        </w:rPr>
        <w:t> ;</w:t>
      </w:r>
    </w:p>
    <w:p w:rsidR="00876F2E" w:rsidRPr="007F5D87" w:rsidRDefault="00876F2E" w:rsidP="00876F2E">
      <w:pPr>
        <w:pStyle w:val="Listepuces"/>
        <w:rPr>
          <w:rFonts w:ascii="Times New Roman" w:hAnsi="Times New Roman"/>
          <w:szCs w:val="24"/>
        </w:rPr>
      </w:pPr>
      <w:r>
        <w:rPr>
          <w:rFonts w:ascii="Times New Roman" w:hAnsi="Times New Roman"/>
          <w:szCs w:val="24"/>
        </w:rPr>
        <w:t>comprend le développement et la gestion de petits bassins de rétention susceptibles de favoriser les maladies d’origine hydrique telles que le paludisme</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en prenant des mesures préventives et en surveillant les indicateurs de santé de base autour de ces </w:t>
      </w:r>
      <w:r w:rsidR="00025799">
        <w:rPr>
          <w:rFonts w:ascii="Times New Roman" w:hAnsi="Times New Roman"/>
          <w:i/>
          <w:szCs w:val="24"/>
        </w:rPr>
        <w:t xml:space="preserve"> bassins</w:t>
      </w:r>
      <w:r>
        <w:rPr>
          <w:rFonts w:ascii="Times New Roman" w:hAnsi="Times New Roman"/>
          <w:i/>
          <w:szCs w:val="24"/>
        </w:rPr>
        <w:t>.</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w:t>
      </w:r>
      <w:r w:rsidR="00D2405E">
        <w:t> 7 est déclenchée</w:t>
      </w:r>
      <w:r w:rsidR="00CC7473">
        <w:t xml:space="preserve">, </w:t>
      </w:r>
      <w:r w:rsidR="00D2405E">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transformation locale des noix de cajou et des mangues qui pourraient utilise</w:t>
      </w:r>
      <w:r w:rsidR="00D2405E">
        <w:rPr>
          <w:rFonts w:ascii="Times New Roman" w:hAnsi="Times New Roman"/>
          <w:szCs w:val="24"/>
        </w:rPr>
        <w:t>r des pesticides chimiques ;</w:t>
      </w:r>
      <w:r>
        <w:rPr>
          <w:rFonts w:ascii="Times New Roman" w:hAnsi="Times New Roman"/>
          <w:szCs w:val="24"/>
        </w:rPr>
        <w:t xml:space="preserve"> </w:t>
      </w:r>
      <w:r>
        <w:rPr>
          <w:rFonts w:ascii="Times New Roman" w:hAnsi="Times New Roman"/>
          <w:i/>
          <w:szCs w:val="24"/>
        </w:rPr>
        <w:t>le risque est atténué en excluant les noix des champs qui n’utilisent pas d’approches de lutte antiparasitaire intégrée ou qui utilisent massivement des pe</w:t>
      </w:r>
      <w:r w:rsidR="00C83242">
        <w:rPr>
          <w:rFonts w:ascii="Times New Roman" w:hAnsi="Times New Roman"/>
          <w:i/>
          <w:szCs w:val="24"/>
        </w:rPr>
        <w:t>sticides chimiques synthétiques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transformation locale des noix de cajou et des mangues qui pourraient créer des déchets</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le risque est géré en assurant l’élimination ou la réutilisation a</w:t>
      </w:r>
      <w:r w:rsidR="00C83242">
        <w:rPr>
          <w:rFonts w:ascii="Times New Roman" w:hAnsi="Times New Roman"/>
          <w:i/>
          <w:szCs w:val="24"/>
        </w:rPr>
        <w:t>ppropriée des déchets agricoles ;</w:t>
      </w:r>
    </w:p>
    <w:p w:rsidR="00876F2E" w:rsidRPr="007F5D87" w:rsidRDefault="00876F2E" w:rsidP="00876F2E">
      <w:pPr>
        <w:pStyle w:val="Listepuces"/>
        <w:rPr>
          <w:rFonts w:ascii="Times New Roman" w:hAnsi="Times New Roman"/>
          <w:i/>
          <w:szCs w:val="24"/>
        </w:rPr>
      </w:pPr>
      <w:r>
        <w:rPr>
          <w:rFonts w:ascii="Times New Roman" w:hAnsi="Times New Roman"/>
          <w:szCs w:val="24"/>
        </w:rPr>
        <w:t>promeut la production saisonnière de sel à partir de marais salants près de Gandon, qui pourrait être stocké près des terres agricoles</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en éloignant les piles de sel des terres agricoles et en mettant en place des mesures pour éviter le lessivage dans le sol.</w:t>
      </w:r>
    </w:p>
    <w:p w:rsidR="00876F2E" w:rsidRPr="007F5D87" w:rsidRDefault="00876F2E" w:rsidP="00876F2E">
      <w:pPr>
        <w:pStyle w:val="NumberedParas"/>
        <w:numPr>
          <w:ilvl w:val="0"/>
          <w:numId w:val="0"/>
        </w:numPr>
      </w:pPr>
    </w:p>
    <w:p w:rsidR="00876F2E" w:rsidRPr="007F5D87" w:rsidRDefault="00876F2E" w:rsidP="00876F2E">
      <w:pPr>
        <w:pStyle w:val="Corpsdetexte"/>
        <w:rPr>
          <w:rFonts w:ascii="Times New Roman" w:hAnsi="Times New Roman"/>
          <w:b/>
          <w:i/>
          <w:sz w:val="24"/>
        </w:rPr>
      </w:pPr>
      <w:r>
        <w:rPr>
          <w:rFonts w:ascii="Times New Roman" w:hAnsi="Times New Roman"/>
          <w:b/>
          <w:i/>
          <w:sz w:val="24"/>
        </w:rPr>
        <w:t>Mesures d’atténuation</w:t>
      </w:r>
    </w:p>
    <w:p w:rsidR="00876F2E" w:rsidRPr="007F5D87" w:rsidRDefault="00876F2E" w:rsidP="00876F2E">
      <w:pPr>
        <w:pStyle w:val="NumberedParas"/>
        <w:numPr>
          <w:ilvl w:val="0"/>
          <w:numId w:val="0"/>
        </w:numPr>
      </w:pPr>
    </w:p>
    <w:p w:rsidR="00876F2E" w:rsidRPr="007F5D87" w:rsidRDefault="00876F2E" w:rsidP="00876F2E">
      <w:pPr>
        <w:pStyle w:val="NumberedParas"/>
      </w:pPr>
      <w:r>
        <w:t>Le projet élaborera et mettra en œuvre des procédures et emploiera un personnel qualifié en nombre suffisant pour s’assurer que tous les engagements décrits ci-dessus sont tenus.</w:t>
      </w:r>
      <w:r w:rsidR="004533D6">
        <w:t xml:space="preserve"> </w:t>
      </w:r>
      <w:r>
        <w:t>En particulier, il se dotera d’un mécanisme permettant de répertorier toutes les activités ou sous-projets susceptibles d’avoir des incidences environnementales et sociales.</w:t>
      </w:r>
    </w:p>
    <w:p w:rsidR="00876F2E" w:rsidRPr="007F5D87" w:rsidRDefault="00876F2E" w:rsidP="00876F2E">
      <w:pPr>
        <w:pStyle w:val="NumberedParas"/>
        <w:numPr>
          <w:ilvl w:val="0"/>
          <w:numId w:val="0"/>
        </w:numPr>
      </w:pPr>
    </w:p>
    <w:p w:rsidR="00876F2E" w:rsidRPr="007F5D87" w:rsidRDefault="00876F2E" w:rsidP="00876F2E">
      <w:pPr>
        <w:pStyle w:val="NumberedParas"/>
      </w:pPr>
      <w:r>
        <w:t>L’examen porterait sur les questions suivantes</w:t>
      </w:r>
      <w:r w:rsidR="002575A2">
        <w:t>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w:t>
      </w:r>
      <w:r w:rsidR="00876F2E">
        <w:rPr>
          <w:rFonts w:ascii="Times New Roman" w:hAnsi="Times New Roman"/>
          <w:szCs w:val="24"/>
        </w:rPr>
        <w:t>e travail des enfants</w:t>
      </w:r>
      <w:r>
        <w:rPr>
          <w:rFonts w:ascii="Times New Roman" w:hAnsi="Times New Roman"/>
          <w:szCs w:val="24"/>
        </w:rPr>
        <w:t xml:space="preserve"> qui est coercitif, préjudiciable à la santé d’un enfant ou à ses possibilités d’éducation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la p</w:t>
      </w:r>
      <w:r w:rsidR="00876F2E">
        <w:rPr>
          <w:rFonts w:ascii="Times New Roman" w:hAnsi="Times New Roman"/>
          <w:szCs w:val="24"/>
        </w:rPr>
        <w:t>lantation d’espèces non indigènes</w:t>
      </w:r>
      <w:r>
        <w:rPr>
          <w:rFonts w:ascii="Times New Roman" w:hAnsi="Times New Roman"/>
          <w:szCs w:val="24"/>
        </w:rPr>
        <w:t xml:space="preserve"> (remplacement des zones de végétation indigène par des zones de végétation non indigène, telles que les mangues ou les noix de cajou) ;</w:t>
      </w:r>
    </w:p>
    <w:p w:rsidR="00876F2E" w:rsidRPr="007F5D87" w:rsidRDefault="00C769B2" w:rsidP="00771667">
      <w:pPr>
        <w:pStyle w:val="Listenumros"/>
        <w:numPr>
          <w:ilvl w:val="0"/>
          <w:numId w:val="48"/>
        </w:numPr>
        <w:ind w:left="1134" w:hanging="567"/>
        <w:rPr>
          <w:rFonts w:ascii="Times New Roman" w:hAnsi="Times New Roman"/>
          <w:szCs w:val="24"/>
        </w:rPr>
      </w:pPr>
      <w:r w:rsidRPr="00E93BDD">
        <w:rPr>
          <w:rFonts w:ascii="Times New Roman" w:hAnsi="Times New Roman"/>
          <w:szCs w:val="24"/>
        </w:rPr>
        <w:t>l’a</w:t>
      </w:r>
      <w:r w:rsidR="00876F2E" w:rsidRPr="00E93BDD">
        <w:rPr>
          <w:rFonts w:ascii="Times New Roman" w:hAnsi="Times New Roman"/>
          <w:szCs w:val="24"/>
        </w:rPr>
        <w:t xml:space="preserve">ménagement et </w:t>
      </w:r>
      <w:r w:rsidRPr="00E93BDD">
        <w:rPr>
          <w:rFonts w:ascii="Times New Roman" w:hAnsi="Times New Roman"/>
          <w:szCs w:val="24"/>
        </w:rPr>
        <w:t xml:space="preserve">la </w:t>
      </w:r>
      <w:r w:rsidR="00876F2E" w:rsidRPr="00E93BDD">
        <w:rPr>
          <w:rFonts w:ascii="Times New Roman" w:hAnsi="Times New Roman"/>
          <w:szCs w:val="24"/>
        </w:rPr>
        <w:t>gestion d’infrastructures de rétention d’eau</w:t>
      </w:r>
      <w:r w:rsidRPr="00E93BDD">
        <w:rPr>
          <w:rFonts w:ascii="Times New Roman" w:hAnsi="Times New Roman"/>
          <w:szCs w:val="24"/>
        </w:rPr>
        <w:t xml:space="preserve"> (perte de la végétation naturelle, </w:t>
      </w:r>
      <w:r w:rsidR="00E93BDD" w:rsidRPr="00E93BDD">
        <w:rPr>
          <w:rFonts w:ascii="Times New Roman" w:hAnsi="Times New Roman"/>
          <w:szCs w:val="24"/>
        </w:rPr>
        <w:t>impacts significatifs</w:t>
      </w:r>
      <w:r w:rsidRPr="00E93BDD">
        <w:rPr>
          <w:rFonts w:ascii="Times New Roman" w:hAnsi="Times New Roman"/>
          <w:szCs w:val="24"/>
        </w:rPr>
        <w:t xml:space="preserve"> sur la biodiversité, augmentation des maladies transmises par l’eau comme le paludisme ou la bilharziose, accès</w:t>
      </w:r>
      <w:r>
        <w:rPr>
          <w:rFonts w:ascii="Times New Roman" w:hAnsi="Times New Roman"/>
          <w:szCs w:val="24"/>
        </w:rPr>
        <w:t xml:space="preserve"> équitable à l’eau, sécurité en aval en cas de rupture accidentelle)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la t</w:t>
      </w:r>
      <w:r w:rsidR="00876F2E">
        <w:rPr>
          <w:rFonts w:ascii="Times New Roman" w:hAnsi="Times New Roman"/>
          <w:szCs w:val="24"/>
        </w:rPr>
        <w:t>ransformation et commercialisation des cultures de rente</w:t>
      </w:r>
      <w:r>
        <w:rPr>
          <w:rFonts w:ascii="Times New Roman" w:hAnsi="Times New Roman"/>
          <w:szCs w:val="24"/>
        </w:rPr>
        <w:t xml:space="preserve"> (cultures provenant de zones déboisées, cultures provenant de zones où les activités de lutte contre les ravageurs et les vecteurs ne sont pas basées sur des approches de lutte intégrée et qui dépendent fortement des pesticides chimiques synthétiques, mesures explicites en matière environnementale, de santé et de sécurité pour toute unité de transformation impliquant plus de 10 personnes à temps plein, production de déchets)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le m</w:t>
      </w:r>
      <w:r w:rsidR="00876F2E">
        <w:rPr>
          <w:rFonts w:ascii="Times New Roman" w:hAnsi="Times New Roman"/>
          <w:szCs w:val="24"/>
        </w:rPr>
        <w:t>écanisme de traitement des plaintes</w:t>
      </w:r>
      <w:r>
        <w:rPr>
          <w:rFonts w:ascii="Times New Roman" w:hAnsi="Times New Roman"/>
          <w:szCs w:val="24"/>
        </w:rPr>
        <w:t xml:space="preserve"> (tenue d’un registre des plaintes, résolution des plaintes enregistrées).</w:t>
      </w:r>
    </w:p>
    <w:p w:rsidR="00C769B2" w:rsidRDefault="00C769B2" w:rsidP="00C769B2">
      <w:pPr>
        <w:pStyle w:val="NumberedParas"/>
        <w:numPr>
          <w:ilvl w:val="0"/>
          <w:numId w:val="0"/>
        </w:numPr>
        <w:ind w:left="360"/>
      </w:pPr>
    </w:p>
    <w:p w:rsidR="00876F2E" w:rsidRPr="007F5D87" w:rsidRDefault="00876F2E" w:rsidP="00876F2E">
      <w:pPr>
        <w:pStyle w:val="NumberedParas"/>
      </w:pPr>
      <w:r>
        <w:t>Le projet ne financerait que des activités ou des sous-projets qui prévoient des mesures pour éviter ces problèmes ou les atténuer. Il surveillera et documentera régulièrement ces questions pendant la mise en œuvre et fournira les ressources et le personnel qualifié requis à cet effet.</w:t>
      </w:r>
    </w:p>
    <w:p w:rsidR="00876F2E" w:rsidRPr="007F5D87" w:rsidRDefault="00876F2E" w:rsidP="00876F2E">
      <w:pPr>
        <w:rPr>
          <w:rFonts w:cs="Calibri"/>
          <w:szCs w:val="20"/>
        </w:rPr>
      </w:pPr>
    </w:p>
    <w:p w:rsidR="00876F2E" w:rsidRPr="007F5D87" w:rsidRDefault="00876F2E" w:rsidP="00CA03E8">
      <w:pPr>
        <w:pStyle w:val="Paragraphedeliste"/>
        <w:numPr>
          <w:ilvl w:val="0"/>
          <w:numId w:val="6"/>
        </w:numPr>
        <w:rPr>
          <w:rFonts w:ascii="Calibri" w:hAnsi="Calibri" w:cs="Calibri"/>
          <w:szCs w:val="20"/>
        </w:rPr>
      </w:pPr>
      <w:r>
        <w:rPr>
          <w:rFonts w:ascii="Calibri" w:hAnsi="Calibri"/>
          <w:szCs w:val="20"/>
          <w:u w:val="single"/>
        </w:rPr>
        <w:t>Durabilité et mise à l’échelle</w:t>
      </w:r>
      <w:r>
        <w:rPr>
          <w:rFonts w:ascii="Calibri" w:hAnsi="Calibri"/>
          <w:szCs w:val="20"/>
        </w:rPr>
        <w:t xml:space="preserve"> </w:t>
      </w:r>
    </w:p>
    <w:p w:rsidR="00876F2E" w:rsidRPr="007F5D87" w:rsidRDefault="00876F2E" w:rsidP="00876F2E">
      <w:pPr>
        <w:rPr>
          <w:rFonts w:cs="Calibri"/>
          <w:szCs w:val="20"/>
        </w:rPr>
      </w:pPr>
    </w:p>
    <w:p w:rsidR="00876F2E" w:rsidRPr="007E3761" w:rsidRDefault="00876F2E" w:rsidP="00876F2E">
      <w:pPr>
        <w:pStyle w:val="NumberedParas"/>
      </w:pPr>
      <w:r>
        <w:t xml:space="preserve">L’objectif plus large de ce projet est de lancer un nouveau paradigme pour le développement durable dans les zones rurales fondé sur des mécanismes financiers </w:t>
      </w:r>
      <w:r w:rsidR="00311A1A">
        <w:t>novateur</w:t>
      </w:r>
      <w:r>
        <w:t>s et le développement d’activités résilientes dans des paysages écologiquement vulnérables. L’innovation est un objectif central du projet à travers l’accent sur la combinaison et le séquençage des instruments et des approches. Dans un contexte où tous les projets traditionnels au Sénégal sont confrontés à des défis de durabilité (en raison d’un manque de financement après la période de mise en œuvre), le projet du Fonds pour les PMA initiera une approche où les mécanismes financiers soutiennent la mise en œuvre des activités d’adaptation. Par exemple, dans le cas des fonds renouvelables, on a observé que les mutuelles d’épargne et de crédit agrées et soutenues par l’État ont connu un taux de croissance important au cours des 20 dernières années en raison de leurs opérations réussies. Par conséquent, les lignes de crédit mises en place dans le cadre du PFNAC seront inscrites dans ces mutuelles, ce qui permettra d’assurer le remboursement des prêts octroyés. Ces lignes de crédit seront examinées par les dirigeants des CIVD, qui seront actionnaires et membres des conseils d’administration des mutuelles. Ils veilleront à ce que les microprojets soient en mesure de rembourser les prêts et les projets supplémentaires financés par les fonds restitués bien au-delà de la durée de vie du PFNAC. En outre, en dispensant des formations aux membres du CIVD, l’unité de gestion du PFNAC veillera à ce que les comités de sélection ciblent des projets d’adaptation réussis et durables et accroissent la résilience et les changements pour les bénéficiaires.</w:t>
      </w:r>
    </w:p>
    <w:p w:rsidR="00876F2E" w:rsidRPr="007F5D87" w:rsidRDefault="00876F2E" w:rsidP="00876F2E">
      <w:pPr>
        <w:pStyle w:val="NumberedParas"/>
        <w:numPr>
          <w:ilvl w:val="0"/>
          <w:numId w:val="0"/>
        </w:numPr>
      </w:pPr>
    </w:p>
    <w:p w:rsidR="00876F2E" w:rsidRPr="007F5D87" w:rsidRDefault="00876F2E" w:rsidP="00876F2E">
      <w:pPr>
        <w:pStyle w:val="NumberedParas"/>
      </w:pPr>
      <w:r>
        <w:t>La question globale abordée dans le cadre de ce projet est de savoir comment améliorer les moyens de subsistance à travers une approche intégrée, en établissant des synergies avec d’autres programmes, projets, processus et communautés. Le projet peut potentiellement partager</w:t>
      </w:r>
      <w:r w:rsidR="002575A2">
        <w:t> :</w:t>
      </w:r>
      <w:r>
        <w:t xml:space="preserve"> </w:t>
      </w:r>
    </w:p>
    <w:p w:rsidR="00876F2E" w:rsidRPr="007F5D87" w:rsidRDefault="001B1D26" w:rsidP="00771667">
      <w:pPr>
        <w:pStyle w:val="NumberedParas"/>
        <w:numPr>
          <w:ilvl w:val="0"/>
          <w:numId w:val="43"/>
        </w:numPr>
        <w:rPr>
          <w:noProof/>
        </w:rPr>
      </w:pPr>
      <w:r>
        <w:t>d</w:t>
      </w:r>
      <w:r w:rsidR="00876F2E">
        <w:t>es résultats mesurables, quantifiables et qualitatifs et comment adhérer à des pratiques/processus de qualité et équitables (développement des chaînes de valeur résilientes et utilisation durable des terres et des forêts)</w:t>
      </w:r>
      <w:r w:rsidR="00D2405E">
        <w:t xml:space="preserve"> ; </w:t>
      </w:r>
    </w:p>
    <w:p w:rsidR="00876F2E" w:rsidRPr="007F5D87" w:rsidRDefault="001B1D26" w:rsidP="00771667">
      <w:pPr>
        <w:pStyle w:val="NumberedParas"/>
        <w:numPr>
          <w:ilvl w:val="0"/>
          <w:numId w:val="43"/>
        </w:numPr>
        <w:rPr>
          <w:noProof/>
        </w:rPr>
      </w:pPr>
      <w:r>
        <w:t>un p</w:t>
      </w:r>
      <w:r w:rsidR="00876F2E">
        <w:t>rocessus de liaison avec les institutions, les avantages et les propriétaires géré par la communauté</w:t>
      </w:r>
      <w:r w:rsidR="00D2405E">
        <w:t> ;</w:t>
      </w:r>
    </w:p>
    <w:p w:rsidR="00876F2E" w:rsidRPr="007F5D87" w:rsidRDefault="001B1D26" w:rsidP="00771667">
      <w:pPr>
        <w:pStyle w:val="NumberedParas"/>
        <w:numPr>
          <w:ilvl w:val="0"/>
          <w:numId w:val="43"/>
        </w:numPr>
        <w:rPr>
          <w:noProof/>
        </w:rPr>
      </w:pPr>
      <w:r>
        <w:t>une p</w:t>
      </w:r>
      <w:r w:rsidR="00876F2E">
        <w:t>articipation, prise de décision, expertise locale et autochtone, partenariats, mise en réseau, partage des coûts, équité et renforcem</w:t>
      </w:r>
      <w:r>
        <w:t>ent des relations hommes-femmes ;</w:t>
      </w:r>
    </w:p>
    <w:p w:rsidR="00876F2E" w:rsidRPr="007F5D87" w:rsidRDefault="001B1D26" w:rsidP="00771667">
      <w:pPr>
        <w:pStyle w:val="NumberedParas"/>
        <w:numPr>
          <w:ilvl w:val="0"/>
          <w:numId w:val="43"/>
        </w:numPr>
        <w:rPr>
          <w:noProof/>
        </w:rPr>
      </w:pPr>
      <w:r>
        <w:t>des moyens de réponse</w:t>
      </w:r>
      <w:r w:rsidR="00876F2E">
        <w:t xml:space="preserve"> aux demandes locales, relier les marchés, les partenaires au secteur privé et soutenir les action</w:t>
      </w:r>
      <w:r>
        <w:t>s à l’échelle et dans les zones ;</w:t>
      </w:r>
    </w:p>
    <w:p w:rsidR="00876F2E" w:rsidRPr="007F5D87" w:rsidRDefault="001B1D26" w:rsidP="00771667">
      <w:pPr>
        <w:pStyle w:val="NumberedParas"/>
        <w:numPr>
          <w:ilvl w:val="0"/>
          <w:numId w:val="43"/>
        </w:numPr>
        <w:rPr>
          <w:noProof/>
        </w:rPr>
      </w:pPr>
      <w:r>
        <w:t>une g</w:t>
      </w:r>
      <w:r w:rsidR="00876F2E">
        <w:t>estion adaptative, mécanismes et systèmes informels et réactifs créés, en particulier pour les activités génératrices de revenus, les acc</w:t>
      </w:r>
      <w:r>
        <w:t>ords de commercialisation, etc. ;</w:t>
      </w:r>
    </w:p>
    <w:p w:rsidR="00876F2E" w:rsidRPr="007F5D87" w:rsidRDefault="001B1D26" w:rsidP="00771667">
      <w:pPr>
        <w:pStyle w:val="NumberedParas"/>
        <w:numPr>
          <w:ilvl w:val="0"/>
          <w:numId w:val="43"/>
        </w:numPr>
        <w:rPr>
          <w:noProof/>
        </w:rPr>
      </w:pPr>
      <w:r>
        <w:t>des l</w:t>
      </w:r>
      <w:r w:rsidR="00876F2E">
        <w:t>iens avec les institutions/banques pour l’accès aux ressources, les prêts, les remboursem</w:t>
      </w:r>
      <w:r>
        <w:t>ents, etc. ;</w:t>
      </w:r>
    </w:p>
    <w:p w:rsidR="00876F2E" w:rsidRPr="007F5D87" w:rsidRDefault="001B1D26" w:rsidP="00771667">
      <w:pPr>
        <w:pStyle w:val="NumberedParas"/>
        <w:numPr>
          <w:ilvl w:val="0"/>
          <w:numId w:val="43"/>
        </w:numPr>
        <w:rPr>
          <w:noProof/>
        </w:rPr>
      </w:pPr>
      <w:r>
        <w:t>une t</w:t>
      </w:r>
      <w:r w:rsidR="00876F2E">
        <w:t>echnologie apprise, adoptée, diffusée par les partenaires avec d’autres partenaires et institutions.</w:t>
      </w:r>
    </w:p>
    <w:p w:rsidR="00876F2E" w:rsidRPr="007F5D87" w:rsidRDefault="00876F2E" w:rsidP="00876F2E">
      <w:pPr>
        <w:pStyle w:val="NumberedParas"/>
        <w:numPr>
          <w:ilvl w:val="0"/>
          <w:numId w:val="0"/>
        </w:numPr>
      </w:pPr>
    </w:p>
    <w:p w:rsidR="00876F2E" w:rsidRPr="007F5D87" w:rsidRDefault="00876F2E" w:rsidP="00876F2E">
      <w:pPr>
        <w:pStyle w:val="NumberedParas"/>
      </w:pPr>
      <w:r>
        <w:t>Les efforts d’intensification du projet viseront non seulement à augmenter le nombre de bénéficiaires ou à étendre la zone géographique, mais aussi à surmonter d’autres obstacles, à nouer davantage de partenariats et à générer davantage de cofinancements. Les modèles de finance durable combinés aux meilleures pratiques d’adapta</w:t>
      </w:r>
      <w:r w:rsidR="00A614D7">
        <w:t xml:space="preserve">tion ont un énorme potentiel d’extension </w:t>
      </w:r>
      <w:r>
        <w:t>étant donné que, une fois établis et éprouvés, il s’agit d’un mécanisme financier prêt à l’emploi qui peut être exploité par d’autres investissements des donateurs ou de l’État ou encore servir à catalyser son déploiement supplémentaire.</w:t>
      </w:r>
    </w:p>
    <w:p w:rsidR="00876F2E" w:rsidRPr="007F5D87" w:rsidRDefault="00876F2E" w:rsidP="00876F2E">
      <w:pPr>
        <w:pStyle w:val="NumberedParas"/>
        <w:numPr>
          <w:ilvl w:val="0"/>
          <w:numId w:val="0"/>
        </w:numPr>
      </w:pPr>
    </w:p>
    <w:p w:rsidR="00876F2E" w:rsidRPr="007F5D87" w:rsidRDefault="00876F2E" w:rsidP="00876F2E">
      <w:pPr>
        <w:pStyle w:val="NumberedParas"/>
      </w:pPr>
      <w:r>
        <w:t>La documentation des pratiques et des technologies d’adaptation constituera une condition préalable et un point de départ pour le processus de mise à l’échelle (mise à l’échelle quantitative). Les processus participatifs et d’autres approches de planification collaborative seront développés et permettront à de multiples parties prenantes de partager des connaissances, de développer la sensibilisation et d’améliorer l’apprentissage et de favoriser la reproduction sur d’autres sites.</w:t>
      </w:r>
    </w:p>
    <w:p w:rsidR="00876F2E" w:rsidRPr="007F5D87" w:rsidRDefault="00876F2E" w:rsidP="00876F2E">
      <w:pPr>
        <w:pStyle w:val="NumberedParas"/>
        <w:sectPr w:rsidR="00876F2E" w:rsidRPr="007F5D87" w:rsidSect="00A444DE">
          <w:pgSz w:w="12240" w:h="15840" w:code="1"/>
          <w:pgMar w:top="1440" w:right="1440" w:bottom="1440" w:left="1440" w:header="720" w:footer="432" w:gutter="0"/>
          <w:cols w:space="708"/>
          <w:titlePg/>
          <w:docGrid w:linePitch="360"/>
        </w:sectPr>
      </w:pPr>
    </w:p>
    <w:p w:rsidR="00876F2E" w:rsidRPr="007F5D87" w:rsidRDefault="00876F2E" w:rsidP="00876F2E">
      <w:pPr>
        <w:pStyle w:val="Titre1"/>
        <w:spacing w:before="0" w:after="60"/>
        <w:rPr>
          <w:rFonts w:ascii="Calibri" w:hAnsi="Calibri"/>
          <w:sz w:val="32"/>
          <w:szCs w:val="28"/>
        </w:rPr>
      </w:pPr>
      <w:bookmarkStart w:id="21" w:name="_Toc443050724"/>
      <w:bookmarkStart w:id="22" w:name="_Toc338707270"/>
      <w:bookmarkStart w:id="23" w:name="_Toc338708186"/>
      <w:bookmarkStart w:id="24" w:name="_Toc339725215"/>
      <w:bookmarkStart w:id="25" w:name="_Toc496886557"/>
      <w:bookmarkStart w:id="26" w:name="_Toc498638394"/>
      <w:r>
        <w:rPr>
          <w:rFonts w:ascii="Calibri" w:hAnsi="Calibri"/>
          <w:sz w:val="32"/>
          <w:szCs w:val="28"/>
        </w:rPr>
        <w:t>Cadre des résultats du projet</w:t>
      </w:r>
      <w:bookmarkEnd w:id="21"/>
      <w:bookmarkEnd w:id="22"/>
      <w:bookmarkEnd w:id="23"/>
      <w:bookmarkEnd w:id="24"/>
      <w:bookmarkEnd w:id="25"/>
      <w:bookmarkEnd w:id="26"/>
    </w:p>
    <w:p w:rsidR="00876F2E" w:rsidRPr="007F5D87" w:rsidRDefault="00876F2E" w:rsidP="00876F2E">
      <w:pPr>
        <w:jc w:val="left"/>
        <w:rPr>
          <w:i/>
          <w:szCs w:val="20"/>
        </w:rPr>
      </w:pPr>
      <w:r>
        <w:rPr>
          <w:i/>
          <w:szCs w:val="20"/>
        </w:rPr>
        <w:t xml:space="preserve"> </w:t>
      </w:r>
    </w:p>
    <w:tbl>
      <w:tblPr>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173"/>
        <w:gridCol w:w="1843"/>
        <w:gridCol w:w="2020"/>
        <w:gridCol w:w="2403"/>
        <w:gridCol w:w="2647"/>
      </w:tblGrid>
      <w:tr w:rsidR="00876F2E" w:rsidRPr="007F5D87" w:rsidTr="00A444DE">
        <w:trPr>
          <w:trHeight w:val="305"/>
        </w:trPr>
        <w:tc>
          <w:tcPr>
            <w:tcW w:w="14691" w:type="dxa"/>
            <w:gridSpan w:val="6"/>
            <w:shd w:val="pct12" w:color="auto" w:fill="auto"/>
          </w:tcPr>
          <w:p w:rsidR="00876F2E" w:rsidRPr="007F5D87" w:rsidRDefault="00876F2E" w:rsidP="002575A2">
            <w:pPr>
              <w:rPr>
                <w:sz w:val="18"/>
                <w:szCs w:val="18"/>
              </w:rPr>
            </w:pPr>
            <w:r>
              <w:rPr>
                <w:b/>
                <w:sz w:val="18"/>
                <w:szCs w:val="18"/>
              </w:rPr>
              <w:t>Ce projet contribuera au(x) objectif(s) de développement durable suivant(s)</w:t>
            </w:r>
            <w:r w:rsidR="002575A2">
              <w:rPr>
                <w:b/>
                <w:sz w:val="18"/>
                <w:szCs w:val="18"/>
              </w:rPr>
              <w:t> :</w:t>
            </w:r>
          </w:p>
        </w:tc>
      </w:tr>
      <w:tr w:rsidR="00876F2E" w:rsidRPr="007F5D87" w:rsidTr="00A444DE">
        <w:trPr>
          <w:trHeight w:val="287"/>
        </w:trPr>
        <w:tc>
          <w:tcPr>
            <w:tcW w:w="14691" w:type="dxa"/>
            <w:gridSpan w:val="6"/>
            <w:shd w:val="pct12" w:color="auto" w:fill="auto"/>
          </w:tcPr>
          <w:p w:rsidR="00876F2E" w:rsidRPr="007F5D87" w:rsidRDefault="00876F2E" w:rsidP="002575A2">
            <w:pPr>
              <w:rPr>
                <w:b/>
                <w:szCs w:val="20"/>
              </w:rPr>
            </w:pPr>
            <w:r>
              <w:rPr>
                <w:b/>
                <w:bCs/>
                <w:sz w:val="18"/>
                <w:szCs w:val="18"/>
              </w:rPr>
              <w:t>Ce projet contribuera aux résultats nationaux suivants inclus dans le PNUAD/Document de programme de pays</w:t>
            </w:r>
            <w:r w:rsidR="002575A2">
              <w:rPr>
                <w:b/>
                <w:bCs/>
                <w:sz w:val="18"/>
                <w:szCs w:val="18"/>
              </w:rPr>
              <w:t> :</w:t>
            </w:r>
          </w:p>
        </w:tc>
      </w:tr>
      <w:tr w:rsidR="00876F2E" w:rsidRPr="007F5D87" w:rsidTr="00A444DE">
        <w:trPr>
          <w:trHeight w:val="544"/>
        </w:trPr>
        <w:tc>
          <w:tcPr>
            <w:tcW w:w="14691" w:type="dxa"/>
            <w:gridSpan w:val="6"/>
            <w:shd w:val="pct12" w:color="auto" w:fill="auto"/>
          </w:tcPr>
          <w:p w:rsidR="00876F2E" w:rsidRPr="007F5D87" w:rsidRDefault="005A43F3" w:rsidP="00A444DE">
            <w:pPr>
              <w:jc w:val="left"/>
              <w:rPr>
                <w:rFonts w:cs="Arial"/>
                <w:i/>
                <w:sz w:val="18"/>
                <w:szCs w:val="18"/>
              </w:rPr>
            </w:pPr>
            <w:r>
              <w:rPr>
                <w:b/>
                <w:bCs/>
                <w:sz w:val="18"/>
                <w:szCs w:val="18"/>
              </w:rPr>
              <w:t>Ce projet sera lié aux produits</w:t>
            </w:r>
            <w:r w:rsidR="00876F2E">
              <w:rPr>
                <w:b/>
                <w:bCs/>
                <w:sz w:val="18"/>
                <w:szCs w:val="18"/>
              </w:rPr>
              <w:t xml:space="preserve"> suiva</w:t>
            </w:r>
            <w:r w:rsidR="002575A2">
              <w:rPr>
                <w:b/>
                <w:bCs/>
                <w:sz w:val="18"/>
                <w:szCs w:val="18"/>
              </w:rPr>
              <w:t>nts du Plan stratégique du PNUD </w:t>
            </w:r>
            <w:r w:rsidR="00876F2E">
              <w:rPr>
                <w:b/>
                <w:bCs/>
                <w:sz w:val="18"/>
                <w:szCs w:val="18"/>
              </w:rPr>
              <w:t>:</w:t>
            </w:r>
          </w:p>
          <w:p w:rsidR="00876F2E" w:rsidRPr="007F5D87" w:rsidRDefault="00876F2E" w:rsidP="00A444DE">
            <w:pPr>
              <w:spacing w:after="0"/>
              <w:rPr>
                <w:rFonts w:cs="Arial"/>
                <w:sz w:val="18"/>
                <w:szCs w:val="20"/>
              </w:rPr>
            </w:pPr>
            <w:r>
              <w:rPr>
                <w:sz w:val="18"/>
                <w:szCs w:val="20"/>
              </w:rPr>
              <w:t>Produit 1.3</w:t>
            </w:r>
            <w:r w:rsidR="002575A2">
              <w:rPr>
                <w:sz w:val="18"/>
                <w:szCs w:val="20"/>
              </w:rPr>
              <w:t> :</w:t>
            </w:r>
            <w:r w:rsidR="00AE3BD3">
              <w:rPr>
                <w:sz w:val="18"/>
                <w:szCs w:val="20"/>
              </w:rPr>
              <w:t xml:space="preserve"> Solutions</w:t>
            </w:r>
            <w:r>
              <w:rPr>
                <w:sz w:val="18"/>
                <w:szCs w:val="20"/>
              </w:rPr>
              <w:t xml:space="preserve"> développées aux niveaux national et infranational pour la gestion durable des ressources naturelles, des services écosystémiques, des produits chimiques et des déchets.</w:t>
            </w:r>
          </w:p>
          <w:p w:rsidR="00876F2E" w:rsidRPr="007F5D87" w:rsidRDefault="00876F2E" w:rsidP="00A444DE">
            <w:pPr>
              <w:spacing w:after="0"/>
              <w:rPr>
                <w:rFonts w:cs="Arial"/>
                <w:sz w:val="18"/>
                <w:szCs w:val="20"/>
              </w:rPr>
            </w:pPr>
            <w:r>
              <w:rPr>
                <w:bCs/>
                <w:sz w:val="18"/>
                <w:szCs w:val="20"/>
              </w:rPr>
              <w:t>Indicateur 1.3.1</w:t>
            </w:r>
            <w:r w:rsidR="002575A2">
              <w:rPr>
                <w:bCs/>
                <w:sz w:val="18"/>
                <w:szCs w:val="20"/>
              </w:rPr>
              <w:t> :</w:t>
            </w:r>
            <w:r w:rsidR="00AE3BD3">
              <w:rPr>
                <w:bCs/>
                <w:sz w:val="18"/>
                <w:szCs w:val="20"/>
              </w:rPr>
              <w:t xml:space="preserve"> Nombre</w:t>
            </w:r>
            <w:r>
              <w:rPr>
                <w:bCs/>
                <w:sz w:val="18"/>
                <w:szCs w:val="20"/>
              </w:rPr>
              <w:t xml:space="preserve"> de nouveaux mécanismes de partenariat financés pour des solutions de gestion durable des ressources naturelles, des services écosystémiques, des produits chimiques et des déchets au niveau national ou infranational.</w:t>
            </w:r>
          </w:p>
          <w:p w:rsidR="00876F2E" w:rsidRPr="007F5D87" w:rsidRDefault="00876F2E" w:rsidP="00A444DE">
            <w:pPr>
              <w:jc w:val="left"/>
              <w:rPr>
                <w:rFonts w:cs="Arial"/>
                <w:i/>
                <w:sz w:val="18"/>
                <w:szCs w:val="18"/>
              </w:rPr>
            </w:pPr>
            <w:r>
              <w:rPr>
                <w:bCs/>
                <w:sz w:val="18"/>
                <w:szCs w:val="20"/>
              </w:rPr>
              <w:t>Indicateur 1.3.2</w:t>
            </w:r>
            <w:r w:rsidR="002575A2">
              <w:rPr>
                <w:bCs/>
                <w:sz w:val="18"/>
                <w:szCs w:val="20"/>
              </w:rPr>
              <w:t> :</w:t>
            </w:r>
            <w:r w:rsidR="003B7D35">
              <w:rPr>
                <w:bCs/>
                <w:sz w:val="18"/>
                <w:szCs w:val="20"/>
              </w:rPr>
              <w:t xml:space="preserve"> a) </w:t>
            </w:r>
            <w:r>
              <w:rPr>
                <w:bCs/>
                <w:sz w:val="18"/>
                <w:szCs w:val="20"/>
              </w:rPr>
              <w:t>Nombre de personnes supplémentaires bénéficiant de moyens de subsistance renforcés grâce à des solutions de gestion des ressources naturelles, des services écosystémiques, des produits chimiques et des déchets b) Nombre de nouveaux emplois créés grâce à des solutions de gestion des ressources naturelles, des services écosystémiques, des produits chimiques et des déchets.</w:t>
            </w:r>
          </w:p>
        </w:tc>
      </w:tr>
      <w:tr w:rsidR="00876F2E" w:rsidRPr="007F5D87" w:rsidTr="007D305B">
        <w:trPr>
          <w:trHeight w:val="323"/>
        </w:trPr>
        <w:tc>
          <w:tcPr>
            <w:tcW w:w="2605" w:type="dxa"/>
            <w:shd w:val="pct12" w:color="auto" w:fill="auto"/>
          </w:tcPr>
          <w:p w:rsidR="00876F2E" w:rsidRPr="007F5D87" w:rsidRDefault="00876F2E" w:rsidP="00A444DE">
            <w:pPr>
              <w:jc w:val="center"/>
              <w:rPr>
                <w:rFonts w:ascii="Times New Roman" w:hAnsi="Times New Roman"/>
                <w:b/>
                <w:bCs/>
                <w:sz w:val="18"/>
                <w:szCs w:val="18"/>
              </w:rPr>
            </w:pPr>
          </w:p>
        </w:tc>
        <w:tc>
          <w:tcPr>
            <w:tcW w:w="3173" w:type="dxa"/>
            <w:shd w:val="pct12" w:color="auto" w:fill="auto"/>
          </w:tcPr>
          <w:p w:rsidR="00876F2E" w:rsidRPr="007F5D87" w:rsidRDefault="00876F2E" w:rsidP="00A444DE">
            <w:pPr>
              <w:jc w:val="center"/>
              <w:rPr>
                <w:b/>
                <w:bCs/>
                <w:sz w:val="18"/>
                <w:szCs w:val="18"/>
              </w:rPr>
            </w:pPr>
            <w:r>
              <w:rPr>
                <w:b/>
                <w:bCs/>
                <w:sz w:val="18"/>
                <w:szCs w:val="18"/>
              </w:rPr>
              <w:t>Objectif et indicateurs de résultats</w:t>
            </w:r>
          </w:p>
        </w:tc>
        <w:tc>
          <w:tcPr>
            <w:tcW w:w="1843" w:type="dxa"/>
            <w:shd w:val="pct12" w:color="auto" w:fill="auto"/>
          </w:tcPr>
          <w:p w:rsidR="00876F2E" w:rsidRPr="007F5D87" w:rsidRDefault="00876F2E" w:rsidP="00A444DE">
            <w:pPr>
              <w:jc w:val="left"/>
              <w:rPr>
                <w:b/>
                <w:bCs/>
                <w:sz w:val="18"/>
                <w:szCs w:val="18"/>
              </w:rPr>
            </w:pPr>
            <w:r>
              <w:rPr>
                <w:b/>
                <w:bCs/>
                <w:sz w:val="18"/>
                <w:szCs w:val="18"/>
              </w:rPr>
              <w:t xml:space="preserve">Référence </w:t>
            </w:r>
          </w:p>
        </w:tc>
        <w:tc>
          <w:tcPr>
            <w:tcW w:w="2020" w:type="dxa"/>
            <w:shd w:val="pct12" w:color="auto" w:fill="auto"/>
          </w:tcPr>
          <w:p w:rsidR="00876F2E" w:rsidRPr="007F5D87" w:rsidRDefault="00876F2E" w:rsidP="00A444DE">
            <w:pPr>
              <w:jc w:val="center"/>
              <w:rPr>
                <w:b/>
                <w:bCs/>
                <w:sz w:val="18"/>
                <w:szCs w:val="18"/>
              </w:rPr>
            </w:pPr>
            <w:r>
              <w:rPr>
                <w:b/>
                <w:bCs/>
                <w:sz w:val="18"/>
                <w:szCs w:val="18"/>
              </w:rPr>
              <w:t>Cible à mi-parcours</w:t>
            </w:r>
          </w:p>
        </w:tc>
        <w:tc>
          <w:tcPr>
            <w:tcW w:w="2403" w:type="dxa"/>
            <w:shd w:val="pct12" w:color="auto" w:fill="auto"/>
          </w:tcPr>
          <w:p w:rsidR="00876F2E" w:rsidRPr="007F5D87" w:rsidRDefault="00876F2E" w:rsidP="00A444DE">
            <w:pPr>
              <w:jc w:val="center"/>
              <w:rPr>
                <w:b/>
                <w:bCs/>
                <w:sz w:val="18"/>
                <w:szCs w:val="18"/>
              </w:rPr>
            </w:pPr>
            <w:r>
              <w:rPr>
                <w:b/>
                <w:bCs/>
                <w:sz w:val="18"/>
                <w:szCs w:val="18"/>
              </w:rPr>
              <w:t>Cible de fin de projet</w:t>
            </w:r>
          </w:p>
        </w:tc>
        <w:tc>
          <w:tcPr>
            <w:tcW w:w="2647" w:type="dxa"/>
            <w:shd w:val="pct12" w:color="auto" w:fill="auto"/>
          </w:tcPr>
          <w:p w:rsidR="00876F2E" w:rsidRPr="007F5D87" w:rsidRDefault="00876F2E" w:rsidP="00A444DE">
            <w:pPr>
              <w:jc w:val="center"/>
              <w:rPr>
                <w:b/>
                <w:bCs/>
                <w:sz w:val="18"/>
                <w:szCs w:val="18"/>
              </w:rPr>
            </w:pPr>
            <w:r>
              <w:rPr>
                <w:b/>
                <w:bCs/>
                <w:sz w:val="18"/>
                <w:szCs w:val="18"/>
              </w:rPr>
              <w:t>Hypothèses</w:t>
            </w:r>
          </w:p>
        </w:tc>
      </w:tr>
      <w:tr w:rsidR="00876F2E" w:rsidRPr="007F5D87" w:rsidTr="007D305B">
        <w:trPr>
          <w:trHeight w:val="458"/>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Objectif de projet</w:t>
            </w:r>
          </w:p>
          <w:p w:rsidR="00876F2E" w:rsidRPr="007F5D87" w:rsidRDefault="00876F2E" w:rsidP="00A444DE">
            <w:pPr>
              <w:jc w:val="left"/>
              <w:rPr>
                <w:rFonts w:ascii="Times New Roman" w:hAnsi="Times New Roman"/>
                <w:b/>
                <w:bCs/>
                <w:sz w:val="18"/>
                <w:szCs w:val="18"/>
              </w:rPr>
            </w:pPr>
          </w:p>
          <w:p w:rsidR="00876F2E" w:rsidRPr="007F5D87" w:rsidRDefault="00876F2E" w:rsidP="00A444DE">
            <w:pPr>
              <w:jc w:val="center"/>
              <w:rPr>
                <w:rFonts w:ascii="Times New Roman" w:hAnsi="Times New Roman"/>
                <w:b/>
                <w:bCs/>
                <w:sz w:val="18"/>
                <w:szCs w:val="18"/>
              </w:rPr>
            </w:pPr>
            <w:r>
              <w:rPr>
                <w:rFonts w:ascii="Times New Roman" w:hAnsi="Times New Roman"/>
                <w:b/>
                <w:bCs/>
                <w:sz w:val="18"/>
                <w:szCs w:val="18"/>
              </w:rPr>
              <w:t>Promouvoir la finance novatrice et l’adaptation communautaire dans les communes autour des RNC</w:t>
            </w:r>
          </w:p>
          <w:p w:rsidR="00876F2E" w:rsidRPr="007F5D87" w:rsidRDefault="00876F2E" w:rsidP="00A444DE">
            <w:pPr>
              <w:jc w:val="left"/>
              <w:rPr>
                <w:rFonts w:ascii="Times New Roman" w:hAnsi="Times New Roman"/>
                <w:b/>
                <w:bCs/>
                <w:i/>
                <w:sz w:val="18"/>
                <w:szCs w:val="18"/>
              </w:rPr>
            </w:pPr>
          </w:p>
          <w:p w:rsidR="00876F2E" w:rsidRPr="007F5D87" w:rsidRDefault="00876F2E" w:rsidP="00A444DE">
            <w:pPr>
              <w:jc w:val="left"/>
              <w:rPr>
                <w:rFonts w:ascii="Times New Roman" w:hAnsi="Times New Roman"/>
                <w:b/>
                <w:bCs/>
                <w:i/>
                <w:sz w:val="18"/>
                <w:szCs w:val="18"/>
              </w:rPr>
            </w:pPr>
          </w:p>
        </w:tc>
        <w:tc>
          <w:tcPr>
            <w:tcW w:w="3173" w:type="dxa"/>
          </w:tcPr>
          <w:p w:rsidR="00876F2E" w:rsidRPr="007F5D87" w:rsidRDefault="00876F2E" w:rsidP="00A444DE">
            <w:pPr>
              <w:jc w:val="left"/>
              <w:rPr>
                <w:rFonts w:ascii="Times New Roman" w:hAnsi="Times New Roman"/>
                <w:sz w:val="18"/>
                <w:szCs w:val="18"/>
              </w:rPr>
            </w:pPr>
            <w:r>
              <w:rPr>
                <w:rFonts w:ascii="Times New Roman" w:hAnsi="Times New Roman"/>
                <w:b/>
                <w:sz w:val="18"/>
                <w:szCs w:val="18"/>
              </w:rPr>
              <w:t>Indicateur 1</w:t>
            </w:r>
            <w:r w:rsidR="002575A2">
              <w:rPr>
                <w:rFonts w:ascii="Times New Roman" w:hAnsi="Times New Roman"/>
                <w:b/>
                <w:sz w:val="18"/>
                <w:szCs w:val="18"/>
              </w:rPr>
              <w:t> :</w:t>
            </w:r>
            <w:r>
              <w:rPr>
                <w:rFonts w:ascii="Times New Roman" w:hAnsi="Times New Roman"/>
                <w:sz w:val="18"/>
                <w:szCs w:val="18"/>
              </w:rPr>
              <w:t xml:space="preserve"> </w:t>
            </w:r>
            <w:r w:rsidR="00B81038">
              <w:rPr>
                <w:rFonts w:ascii="Times New Roman" w:hAnsi="Times New Roman"/>
                <w:sz w:val="18"/>
                <w:szCs w:val="18"/>
              </w:rPr>
              <w:t>Nbre de mécanismes de financement</w:t>
            </w:r>
            <w:r>
              <w:rPr>
                <w:rFonts w:ascii="Times New Roman" w:hAnsi="Times New Roman"/>
                <w:sz w:val="18"/>
                <w:szCs w:val="18"/>
              </w:rPr>
              <w:t xml:space="preserve"> dédié</w:t>
            </w:r>
            <w:r w:rsidR="00B81038">
              <w:rPr>
                <w:rFonts w:ascii="Times New Roman" w:hAnsi="Times New Roman"/>
                <w:sz w:val="18"/>
                <w:szCs w:val="18"/>
              </w:rPr>
              <w:t>s</w:t>
            </w:r>
            <w:r>
              <w:rPr>
                <w:rFonts w:ascii="Times New Roman" w:hAnsi="Times New Roman"/>
                <w:sz w:val="18"/>
                <w:szCs w:val="18"/>
              </w:rPr>
              <w:t xml:space="preserve"> à l’</w:t>
            </w:r>
            <w:r w:rsidR="00537B55">
              <w:rPr>
                <w:rFonts w:ascii="Times New Roman" w:hAnsi="Times New Roman"/>
                <w:sz w:val="18"/>
                <w:szCs w:val="18"/>
              </w:rPr>
              <w:t>adaptation aux changements climatiques</w:t>
            </w:r>
            <w:r w:rsidR="00B81038">
              <w:rPr>
                <w:rFonts w:ascii="Times New Roman" w:hAnsi="Times New Roman"/>
                <w:sz w:val="18"/>
                <w:szCs w:val="18"/>
              </w:rPr>
              <w:t xml:space="preserve"> dans le budget communal</w:t>
            </w:r>
            <w:r>
              <w:rPr>
                <w:rFonts w:ascii="Times New Roman" w:hAnsi="Times New Roman"/>
                <w:sz w:val="18"/>
                <w:szCs w:val="18"/>
              </w:rPr>
              <w:t xml:space="preserve"> et montant du fonds des IMF accordé aux populations vulnérables.</w:t>
            </w:r>
          </w:p>
          <w:p w:rsidR="00876F2E" w:rsidRPr="007F5D87" w:rsidRDefault="00876F2E" w:rsidP="00A444DE">
            <w:pPr>
              <w:jc w:val="left"/>
              <w:rPr>
                <w:bCs/>
                <w:sz w:val="18"/>
                <w:szCs w:val="18"/>
              </w:rPr>
            </w:pPr>
          </w:p>
        </w:tc>
        <w:tc>
          <w:tcPr>
            <w:tcW w:w="1843" w:type="dxa"/>
            <w:vMerge w:val="restart"/>
          </w:tcPr>
          <w:p w:rsidR="00876F2E" w:rsidRPr="007F5D87" w:rsidRDefault="00876F2E" w:rsidP="00A444DE">
            <w:pPr>
              <w:jc w:val="left"/>
              <w:rPr>
                <w:rFonts w:ascii="Times New Roman" w:hAnsi="Times New Roman"/>
                <w:sz w:val="18"/>
                <w:szCs w:val="18"/>
              </w:rPr>
            </w:pPr>
            <w:r>
              <w:rPr>
                <w:rFonts w:ascii="Times New Roman" w:hAnsi="Times New Roman"/>
                <w:sz w:val="18"/>
                <w:szCs w:val="18"/>
              </w:rPr>
              <w:t>Le programme PGIES a permis de créer 35 RNC et UP autour des limites des parcs nationaux au Sénégal. Elles rassemblent 203 villages de 21 communes autour de cette gestion des terres. L’évaluation de 2012 montre des améliorations significatives dans la conservation de la biodiversité et l’atténuation effets du changement climatique, mais elle met également en évidence les principales difficultés rencontrées par les villageois dans leurs activités agricoles en raison des pluies tardives et de la salinisation des eaux et des terres. De plus, les communes ne disposent pas de ressources financières suffisantes pour investir dans les mesures d’</w:t>
            </w:r>
            <w:r w:rsidR="00537B55">
              <w:rPr>
                <w:rFonts w:ascii="Times New Roman" w:hAnsi="Times New Roman"/>
                <w:sz w:val="18"/>
                <w:szCs w:val="18"/>
              </w:rPr>
              <w:t>adaptation aux changements climatiques</w:t>
            </w:r>
            <w:r>
              <w:rPr>
                <w:rFonts w:ascii="Times New Roman" w:hAnsi="Times New Roman"/>
                <w:sz w:val="18"/>
                <w:szCs w:val="18"/>
              </w:rPr>
              <w:t xml:space="preserve"> au niveau local.</w:t>
            </w:r>
          </w:p>
        </w:tc>
        <w:tc>
          <w:tcPr>
            <w:tcW w:w="2020" w:type="dxa"/>
          </w:tcPr>
          <w:p w:rsidR="00876F2E" w:rsidRPr="007F5D87" w:rsidRDefault="00311A1A" w:rsidP="00A444DE">
            <w:pPr>
              <w:jc w:val="left"/>
              <w:rPr>
                <w:rFonts w:ascii="Times New Roman" w:hAnsi="Times New Roman"/>
                <w:bCs/>
                <w:sz w:val="18"/>
                <w:szCs w:val="18"/>
              </w:rPr>
            </w:pPr>
            <w:r>
              <w:rPr>
                <w:rFonts w:ascii="Times New Roman" w:hAnsi="Times New Roman"/>
                <w:bCs/>
                <w:sz w:val="18"/>
                <w:szCs w:val="18"/>
              </w:rPr>
              <w:t>Au moins deux</w:t>
            </w:r>
            <w:r w:rsidR="00876F2E">
              <w:rPr>
                <w:rFonts w:ascii="Times New Roman" w:hAnsi="Times New Roman"/>
                <w:bCs/>
                <w:sz w:val="18"/>
                <w:szCs w:val="18"/>
              </w:rPr>
              <w:t xml:space="preserve"> mécanismes de financement </w:t>
            </w:r>
            <w:r>
              <w:rPr>
                <w:rFonts w:ascii="Times New Roman" w:hAnsi="Times New Roman"/>
                <w:bCs/>
                <w:sz w:val="18"/>
                <w:szCs w:val="18"/>
              </w:rPr>
              <w:t>novateur</w:t>
            </w:r>
            <w:r w:rsidR="00876F2E">
              <w:rPr>
                <w:rFonts w:ascii="Times New Roman" w:hAnsi="Times New Roman"/>
                <w:bCs/>
                <w:sz w:val="18"/>
                <w:szCs w:val="18"/>
              </w:rPr>
              <w:t>s sont conçus et mis en œuvre et apportent un financement supplémentaire (même moins important).</w:t>
            </w:r>
          </w:p>
        </w:tc>
        <w:tc>
          <w:tcPr>
            <w:tcW w:w="2403" w:type="dxa"/>
          </w:tcPr>
          <w:p w:rsidR="00876F2E" w:rsidRPr="007F5D87" w:rsidRDefault="00311A1A" w:rsidP="00A444DE">
            <w:pPr>
              <w:spacing w:after="0"/>
              <w:jc w:val="left"/>
              <w:rPr>
                <w:rFonts w:ascii="Times New Roman" w:hAnsi="Times New Roman"/>
                <w:sz w:val="18"/>
                <w:szCs w:val="18"/>
              </w:rPr>
            </w:pPr>
            <w:r>
              <w:rPr>
                <w:rFonts w:ascii="Times New Roman" w:hAnsi="Times New Roman"/>
                <w:bCs/>
                <w:sz w:val="18"/>
                <w:szCs w:val="18"/>
              </w:rPr>
              <w:t>Au moins trois</w:t>
            </w:r>
            <w:r w:rsidR="00876F2E">
              <w:rPr>
                <w:rFonts w:ascii="Times New Roman" w:hAnsi="Times New Roman"/>
                <w:bCs/>
                <w:sz w:val="18"/>
                <w:szCs w:val="18"/>
              </w:rPr>
              <w:t xml:space="preserve"> mécanismes de financement </w:t>
            </w:r>
            <w:r>
              <w:rPr>
                <w:rFonts w:ascii="Times New Roman" w:hAnsi="Times New Roman"/>
                <w:bCs/>
                <w:sz w:val="18"/>
                <w:szCs w:val="18"/>
              </w:rPr>
              <w:t>novateur</w:t>
            </w:r>
            <w:r w:rsidR="00876F2E">
              <w:rPr>
                <w:rFonts w:ascii="Times New Roman" w:hAnsi="Times New Roman"/>
                <w:bCs/>
                <w:sz w:val="18"/>
                <w:szCs w:val="18"/>
              </w:rPr>
              <w:t>s sont conçus et mis en œuvre et apportent un financement supplémentaire à au moins 15 communes.</w:t>
            </w:r>
          </w:p>
        </w:tc>
        <w:tc>
          <w:tcPr>
            <w:tcW w:w="2647" w:type="dxa"/>
            <w:vMerge w:val="restart"/>
          </w:tcPr>
          <w:p w:rsidR="00876F2E" w:rsidRPr="007F5D87" w:rsidRDefault="00876F2E" w:rsidP="00A444DE">
            <w:pPr>
              <w:spacing w:after="0"/>
              <w:rPr>
                <w:rFonts w:ascii="Times New Roman" w:hAnsi="Times New Roman"/>
                <w:sz w:val="18"/>
                <w:szCs w:val="18"/>
              </w:rPr>
            </w:pPr>
            <w:r>
              <w:rPr>
                <w:rFonts w:ascii="Times New Roman" w:hAnsi="Times New Roman"/>
                <w:sz w:val="18"/>
                <w:szCs w:val="18"/>
                <w:u w:val="single"/>
              </w:rPr>
              <w:t xml:space="preserve">Hypothèse </w:t>
            </w:r>
          </w:p>
          <w:p w:rsidR="00876F2E" w:rsidRPr="007F5D87" w:rsidRDefault="00876F2E" w:rsidP="00CA03E8">
            <w:pPr>
              <w:pStyle w:val="Paragraphedeliste"/>
              <w:numPr>
                <w:ilvl w:val="0"/>
                <w:numId w:val="15"/>
              </w:numPr>
              <w:spacing w:line="276" w:lineRule="auto"/>
              <w:ind w:left="289" w:hanging="289"/>
              <w:rPr>
                <w:sz w:val="18"/>
                <w:szCs w:val="18"/>
              </w:rPr>
            </w:pPr>
            <w:r>
              <w:rPr>
                <w:sz w:val="18"/>
                <w:szCs w:val="18"/>
              </w:rPr>
              <w:t>Existence d’une expertise nationale capable de soutenir les communes et les ménages dans leurs efforts d’adaptation.</w:t>
            </w:r>
          </w:p>
          <w:p w:rsidR="00876F2E" w:rsidRPr="007F5D87" w:rsidRDefault="00876F2E" w:rsidP="00CA03E8">
            <w:pPr>
              <w:pStyle w:val="Paragraphedeliste"/>
              <w:numPr>
                <w:ilvl w:val="0"/>
                <w:numId w:val="15"/>
              </w:numPr>
              <w:spacing w:line="276" w:lineRule="auto"/>
              <w:ind w:left="289" w:hanging="289"/>
              <w:rPr>
                <w:sz w:val="18"/>
                <w:szCs w:val="18"/>
              </w:rPr>
            </w:pPr>
            <w:r>
              <w:rPr>
                <w:sz w:val="18"/>
                <w:szCs w:val="18"/>
              </w:rPr>
              <w:t>Participation et implication des maires et communautés cibles</w:t>
            </w:r>
          </w:p>
          <w:p w:rsidR="00876F2E" w:rsidRPr="00AE3BD3" w:rsidRDefault="00876F2E" w:rsidP="00A444DE">
            <w:pPr>
              <w:pStyle w:val="Paragraphedeliste"/>
              <w:ind w:left="289"/>
              <w:jc w:val="both"/>
              <w:rPr>
                <w:sz w:val="18"/>
                <w:szCs w:val="18"/>
              </w:rPr>
            </w:pPr>
          </w:p>
          <w:p w:rsidR="00876F2E" w:rsidRPr="007F5D87" w:rsidRDefault="00876F2E" w:rsidP="00A444DE">
            <w:pPr>
              <w:spacing w:after="0"/>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Les acteurs locaux (IMF, secteur privé, communes, etc.) ne collaborent pas avec le projet.</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Les ressources financières sont trop limitées pour permettre aux communautés locales et aux institutions de mettre en œuvre des activités résilientes. </w:t>
            </w:r>
          </w:p>
          <w:p w:rsidR="00876F2E" w:rsidRPr="007F5D87" w:rsidRDefault="00876F2E" w:rsidP="00A444DE">
            <w:pPr>
              <w:jc w:val="left"/>
              <w:rPr>
                <w:bCs/>
                <w:i/>
                <w:sz w:val="18"/>
                <w:szCs w:val="18"/>
              </w:rPr>
            </w:pPr>
          </w:p>
          <w:p w:rsidR="00876F2E" w:rsidRPr="00AE3BD3" w:rsidRDefault="00876F2E" w:rsidP="00A444DE">
            <w:pPr>
              <w:pStyle w:val="Paragraphedeliste"/>
              <w:ind w:left="289"/>
              <w:jc w:val="both"/>
              <w:rPr>
                <w:sz w:val="18"/>
                <w:szCs w:val="18"/>
              </w:rPr>
            </w:pPr>
          </w:p>
          <w:p w:rsidR="00876F2E" w:rsidRPr="007F5D87" w:rsidRDefault="00876F2E" w:rsidP="00A444DE">
            <w:pPr>
              <w:spacing w:after="0"/>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Rapports d’entretien, suivi et évaluation du budget communal.</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-Fréquence</w:t>
            </w:r>
            <w:r w:rsidR="00AE3BD3">
              <w:rPr>
                <w:rFonts w:ascii="Times New Roman" w:hAnsi="Times New Roman"/>
                <w:sz w:val="18"/>
                <w:szCs w:val="18"/>
              </w:rPr>
              <w:t>: annuelle</w:t>
            </w:r>
            <w:r>
              <w:rPr>
                <w:rFonts w:ascii="Times New Roman" w:hAnsi="Times New Roman"/>
                <w:sz w:val="18"/>
                <w:szCs w:val="18"/>
              </w:rPr>
              <w:t xml:space="preserve"> (budget communal + ménages cibles)</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p w:rsidR="00876F2E" w:rsidRPr="007F5D87" w:rsidRDefault="00876F2E" w:rsidP="00A444DE">
            <w:pPr>
              <w:jc w:val="left"/>
              <w:rPr>
                <w:bCs/>
                <w:i/>
                <w:sz w:val="18"/>
                <w:szCs w:val="18"/>
              </w:rPr>
            </w:pPr>
          </w:p>
        </w:tc>
      </w:tr>
      <w:tr w:rsidR="00876F2E" w:rsidRPr="007F5D87" w:rsidTr="007D305B">
        <w:trPr>
          <w:trHeight w:val="457"/>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bCs/>
                <w:sz w:val="18"/>
                <w:szCs w:val="18"/>
              </w:rPr>
            </w:pPr>
            <w:r>
              <w:rPr>
                <w:rFonts w:ascii="Times New Roman" w:hAnsi="Times New Roman"/>
                <w:b/>
                <w:sz w:val="18"/>
                <w:szCs w:val="18"/>
              </w:rPr>
              <w:t>Indicateur 2</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ménages cibles adoptant des moyens de subsistance résilients pour faire face aux effets actuels et futurs du changement climatique (indicateur AMAT 1.3.1.1).</w:t>
            </w:r>
          </w:p>
        </w:tc>
        <w:tc>
          <w:tcPr>
            <w:tcW w:w="1843" w:type="dxa"/>
            <w:vMerge/>
          </w:tcPr>
          <w:p w:rsidR="00876F2E" w:rsidRPr="007F5D87" w:rsidRDefault="00876F2E" w:rsidP="00A444DE">
            <w:pPr>
              <w:jc w:val="left"/>
              <w:rPr>
                <w:bCs/>
                <w:i/>
                <w:sz w:val="18"/>
                <w:szCs w:val="18"/>
              </w:rPr>
            </w:pPr>
          </w:p>
        </w:tc>
        <w:tc>
          <w:tcPr>
            <w:tcW w:w="2020" w:type="dxa"/>
          </w:tcPr>
          <w:p w:rsidR="00876F2E" w:rsidRPr="007F5D87" w:rsidRDefault="00876F2E" w:rsidP="00A444DE">
            <w:pPr>
              <w:jc w:val="left"/>
              <w:rPr>
                <w:bCs/>
                <w:i/>
                <w:sz w:val="18"/>
                <w:szCs w:val="18"/>
              </w:rPr>
            </w:pPr>
            <w:r>
              <w:rPr>
                <w:rFonts w:ascii="Times New Roman" w:hAnsi="Times New Roman"/>
                <w:sz w:val="18"/>
                <w:szCs w:val="18"/>
              </w:rPr>
              <w:t>Au moins 2 000 ménages (environ 10 %) ont adopté des moyens de subsistance résilients.</w:t>
            </w:r>
          </w:p>
        </w:tc>
        <w:tc>
          <w:tcPr>
            <w:tcW w:w="2403" w:type="dxa"/>
          </w:tcPr>
          <w:p w:rsidR="00876F2E" w:rsidRPr="007F5D87" w:rsidRDefault="00876F2E" w:rsidP="00A444DE">
            <w:pPr>
              <w:jc w:val="left"/>
              <w:rPr>
                <w:bCs/>
                <w:i/>
                <w:sz w:val="18"/>
                <w:szCs w:val="18"/>
              </w:rPr>
            </w:pPr>
            <w:r>
              <w:rPr>
                <w:rFonts w:ascii="Times New Roman" w:hAnsi="Times New Roman"/>
                <w:sz w:val="18"/>
                <w:szCs w:val="18"/>
              </w:rPr>
              <w:t>Au moins 5 000 ménages (environ 25 %) ont adopté des moyens de subsistance résilients tels que des activités de diversification, des informations climatiques et des semences adaptées pour faciliter les possibilités de développement des femmes et leur offrir plus de possibilités d’adaptation aux effets actuels et futurs du changement climatique.</w:t>
            </w:r>
          </w:p>
        </w:tc>
        <w:tc>
          <w:tcPr>
            <w:tcW w:w="2647" w:type="dxa"/>
            <w:vMerge/>
          </w:tcPr>
          <w:p w:rsidR="00876F2E" w:rsidRPr="007F5D87" w:rsidRDefault="00876F2E" w:rsidP="00A444DE">
            <w:pPr>
              <w:jc w:val="left"/>
              <w:rPr>
                <w:bCs/>
                <w:i/>
                <w:sz w:val="18"/>
                <w:szCs w:val="18"/>
              </w:rPr>
            </w:pPr>
          </w:p>
        </w:tc>
      </w:tr>
      <w:tr w:rsidR="00876F2E" w:rsidRPr="007F5D87" w:rsidTr="007D305B">
        <w:trPr>
          <w:trHeight w:val="377"/>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bCs/>
                <w:i/>
                <w:sz w:val="18"/>
                <w:szCs w:val="18"/>
              </w:rPr>
            </w:pPr>
          </w:p>
        </w:tc>
        <w:tc>
          <w:tcPr>
            <w:tcW w:w="1843" w:type="dxa"/>
          </w:tcPr>
          <w:p w:rsidR="00876F2E" w:rsidRPr="007F5D87" w:rsidRDefault="00876F2E" w:rsidP="00A444DE">
            <w:pPr>
              <w:jc w:val="left"/>
              <w:rPr>
                <w:bCs/>
                <w:i/>
                <w:sz w:val="18"/>
                <w:szCs w:val="18"/>
              </w:rPr>
            </w:pPr>
          </w:p>
        </w:tc>
        <w:tc>
          <w:tcPr>
            <w:tcW w:w="2020" w:type="dxa"/>
          </w:tcPr>
          <w:p w:rsidR="00876F2E" w:rsidRPr="007F5D87" w:rsidRDefault="00876F2E" w:rsidP="00A444DE">
            <w:pPr>
              <w:jc w:val="left"/>
              <w:rPr>
                <w:bCs/>
                <w:i/>
                <w:sz w:val="18"/>
                <w:szCs w:val="18"/>
              </w:rPr>
            </w:pPr>
          </w:p>
        </w:tc>
        <w:tc>
          <w:tcPr>
            <w:tcW w:w="2403" w:type="dxa"/>
          </w:tcPr>
          <w:p w:rsidR="00876F2E" w:rsidRPr="007F5D87" w:rsidRDefault="00876F2E" w:rsidP="00A444DE">
            <w:pPr>
              <w:jc w:val="left"/>
              <w:rPr>
                <w:bCs/>
                <w:i/>
                <w:sz w:val="18"/>
                <w:szCs w:val="18"/>
              </w:rPr>
            </w:pPr>
          </w:p>
        </w:tc>
        <w:tc>
          <w:tcPr>
            <w:tcW w:w="2647" w:type="dxa"/>
          </w:tcPr>
          <w:p w:rsidR="00876F2E" w:rsidRPr="007F5D87" w:rsidRDefault="00876F2E" w:rsidP="00A444DE">
            <w:pPr>
              <w:jc w:val="left"/>
              <w:rPr>
                <w:bCs/>
                <w:i/>
                <w:sz w:val="18"/>
                <w:szCs w:val="18"/>
              </w:rPr>
            </w:pPr>
          </w:p>
        </w:tc>
      </w:tr>
      <w:tr w:rsidR="00876F2E" w:rsidRPr="007F5D87" w:rsidTr="007D305B">
        <w:trPr>
          <w:trHeight w:val="310"/>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Composante/résultat 1</w:t>
            </w:r>
          </w:p>
          <w:p w:rsidR="00876F2E" w:rsidRPr="007F5D87" w:rsidRDefault="00876F2E" w:rsidP="00A444DE">
            <w:pPr>
              <w:jc w:val="left"/>
              <w:rPr>
                <w:rFonts w:ascii="Times New Roman" w:hAnsi="Times New Roman"/>
                <w:b/>
                <w:bCs/>
                <w:i/>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Des mécanismes </w:t>
            </w:r>
            <w:r w:rsidR="00311A1A">
              <w:rPr>
                <w:rFonts w:ascii="Times New Roman" w:hAnsi="Times New Roman"/>
                <w:sz w:val="18"/>
                <w:szCs w:val="18"/>
              </w:rPr>
              <w:t>novateur</w:t>
            </w:r>
            <w:r>
              <w:rPr>
                <w:rFonts w:ascii="Times New Roman" w:hAnsi="Times New Roman"/>
                <w:sz w:val="18"/>
                <w:szCs w:val="18"/>
              </w:rPr>
              <w:t>s financent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au niveau local.</w:t>
            </w:r>
          </w:p>
          <w:p w:rsidR="00876F2E" w:rsidRPr="007F5D87" w:rsidRDefault="00876F2E" w:rsidP="00A444DE">
            <w:pPr>
              <w:jc w:val="left"/>
              <w:rPr>
                <w:rFonts w:ascii="Times New Roman" w:hAnsi="Times New Roman"/>
                <w:bCs/>
                <w:i/>
                <w:sz w:val="18"/>
                <w:szCs w:val="18"/>
              </w:rPr>
            </w:pPr>
          </w:p>
        </w:tc>
        <w:tc>
          <w:tcPr>
            <w:tcW w:w="3173" w:type="dxa"/>
          </w:tcPr>
          <w:p w:rsidR="00876F2E" w:rsidRPr="007F5D87" w:rsidRDefault="00876F2E" w:rsidP="00A444DE">
            <w:pPr>
              <w:spacing w:after="0"/>
              <w:jc w:val="left"/>
              <w:rPr>
                <w:rFonts w:ascii="Times New Roman" w:hAnsi="Times New Roman"/>
                <w:sz w:val="18"/>
                <w:szCs w:val="18"/>
              </w:rPr>
            </w:pPr>
            <w:r>
              <w:rPr>
                <w:rFonts w:ascii="Times New Roman" w:hAnsi="Times New Roman"/>
                <w:b/>
                <w:sz w:val="18"/>
                <w:szCs w:val="18"/>
              </w:rPr>
              <w:t>Indicateur 3</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communes qui incluent l’</w:t>
            </w:r>
            <w:r w:rsidR="00537B55">
              <w:rPr>
                <w:rFonts w:ascii="Times New Roman" w:hAnsi="Times New Roman"/>
                <w:sz w:val="18"/>
                <w:szCs w:val="18"/>
              </w:rPr>
              <w:t>adaptation aux changements climatiques</w:t>
            </w:r>
            <w:r>
              <w:rPr>
                <w:rFonts w:ascii="Times New Roman" w:hAnsi="Times New Roman"/>
                <w:sz w:val="18"/>
                <w:szCs w:val="18"/>
              </w:rPr>
              <w:t xml:space="preserve"> dans leurs plans de développement, budgets communaux et plans d’aménagement et de gestion des sols des UP/RNC.</w:t>
            </w:r>
          </w:p>
          <w:p w:rsidR="00876F2E" w:rsidRPr="007F5D87" w:rsidRDefault="00876F2E" w:rsidP="00A444DE">
            <w:pPr>
              <w:jc w:val="left"/>
              <w:rPr>
                <w:bCs/>
                <w:i/>
                <w:sz w:val="18"/>
                <w:szCs w:val="18"/>
              </w:rPr>
            </w:pP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cibles disposent toutes d’un plan de développement communal approuvé ou en cours d’approbation. Cependant, aucune d’entre elles n’inclut d’actions d’</w:t>
            </w:r>
            <w:r w:rsidR="00537B55">
              <w:rPr>
                <w:rFonts w:ascii="Times New Roman" w:hAnsi="Times New Roman"/>
                <w:sz w:val="18"/>
                <w:szCs w:val="18"/>
              </w:rPr>
              <w:t>adaptation aux changements climatiques</w:t>
            </w:r>
            <w:r>
              <w:rPr>
                <w:rFonts w:ascii="Times New Roman" w:hAnsi="Times New Roman"/>
                <w:sz w:val="18"/>
                <w:szCs w:val="18"/>
              </w:rPr>
              <w:t>.</w:t>
            </w:r>
            <w:r w:rsidR="004533D6">
              <w:rPr>
                <w:rFonts w:ascii="Times New Roman" w:hAnsi="Times New Roman"/>
                <w:sz w:val="18"/>
                <w:szCs w:val="18"/>
              </w:rPr>
              <w:t xml:space="preserve"> </w:t>
            </w:r>
            <w:r>
              <w:rPr>
                <w:rFonts w:ascii="Times New Roman" w:hAnsi="Times New Roman"/>
                <w:sz w:val="18"/>
                <w:szCs w:val="18"/>
              </w:rPr>
              <w:t>En outre, seules quatre (4) communes incluent la présence et la gestion des UP/RNC, tandis que la loi n°96/07 du 22 mars 1996 leur confère un mandat de gestion. Par ailleurs, seulement deux (2) communes font état d’une allocation dédiée à l’environnement dans leur budget annuel.</w:t>
            </w:r>
          </w:p>
        </w:tc>
        <w:tc>
          <w:tcPr>
            <w:tcW w:w="2020"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incluent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dans leurs documents de gestion et d’investissement (PDC et budget).</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budgets des communes indiquent clairement le cofinancement correspondant aux actions menées sur leurs territoires par d’autres parties prenantes. Le plan de gestion des 35 UP/RNC inclut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rFonts w:ascii="Times New Roman" w:hAnsi="Times New Roman"/>
                <w:bCs/>
                <w:sz w:val="18"/>
                <w:szCs w:val="18"/>
              </w:rPr>
            </w:pP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incluent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dans leurs documents de gestion et d’investissement (PDC et budget).</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budgets des communes indiquent clairement le cofinancement correspondant aux actions menées sur leurs territoires par d’autres parties prenantes. Le plan de gestion des 35 UP/RNC inclut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bCs/>
                <w:i/>
                <w:sz w:val="18"/>
                <w:szCs w:val="18"/>
              </w:rPr>
            </w:pPr>
          </w:p>
        </w:tc>
        <w:tc>
          <w:tcPr>
            <w:tcW w:w="2647" w:type="dxa"/>
            <w:vMerge w:val="restart"/>
          </w:tcPr>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Hypothèse</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maires et le personnel communal sont profondément engagés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Partenariat efficace avec le PNDL</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Partenariat efficace avec l’UCAD</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Existence d’une expertise nationale capable de soutenir les communes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populations locales ont confiance </w:t>
            </w:r>
            <w:r w:rsidR="00CC7473">
              <w:rPr>
                <w:sz w:val="18"/>
                <w:szCs w:val="18"/>
              </w:rPr>
              <w:t>en</w:t>
            </w:r>
            <w:r>
              <w:rPr>
                <w:sz w:val="18"/>
                <w:szCs w:val="18"/>
              </w:rPr>
              <w:t xml:space="preserve"> la MEC du </w:t>
            </w:r>
            <w:r w:rsidR="00E82CB3">
              <w:rPr>
                <w:sz w:val="18"/>
                <w:szCs w:val="18"/>
              </w:rPr>
              <w:t>delta du Saloum</w:t>
            </w:r>
            <w:r>
              <w:rPr>
                <w:sz w:val="18"/>
                <w:szCs w:val="18"/>
              </w:rPr>
              <w:t xml:space="preserve">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IMF souhaitent développer des actions dans la zone d’intervention du projet </w:t>
            </w:r>
          </w:p>
          <w:p w:rsidR="00876F2E" w:rsidRPr="00AE3BD3" w:rsidRDefault="00876F2E" w:rsidP="00A444DE">
            <w:pPr>
              <w:pStyle w:val="Paragraphedeliste"/>
              <w:ind w:left="289"/>
              <w:rPr>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6"/>
              </w:numPr>
              <w:spacing w:line="276" w:lineRule="auto"/>
              <w:ind w:left="289" w:hanging="284"/>
              <w:rPr>
                <w:iCs/>
                <w:sz w:val="18"/>
                <w:szCs w:val="18"/>
              </w:rPr>
            </w:pPr>
            <w:r>
              <w:rPr>
                <w:iCs/>
                <w:sz w:val="18"/>
                <w:szCs w:val="18"/>
              </w:rPr>
              <w:t xml:space="preserve">Capacités limitées des conseils municipaux </w:t>
            </w:r>
          </w:p>
          <w:p w:rsidR="00876F2E" w:rsidRPr="007F5D87" w:rsidRDefault="00876F2E" w:rsidP="00CA03E8">
            <w:pPr>
              <w:pStyle w:val="Paragraphedeliste"/>
              <w:numPr>
                <w:ilvl w:val="0"/>
                <w:numId w:val="16"/>
              </w:numPr>
              <w:spacing w:line="276" w:lineRule="auto"/>
              <w:ind w:left="289" w:hanging="284"/>
              <w:rPr>
                <w:bCs/>
                <w:i/>
                <w:sz w:val="18"/>
                <w:szCs w:val="18"/>
              </w:rPr>
            </w:pPr>
            <w:r>
              <w:rPr>
                <w:iCs/>
                <w:sz w:val="18"/>
                <w:szCs w:val="18"/>
              </w:rPr>
              <w:t xml:space="preserve">Les élections municipales prévues pour 2019 interfèrent avec le projet </w:t>
            </w:r>
          </w:p>
          <w:p w:rsidR="00876F2E" w:rsidRPr="007F5D87" w:rsidRDefault="00876F2E" w:rsidP="00CA03E8">
            <w:pPr>
              <w:pStyle w:val="Paragraphedeliste"/>
              <w:numPr>
                <w:ilvl w:val="0"/>
                <w:numId w:val="16"/>
              </w:numPr>
              <w:spacing w:line="276" w:lineRule="auto"/>
              <w:ind w:left="289" w:hanging="284"/>
              <w:rPr>
                <w:bCs/>
                <w:i/>
                <w:sz w:val="18"/>
                <w:szCs w:val="18"/>
              </w:rPr>
            </w:pPr>
            <w:r>
              <w:rPr>
                <w:iCs/>
                <w:sz w:val="18"/>
                <w:szCs w:val="18"/>
              </w:rPr>
              <w:t>Les IMF ne collaborent pas avec le projet</w:t>
            </w:r>
          </w:p>
          <w:p w:rsidR="00876F2E" w:rsidRPr="00AE3BD3" w:rsidRDefault="00876F2E" w:rsidP="00A444DE">
            <w:pPr>
              <w:jc w:val="left"/>
              <w:rPr>
                <w:rFonts w:ascii="Times New Roman" w:hAnsi="Times New Roman"/>
                <w:iCs/>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PDC et budget des communes</w:t>
            </w:r>
            <w:r w:rsidR="00D2405E">
              <w:rPr>
                <w:rFonts w:ascii="Times New Roman" w:hAnsi="Times New Roman"/>
                <w:sz w:val="18"/>
                <w:szCs w:val="18"/>
              </w:rPr>
              <w:t> ;</w:t>
            </w:r>
            <w:r>
              <w:rPr>
                <w:rFonts w:ascii="Times New Roman" w:hAnsi="Times New Roman"/>
                <w:sz w:val="18"/>
                <w:szCs w:val="18"/>
              </w:rPr>
              <w:t xml:space="preserve"> plans de gestion de l’UP/RNC. </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Budget communal et suivi et évaluation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Livres comptables des mutuelles et rapports financiers des IMF et des MEC.</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Formulaire de demande de subvention et accords de partenariat avec les bailleurs de fonds.</w:t>
            </w:r>
            <w:r w:rsidR="004533D6">
              <w:rPr>
                <w:rFonts w:ascii="Times New Roman" w:hAnsi="Times New Roman"/>
                <w:sz w:val="18"/>
                <w:szCs w:val="18"/>
              </w:rPr>
              <w:t xml:space="preserve"> </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Création et document stratégique du CIC.</w:t>
            </w:r>
          </w:p>
          <w:p w:rsidR="00876F2E" w:rsidRPr="00AE3BD3" w:rsidRDefault="00876F2E" w:rsidP="00A444DE">
            <w:pPr>
              <w:spacing w:after="0"/>
              <w:rPr>
                <w:rFonts w:ascii="Times New Roman" w:hAnsi="Times New Roman"/>
                <w:sz w:val="18"/>
                <w:szCs w:val="18"/>
              </w:rPr>
            </w:pPr>
          </w:p>
          <w:p w:rsidR="00876F2E" w:rsidRPr="00AE3BD3" w:rsidRDefault="00876F2E" w:rsidP="00A444DE">
            <w:pPr>
              <w:spacing w:after="0"/>
              <w:rPr>
                <w:rFonts w:ascii="Times New Roman" w:hAnsi="Times New Roman"/>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-Fréquence</w:t>
            </w:r>
            <w:r w:rsidR="002575A2">
              <w:rPr>
                <w:rFonts w:ascii="Times New Roman" w:hAnsi="Times New Roman"/>
                <w:sz w:val="18"/>
                <w:szCs w:val="18"/>
              </w:rPr>
              <w:t> :</w:t>
            </w:r>
            <w:r>
              <w:rPr>
                <w:rFonts w:ascii="Times New Roman" w:hAnsi="Times New Roman"/>
                <w:sz w:val="18"/>
                <w:szCs w:val="18"/>
              </w:rPr>
              <w:t xml:space="preserve"> annuelle</w:t>
            </w:r>
          </w:p>
          <w:p w:rsidR="00876F2E" w:rsidRPr="007F5D87" w:rsidRDefault="00876F2E" w:rsidP="00A444DE">
            <w:pPr>
              <w:spacing w:after="0"/>
              <w:jc w:val="center"/>
              <w:rPr>
                <w:rFonts w:ascii="Times New Roman" w:hAnsi="Times New Roman"/>
                <w:sz w:val="18"/>
                <w:szCs w:val="18"/>
                <w:lang w:val="en-GB"/>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rFonts w:ascii="Times New Roman" w:hAnsi="Times New Roman"/>
                <w:sz w:val="18"/>
                <w:szCs w:val="18"/>
              </w:rPr>
            </w:pPr>
            <w:r>
              <w:rPr>
                <w:rFonts w:ascii="Times New Roman" w:hAnsi="Times New Roman"/>
                <w:b/>
                <w:sz w:val="18"/>
                <w:szCs w:val="18"/>
              </w:rPr>
              <w:t>Indicateur 4</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 de ressources financières supplémentaires dédiées à l’</w:t>
            </w:r>
            <w:r w:rsidR="00537B55">
              <w:rPr>
                <w:rFonts w:ascii="Times New Roman" w:hAnsi="Times New Roman"/>
                <w:sz w:val="18"/>
                <w:szCs w:val="18"/>
              </w:rPr>
              <w:t>adaptation aux changements climatiques</w:t>
            </w:r>
            <w:r>
              <w:rPr>
                <w:rFonts w:ascii="Times New Roman" w:hAnsi="Times New Roman"/>
                <w:sz w:val="18"/>
                <w:szCs w:val="18"/>
              </w:rPr>
              <w:t xml:space="preserve"> et générées par des mécanismes financiers </w:t>
            </w:r>
            <w:r w:rsidR="00311A1A">
              <w:rPr>
                <w:rFonts w:ascii="Times New Roman" w:hAnsi="Times New Roman"/>
                <w:sz w:val="18"/>
                <w:szCs w:val="18"/>
              </w:rPr>
              <w:t>novateur</w:t>
            </w:r>
            <w:r>
              <w:rPr>
                <w:rFonts w:ascii="Times New Roman" w:hAnsi="Times New Roman"/>
                <w:sz w:val="18"/>
                <w:szCs w:val="18"/>
              </w:rPr>
              <w:t xml:space="preserve">s (PPP, RSE, écotaxe, etc.) disponibles pour les communes. </w:t>
            </w:r>
          </w:p>
        </w:tc>
        <w:tc>
          <w:tcPr>
            <w:tcW w:w="1843" w:type="dxa"/>
          </w:tcPr>
          <w:p w:rsidR="00876F2E" w:rsidRPr="007F5D87" w:rsidRDefault="00876F2E" w:rsidP="00A444DE">
            <w:pPr>
              <w:jc w:val="left"/>
              <w:rPr>
                <w:bCs/>
                <w:i/>
                <w:sz w:val="18"/>
                <w:szCs w:val="18"/>
              </w:rPr>
            </w:pPr>
            <w:r>
              <w:rPr>
                <w:rFonts w:ascii="Times New Roman" w:hAnsi="Times New Roman"/>
                <w:sz w:val="18"/>
                <w:szCs w:val="18"/>
              </w:rPr>
              <w:t>Le Ministère des finances admet que les ressources issues des fonds de dotation couvrent seulement 20 % des besoins des communautés locales. L’environnement est le parent pauvre en ce qui concerne l’allocation du budget communal. Le budget annuel des 21 communes cibles est compris entre 45 et 200 millions de FCFA, mais la part consacrée à l’environnement dépasse rarement 1 %. Aucun financement n’est consacré à l’</w:t>
            </w:r>
            <w:r w:rsidR="00537B55">
              <w:rPr>
                <w:rFonts w:ascii="Times New Roman" w:hAnsi="Times New Roman"/>
                <w:sz w:val="18"/>
                <w:szCs w:val="18"/>
              </w:rPr>
              <w:t>adaptation aux changements climatiques</w:t>
            </w:r>
            <w:r>
              <w:rPr>
                <w:rFonts w:ascii="Times New Roman" w:hAnsi="Times New Roman"/>
                <w:sz w:val="18"/>
                <w:szCs w:val="18"/>
              </w:rPr>
              <w:t xml:space="preserve"> dans cette part.</w:t>
            </w:r>
          </w:p>
        </w:tc>
        <w:tc>
          <w:tcPr>
            <w:tcW w:w="2020" w:type="dxa"/>
          </w:tcPr>
          <w:p w:rsidR="00876F2E" w:rsidRPr="007F5D87" w:rsidRDefault="00311A1A" w:rsidP="00A444DE">
            <w:pPr>
              <w:jc w:val="left"/>
              <w:rPr>
                <w:rFonts w:ascii="Times New Roman" w:hAnsi="Times New Roman"/>
                <w:bCs/>
                <w:sz w:val="18"/>
                <w:szCs w:val="18"/>
              </w:rPr>
            </w:pPr>
            <w:r>
              <w:rPr>
                <w:rFonts w:ascii="Times New Roman" w:hAnsi="Times New Roman"/>
                <w:sz w:val="18"/>
                <w:szCs w:val="18"/>
              </w:rPr>
              <w:t>Au moins cinq</w:t>
            </w:r>
            <w:r w:rsidR="00876F2E">
              <w:rPr>
                <w:rFonts w:ascii="Times New Roman" w:hAnsi="Times New Roman"/>
                <w:sz w:val="18"/>
                <w:szCs w:val="18"/>
              </w:rPr>
              <w:t xml:space="preserve"> communes ont mis en place un mécanisme financier </w:t>
            </w:r>
            <w:r>
              <w:rPr>
                <w:rFonts w:ascii="Times New Roman" w:hAnsi="Times New Roman"/>
                <w:sz w:val="18"/>
                <w:szCs w:val="18"/>
              </w:rPr>
              <w:t>novateur</w:t>
            </w:r>
            <w:r w:rsidR="00876F2E">
              <w:rPr>
                <w:rFonts w:ascii="Times New Roman" w:hAnsi="Times New Roman"/>
                <w:sz w:val="18"/>
                <w:szCs w:val="18"/>
              </w:rPr>
              <w:t xml:space="preserve"> (PPP, RSE, écotaxe, etc.) qui leur permet de générer des ressources financières supplémentaires consacrées à l’</w:t>
            </w:r>
            <w:r w:rsidR="00537B55">
              <w:rPr>
                <w:rFonts w:ascii="Times New Roman" w:hAnsi="Times New Roman"/>
                <w:sz w:val="18"/>
                <w:szCs w:val="18"/>
              </w:rPr>
              <w:t>adaptation aux changements climatiques</w:t>
            </w:r>
            <w:r w:rsidR="00876F2E">
              <w:rPr>
                <w:rFonts w:ascii="Times New Roman" w:hAnsi="Times New Roman"/>
                <w:sz w:val="18"/>
                <w:szCs w:val="18"/>
              </w:rPr>
              <w:t>.</w:t>
            </w:r>
          </w:p>
        </w:tc>
        <w:tc>
          <w:tcPr>
            <w:tcW w:w="2403" w:type="dxa"/>
          </w:tcPr>
          <w:p w:rsidR="00876F2E" w:rsidRPr="007F5D87" w:rsidRDefault="00876F2E" w:rsidP="00A444DE">
            <w:pPr>
              <w:jc w:val="left"/>
              <w:rPr>
                <w:bCs/>
                <w:i/>
                <w:sz w:val="18"/>
                <w:szCs w:val="18"/>
              </w:rPr>
            </w:pPr>
            <w:r>
              <w:rPr>
                <w:rFonts w:ascii="Times New Roman" w:hAnsi="Times New Roman"/>
                <w:sz w:val="18"/>
                <w:szCs w:val="18"/>
              </w:rPr>
              <w:t xml:space="preserve">Chacune des 21 communes a mis en place un mécanisme financier </w:t>
            </w:r>
            <w:r w:rsidR="00311A1A">
              <w:rPr>
                <w:rFonts w:ascii="Times New Roman" w:hAnsi="Times New Roman"/>
                <w:sz w:val="18"/>
                <w:szCs w:val="18"/>
              </w:rPr>
              <w:t>novateur</w:t>
            </w:r>
            <w:r>
              <w:rPr>
                <w:rFonts w:ascii="Times New Roman" w:hAnsi="Times New Roman"/>
                <w:sz w:val="18"/>
                <w:szCs w:val="18"/>
              </w:rPr>
              <w:t xml:space="preserve"> (PPP, RSE, écotaxe, etc.) qui leur permet de générer des ressources financières supplémentaires dédiées à l’</w:t>
            </w:r>
            <w:r w:rsidR="00537B55">
              <w:rPr>
                <w:rFonts w:ascii="Times New Roman" w:hAnsi="Times New Roman"/>
                <w:sz w:val="18"/>
                <w:szCs w:val="18"/>
              </w:rPr>
              <w:t>adaptation aux changements climatiques</w:t>
            </w:r>
            <w:r>
              <w:rPr>
                <w:rFonts w:ascii="Times New Roman" w:hAnsi="Times New Roman"/>
                <w:sz w:val="18"/>
                <w:szCs w:val="18"/>
              </w:rPr>
              <w:t>, soit au moins l’équivalent de 5 % du budget annuel</w:t>
            </w:r>
          </w:p>
        </w:tc>
        <w:tc>
          <w:tcPr>
            <w:tcW w:w="2647" w:type="dxa"/>
            <w:vMerge/>
          </w:tcPr>
          <w:p w:rsidR="00876F2E" w:rsidRPr="007F5D87" w:rsidRDefault="00876F2E" w:rsidP="00A444DE">
            <w:pPr>
              <w:jc w:val="left"/>
              <w:rPr>
                <w:bCs/>
                <w:i/>
                <w:sz w:val="18"/>
                <w:szCs w:val="18"/>
              </w:rPr>
            </w:pP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rPr>
                <w:bCs/>
                <w:i/>
                <w:sz w:val="18"/>
                <w:szCs w:val="18"/>
              </w:rPr>
            </w:pPr>
            <w:r>
              <w:rPr>
                <w:rFonts w:ascii="Times New Roman" w:hAnsi="Times New Roman"/>
                <w:b/>
                <w:sz w:val="18"/>
                <w:szCs w:val="18"/>
              </w:rPr>
              <w:t>Indicateur 5</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Augmentation du volume des prêts accordés aux populations vulnérables par les établissements de crédit et les institutions de microfinance</w:t>
            </w: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Parmi les 9 mutuelles d’épargne et de crédit mises en place par le PGIES dans les 4 zones du projet, seule la mutuelle du </w:t>
            </w:r>
            <w:r w:rsidR="00E82CB3">
              <w:rPr>
                <w:rFonts w:ascii="Times New Roman" w:hAnsi="Times New Roman"/>
                <w:sz w:val="18"/>
                <w:szCs w:val="18"/>
              </w:rPr>
              <w:t>delta du Saloum</w:t>
            </w:r>
            <w:r>
              <w:rPr>
                <w:rFonts w:ascii="Times New Roman" w:hAnsi="Times New Roman"/>
                <w:sz w:val="18"/>
                <w:szCs w:val="18"/>
              </w:rPr>
              <w:t xml:space="preserve"> est toujours active et dispose d’un volume de prêts équivalent à 24 millions de FCFA pour 2015. L’URMECS est présente dans la zone de Koar mais ne collabore pas avec la MEC. D’autres mutuelles souhaitent s’installer dans les zones du projet. </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L’analyse des actes du réseau de mutuelles d’épargne et de crédit a été réalisée et a abouti à un plan d’action clair pour l’avenir.</w:t>
            </w:r>
          </w:p>
          <w:p w:rsidR="00876F2E" w:rsidRPr="007F5D87" w:rsidRDefault="00876F2E" w:rsidP="00A444DE">
            <w:pPr>
              <w:jc w:val="left"/>
              <w:rPr>
                <w:rFonts w:ascii="Times New Roman" w:hAnsi="Times New Roman"/>
                <w:bCs/>
                <w:sz w:val="18"/>
                <w:szCs w:val="18"/>
              </w:rPr>
            </w:pPr>
            <w:r>
              <w:rPr>
                <w:rFonts w:ascii="Times New Roman" w:hAnsi="Times New Roman"/>
                <w:sz w:val="18"/>
                <w:szCs w:val="18"/>
              </w:rPr>
              <w:t xml:space="preserve">L’assistance technique a organisé au moins 10 formations et la mutuelle du </w:t>
            </w:r>
            <w:r w:rsidR="00E82CB3">
              <w:rPr>
                <w:rFonts w:ascii="Times New Roman" w:hAnsi="Times New Roman"/>
                <w:sz w:val="18"/>
                <w:szCs w:val="18"/>
              </w:rPr>
              <w:t>delta du Saloum</w:t>
            </w:r>
            <w:r>
              <w:rPr>
                <w:rFonts w:ascii="Times New Roman" w:hAnsi="Times New Roman"/>
                <w:sz w:val="18"/>
                <w:szCs w:val="18"/>
              </w:rPr>
              <w:t xml:space="preserve"> est désormais professionnelle</w:t>
            </w:r>
            <w:r w:rsidR="002575A2">
              <w:rPr>
                <w:rFonts w:ascii="Times New Roman" w:hAnsi="Times New Roman"/>
                <w:sz w:val="18"/>
                <w:szCs w:val="18"/>
              </w:rPr>
              <w:t> :</w:t>
            </w:r>
            <w:r>
              <w:rPr>
                <w:rFonts w:ascii="Times New Roman" w:hAnsi="Times New Roman"/>
                <w:sz w:val="18"/>
                <w:szCs w:val="18"/>
              </w:rPr>
              <w:t xml:space="preserve"> la calculabilité est mise à jour et conforme aux exigences officielles et la procédure de gouvernance a été revue.</w:t>
            </w:r>
          </w:p>
        </w:tc>
        <w:tc>
          <w:tcPr>
            <w:tcW w:w="2403" w:type="dxa"/>
          </w:tcPr>
          <w:p w:rsidR="00876F2E" w:rsidRPr="007F5D87" w:rsidRDefault="00876F2E" w:rsidP="00A444DE">
            <w:pPr>
              <w:jc w:val="left"/>
              <w:rPr>
                <w:bCs/>
                <w:i/>
                <w:sz w:val="18"/>
                <w:szCs w:val="18"/>
              </w:rPr>
            </w:pPr>
            <w:r>
              <w:rPr>
                <w:rFonts w:ascii="Times New Roman" w:hAnsi="Times New Roman"/>
                <w:sz w:val="18"/>
                <w:szCs w:val="18"/>
              </w:rPr>
              <w:t xml:space="preserve">La mutuelle du </w:t>
            </w:r>
            <w:r w:rsidR="00E82CB3">
              <w:rPr>
                <w:rFonts w:ascii="Times New Roman" w:hAnsi="Times New Roman"/>
                <w:sz w:val="18"/>
                <w:szCs w:val="18"/>
              </w:rPr>
              <w:t>delta du Saloum</w:t>
            </w:r>
            <w:r>
              <w:rPr>
                <w:rFonts w:ascii="Times New Roman" w:hAnsi="Times New Roman"/>
                <w:sz w:val="18"/>
                <w:szCs w:val="18"/>
              </w:rPr>
              <w:t xml:space="preserve"> a été renforcée pour couvrir toutes les zones du projet et atteint un volume de prêts accordés au moins équivalent à 300 millions de FCFA. Des partenariats ont été établis avec au moins une (1) mutuelle qui accorde 300 millions de FCFA dans chaque zone.</w:t>
            </w:r>
          </w:p>
        </w:tc>
        <w:tc>
          <w:tcPr>
            <w:tcW w:w="2647" w:type="dxa"/>
            <w:vMerge/>
          </w:tcPr>
          <w:p w:rsidR="00876F2E" w:rsidRPr="007F5D87" w:rsidRDefault="00876F2E" w:rsidP="00A444DE">
            <w:pPr>
              <w:jc w:val="left"/>
              <w:rPr>
                <w:bCs/>
                <w:i/>
                <w:sz w:val="18"/>
                <w:szCs w:val="18"/>
              </w:rPr>
            </w:pP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rPr>
                <w:bCs/>
                <w:i/>
                <w:sz w:val="18"/>
                <w:szCs w:val="18"/>
              </w:rPr>
            </w:pPr>
            <w:r>
              <w:rPr>
                <w:rFonts w:ascii="Times New Roman" w:hAnsi="Times New Roman"/>
                <w:b/>
                <w:sz w:val="18"/>
                <w:szCs w:val="18"/>
              </w:rPr>
              <w:t>Indicateur 6</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financements non gouvernementaux obtenus grâce à l’application des capacités des communes et des associations locales (financement supplémentaire obtenu et géré)</w:t>
            </w:r>
          </w:p>
        </w:tc>
        <w:tc>
          <w:tcPr>
            <w:tcW w:w="1843" w:type="dxa"/>
          </w:tcPr>
          <w:p w:rsidR="00876F2E" w:rsidRPr="007F5D87" w:rsidRDefault="00876F2E" w:rsidP="00A444DE">
            <w:pPr>
              <w:jc w:val="left"/>
              <w:rPr>
                <w:bCs/>
                <w:i/>
                <w:sz w:val="18"/>
                <w:szCs w:val="18"/>
              </w:rPr>
            </w:pPr>
            <w:r>
              <w:rPr>
                <w:rFonts w:ascii="Times New Roman" w:hAnsi="Times New Roman"/>
                <w:sz w:val="18"/>
                <w:szCs w:val="18"/>
              </w:rPr>
              <w:t>Parmi les 21 communes ciblées, seule la commune de Sokone a la capacité d’identifier et d’obtenir un financement non gouvernemental pour l’</w:t>
            </w:r>
            <w:r w:rsidR="00537B55">
              <w:rPr>
                <w:rFonts w:ascii="Times New Roman" w:hAnsi="Times New Roman"/>
                <w:sz w:val="18"/>
                <w:szCs w:val="18"/>
              </w:rPr>
              <w:t>adaptation aux changements climatiques</w:t>
            </w:r>
            <w:r>
              <w:rPr>
                <w:rFonts w:ascii="Times New Roman" w:hAnsi="Times New Roman"/>
                <w:sz w:val="18"/>
                <w:szCs w:val="18"/>
              </w:rPr>
              <w:t>, mais elle doit encore renforcer ses capacités de gestion financière. Les autres communes n’ont pas cette capacité. Les communes de Gandon et de Gandioul ont adopté une approche GIC avec la commune de Saint-Louis pour prendre en charge les questions environnementales. D’autres communes souhaitent créer des GIC afin d’unir leurs forces pour la prise en charge des questions environnementales et d’</w:t>
            </w:r>
            <w:r w:rsidR="00537B55">
              <w:rPr>
                <w:rFonts w:ascii="Times New Roman" w:hAnsi="Times New Roman"/>
                <w:sz w:val="18"/>
                <w:szCs w:val="18"/>
              </w:rPr>
              <w:t>adaptation aux changements climatiques</w:t>
            </w:r>
            <w:r>
              <w:rPr>
                <w:rFonts w:ascii="Times New Roman" w:hAnsi="Times New Roman"/>
                <w:sz w:val="18"/>
                <w:szCs w:val="18"/>
              </w:rPr>
              <w:t>.</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8 propositions de projets ont été rédigées et soumises par les communes ou les OSC.</w:t>
            </w:r>
          </w:p>
          <w:p w:rsidR="00876F2E" w:rsidRPr="007F5D87" w:rsidRDefault="00876F2E" w:rsidP="00A444DE">
            <w:pPr>
              <w:jc w:val="left"/>
              <w:rPr>
                <w:rFonts w:ascii="Times New Roman" w:hAnsi="Times New Roman"/>
                <w:bCs/>
                <w:sz w:val="18"/>
                <w:szCs w:val="18"/>
              </w:rPr>
            </w:pPr>
          </w:p>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2 GIC sont en cours de création.</w:t>
            </w: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Chaque commune, CIC ou association locale partenaire du conseil municipal concerné par le projet a obtenu un financement non gouvernemental pour l’</w:t>
            </w:r>
            <w:r w:rsidR="00537B55">
              <w:rPr>
                <w:rFonts w:ascii="Times New Roman" w:hAnsi="Times New Roman"/>
                <w:sz w:val="18"/>
                <w:szCs w:val="18"/>
              </w:rPr>
              <w:t>adaptation aux changements climatiques</w:t>
            </w:r>
            <w:r>
              <w:rPr>
                <w:rFonts w:ascii="Times New Roman" w:hAnsi="Times New Roman"/>
                <w:sz w:val="18"/>
                <w:szCs w:val="18"/>
              </w:rPr>
              <w:t>.</w:t>
            </w:r>
            <w:r w:rsidR="004533D6">
              <w:rPr>
                <w:rFonts w:ascii="Times New Roman" w:hAnsi="Times New Roman"/>
                <w:sz w:val="18"/>
                <w:szCs w:val="18"/>
              </w:rPr>
              <w:t xml:space="preserve">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Au moins quatre (4) GIC ont été créés afin de joindre leurs forces en faveur de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bCs/>
                <w:i/>
                <w:sz w:val="18"/>
                <w:szCs w:val="18"/>
              </w:rPr>
            </w:pPr>
            <w:r>
              <w:rPr>
                <w:rFonts w:ascii="Times New Roman" w:hAnsi="Times New Roman"/>
                <w:sz w:val="18"/>
                <w:szCs w:val="18"/>
              </w:rPr>
              <w:t>Nombre d’emplois pérennes créés pour obtenir et gérer ces fonds supplémentaires.</w:t>
            </w:r>
          </w:p>
        </w:tc>
        <w:tc>
          <w:tcPr>
            <w:tcW w:w="2647" w:type="dxa"/>
            <w:vMerge/>
          </w:tcPr>
          <w:p w:rsidR="00876F2E" w:rsidRPr="007F5D87" w:rsidRDefault="00876F2E" w:rsidP="00A444DE">
            <w:pPr>
              <w:jc w:val="left"/>
              <w:rPr>
                <w:bCs/>
                <w:i/>
                <w:sz w:val="18"/>
                <w:szCs w:val="18"/>
              </w:rPr>
            </w:pPr>
          </w:p>
        </w:tc>
      </w:tr>
      <w:tr w:rsidR="00876F2E" w:rsidRPr="007F5D87" w:rsidTr="007D305B">
        <w:trPr>
          <w:trHeight w:val="235"/>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Composante/résultat 2</w:t>
            </w:r>
          </w:p>
          <w:p w:rsidR="00876F2E" w:rsidRPr="007F5D87" w:rsidRDefault="00876F2E" w:rsidP="00A444DE">
            <w:pPr>
              <w:jc w:val="left"/>
              <w:rPr>
                <w:rFonts w:ascii="Times New Roman" w:hAnsi="Times New Roman"/>
                <w:b/>
                <w:bCs/>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Les ménages vulnérables adoptent des investissements, des pratiques de subsistance diversifiées et résilientes (ciblant les groupements de femmes) en tant que stratégies essentiel</w:t>
            </w:r>
            <w:r w:rsidR="00CC7473">
              <w:rPr>
                <w:rFonts w:ascii="Times New Roman" w:hAnsi="Times New Roman"/>
                <w:sz w:val="18"/>
                <w:szCs w:val="18"/>
              </w:rPr>
              <w:t>les</w:t>
            </w:r>
            <w:r>
              <w:rPr>
                <w:rFonts w:ascii="Times New Roman" w:hAnsi="Times New Roman"/>
                <w:sz w:val="18"/>
                <w:szCs w:val="18"/>
              </w:rPr>
              <w:t xml:space="preserve"> pour la gestion des risques climatiques.</w:t>
            </w:r>
            <w:r w:rsidR="004533D6">
              <w:rPr>
                <w:rFonts w:ascii="Times New Roman" w:hAnsi="Times New Roman"/>
                <w:sz w:val="18"/>
                <w:szCs w:val="18"/>
              </w:rPr>
              <w:t xml:space="preserve"> </w:t>
            </w:r>
          </w:p>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bCs/>
                <w:iCs/>
                <w:sz w:val="18"/>
                <w:szCs w:val="18"/>
              </w:rPr>
            </w:pPr>
            <w:r>
              <w:rPr>
                <w:rFonts w:ascii="Times New Roman" w:hAnsi="Times New Roman"/>
                <w:b/>
                <w:bCs/>
                <w:iCs/>
                <w:sz w:val="18"/>
                <w:szCs w:val="18"/>
              </w:rPr>
              <w:t>Indicateur 7</w:t>
            </w:r>
            <w:r w:rsidR="002575A2">
              <w:rPr>
                <w:rFonts w:ascii="Times New Roman" w:hAnsi="Times New Roman"/>
                <w:b/>
                <w:bCs/>
                <w:iCs/>
                <w:sz w:val="18"/>
                <w:szCs w:val="18"/>
              </w:rPr>
              <w:t> :</w:t>
            </w:r>
          </w:p>
          <w:p w:rsidR="00876F2E" w:rsidRPr="007F5D87" w:rsidRDefault="00876F2E" w:rsidP="00A444DE">
            <w:pPr>
              <w:spacing w:after="0"/>
              <w:jc w:val="left"/>
              <w:rPr>
                <w:rFonts w:ascii="Times New Roman" w:hAnsi="Times New Roman"/>
                <w:bCs/>
                <w:iCs/>
                <w:sz w:val="18"/>
                <w:szCs w:val="18"/>
              </w:rPr>
            </w:pPr>
            <w:r>
              <w:rPr>
                <w:rFonts w:ascii="Times New Roman" w:hAnsi="Times New Roman"/>
                <w:bCs/>
                <w:iCs/>
                <w:sz w:val="18"/>
                <w:szCs w:val="18"/>
              </w:rPr>
              <w:t>Investissements et pratiques résilientes (gestion durable de l’eau, production agrosylvopastorale durable, système d’alerte précoce, restauration de RNC/UP, filières agroforestières résilientes, etc.) formatés pour augmenter les revenus agricoles face aux effets actuels et futurs du changement climatique (AMAT 1.2.1.5.)</w:t>
            </w:r>
          </w:p>
          <w:p w:rsidR="00876F2E" w:rsidRPr="007F5D87" w:rsidRDefault="00876F2E" w:rsidP="00A444DE">
            <w:pPr>
              <w:jc w:val="left"/>
              <w:rPr>
                <w:rFonts w:ascii="Times New Roman" w:hAnsi="Times New Roman"/>
                <w:bCs/>
                <w:i/>
                <w:sz w:val="18"/>
                <w:szCs w:val="18"/>
              </w:rPr>
            </w:pP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Il convient de noter qu’à travers le PUDC, les villages des quatre (4) sites du projet sont équipés d’un forage. Cependant, les périmètres irrigués n’ont pas encore été créés</w:t>
            </w:r>
            <w:r w:rsidR="00D2405E">
              <w:rPr>
                <w:rFonts w:ascii="Times New Roman" w:hAnsi="Times New Roman"/>
                <w:sz w:val="18"/>
                <w:szCs w:val="18"/>
              </w:rPr>
              <w:t xml:space="preserve"> ; </w:t>
            </w:r>
            <w:r>
              <w:rPr>
                <w:rFonts w:ascii="Times New Roman" w:hAnsi="Times New Roman"/>
                <w:sz w:val="18"/>
                <w:szCs w:val="18"/>
              </w:rPr>
              <w:t xml:space="preserve">ils pourraient aider à générer davantage de revenus. </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Certains projets ont distribué du matériel génétique adapté à l’agriculture, fruit de la recherche de l’ISRA. Mais l’accès au matériel génétique est limité pour les groupements de femmes et les agriculteurs vivant dans les 15 communes ciblées par le projet. </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A444DE">
            <w:pPr>
              <w:spacing w:after="0"/>
              <w:jc w:val="left"/>
              <w:rPr>
                <w:rFonts w:ascii="Times New Roman" w:hAnsi="Times New Roman"/>
                <w:iCs/>
                <w:sz w:val="18"/>
                <w:szCs w:val="18"/>
              </w:rPr>
            </w:pPr>
            <w:r>
              <w:rPr>
                <w:rFonts w:ascii="Times New Roman" w:hAnsi="Times New Roman"/>
                <w:sz w:val="18"/>
                <w:szCs w:val="18"/>
              </w:rPr>
              <w:t>En outre, les cultures (gommiers, anacardiers, mangroves) plantées au titre du PGIES au cours des 10 dernières années arrivent progressivement à maturité et constituent une bonne solution pour la diversification des sources de revenus.</w:t>
            </w:r>
            <w:r>
              <w:rPr>
                <w:rFonts w:ascii="Times New Roman" w:hAnsi="Times New Roman"/>
                <w:iCs/>
                <w:sz w:val="18"/>
                <w:szCs w:val="18"/>
              </w:rPr>
              <w:t xml:space="preserve"> Cependant, le revenu récolté est vraiment faible par rapport à la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quantité de travail nécessaire pour produire, parce que les producteurs ignorent tout des techniques de base </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xml:space="preserve"> (par exemple, la saignée des gommiers) et la transformation.</w:t>
            </w:r>
          </w:p>
        </w:tc>
        <w:tc>
          <w:tcPr>
            <w:tcW w:w="2020"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hydrauliques</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 Au moins 10 ha de périmètres irrigués aménagés à partir de forages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20 ha de bas-fonds aménagés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20 ha de terres restaurées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 </w:t>
            </w:r>
            <w:r w:rsidR="004A36C3">
              <w:rPr>
                <w:rFonts w:ascii="Times New Roman" w:hAnsi="Times New Roman"/>
                <w:sz w:val="18"/>
                <w:szCs w:val="18"/>
              </w:rPr>
              <w:t>mares</w:t>
            </w:r>
            <w:r>
              <w:rPr>
                <w:rFonts w:ascii="Times New Roman" w:hAnsi="Times New Roman"/>
                <w:sz w:val="18"/>
                <w:szCs w:val="18"/>
              </w:rPr>
              <w:t xml:space="preserve"> creusés</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agrosylvopastoraux</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Au moins 2 000 ménages, dont 50 % de femmes, bénéficient de semences résistantes à forts rendements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300 km de pare-feu sont réalisés et le foin récolté apporte des revenus supplémentaires</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Au moins 20 % du produit de la vente augmente pour les filières de la gomme, de l’anacarde et des produits de la pêche grâce à la mise en place de moyens de subsistance alternatifs et rentables impliquant des systèmes agroforestiers et l’installation d’unités de transformation.</w:t>
            </w: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hydrauliques</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 Au moins 25 ha de périmètres irrigués aménagés à partir de forages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50 ha de bas-fonds aménagés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50 ha de terres restaurées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3 </w:t>
            </w:r>
            <w:r w:rsidR="004A36C3">
              <w:rPr>
                <w:rFonts w:ascii="Times New Roman" w:hAnsi="Times New Roman"/>
                <w:sz w:val="18"/>
                <w:szCs w:val="18"/>
              </w:rPr>
              <w:t>mares</w:t>
            </w:r>
            <w:r>
              <w:rPr>
                <w:rFonts w:ascii="Times New Roman" w:hAnsi="Times New Roman"/>
                <w:sz w:val="18"/>
                <w:szCs w:val="18"/>
              </w:rPr>
              <w:t xml:space="preserve"> creusés</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agrosylvopastoraux</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Au moins 5000 ménages, dont 50 % de femmes, bénéficient de semences résistantes à forts rendements </w:t>
            </w:r>
          </w:p>
          <w:p w:rsidR="00876F2E" w:rsidRPr="007F5D87" w:rsidRDefault="0025378A" w:rsidP="00A444DE">
            <w:pPr>
              <w:spacing w:after="0"/>
              <w:jc w:val="left"/>
              <w:rPr>
                <w:rFonts w:ascii="Times New Roman" w:hAnsi="Times New Roman"/>
                <w:sz w:val="18"/>
                <w:szCs w:val="18"/>
              </w:rPr>
            </w:pPr>
            <w:r>
              <w:rPr>
                <w:rFonts w:ascii="Times New Roman" w:hAnsi="Times New Roman"/>
                <w:sz w:val="18"/>
                <w:szCs w:val="18"/>
              </w:rPr>
              <w:t>- Au moins 800 </w:t>
            </w:r>
            <w:r w:rsidR="00876F2E">
              <w:rPr>
                <w:rFonts w:ascii="Times New Roman" w:hAnsi="Times New Roman"/>
                <w:sz w:val="18"/>
                <w:szCs w:val="18"/>
              </w:rPr>
              <w:t>km de pare-feu sont réalisés et le foin récolté apporte des revenus supplémentaires</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Au moins 50% du produit de la vente augmente pour les filières de la gomme, de l’anacarde et des produits de la pêche grâce à la mise en place de moyens de subsistance alternatifs et rentables impliquant des systèmes agroforestiers et l’installation d’unités de transformation.</w:t>
            </w:r>
          </w:p>
        </w:tc>
        <w:tc>
          <w:tcPr>
            <w:tcW w:w="2647" w:type="dxa"/>
            <w:vMerge w:val="restart"/>
          </w:tcPr>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 xml:space="preserve">Hypothèse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Existence d’une expertise nationale pour soutenir les ménages dans leurs efforts d’adaptation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Partenariat efficace avec l’ANACIM</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Participation et implication des communautés cibles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Le secteur privé est activement impliqué dans le projet. </w:t>
            </w:r>
          </w:p>
          <w:p w:rsidR="00876F2E" w:rsidRPr="00AE3BD3" w:rsidRDefault="00876F2E" w:rsidP="00A444DE">
            <w:pPr>
              <w:spacing w:after="0"/>
              <w:ind w:left="289" w:hanging="284"/>
              <w:jc w:val="left"/>
              <w:rPr>
                <w:rFonts w:ascii="Times New Roman" w:hAnsi="Times New Roman"/>
                <w:sz w:val="18"/>
                <w:szCs w:val="18"/>
                <w:u w:val="single"/>
              </w:rPr>
            </w:pPr>
          </w:p>
          <w:p w:rsidR="00876F2E" w:rsidRPr="007F5D87" w:rsidRDefault="00876F2E" w:rsidP="00A444DE">
            <w:pPr>
              <w:spacing w:after="0"/>
              <w:ind w:left="289" w:hanging="284"/>
              <w:jc w:val="left"/>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La non</w:t>
            </w:r>
            <w:r w:rsidR="00CC7473">
              <w:rPr>
                <w:sz w:val="18"/>
                <w:szCs w:val="18"/>
              </w:rPr>
              <w:t>-</w:t>
            </w:r>
            <w:r>
              <w:rPr>
                <w:sz w:val="18"/>
                <w:szCs w:val="18"/>
              </w:rPr>
              <w:t xml:space="preserve">participation du groupe cible en raison d’une mauvaise compréhension des questions de changement climatique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Les fluctuations du marché résultant de la faiblesse des ventes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Coût élevé de l’énergie utilisée pour le fonctionnement des unités de transformation</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Organisation inappropriée des groupements de producteurs et de femmes.</w:t>
            </w:r>
          </w:p>
          <w:p w:rsidR="00876F2E" w:rsidRPr="007F5D87" w:rsidRDefault="00876F2E" w:rsidP="00A444DE">
            <w:pPr>
              <w:jc w:val="left"/>
              <w:rPr>
                <w:rFonts w:ascii="Times New Roman" w:hAnsi="Times New Roman"/>
                <w:bCs/>
                <w:i/>
                <w:sz w:val="18"/>
                <w:szCs w:val="18"/>
              </w:rPr>
            </w:pPr>
          </w:p>
          <w:p w:rsidR="00876F2E" w:rsidRPr="007F5D87" w:rsidRDefault="00876F2E" w:rsidP="00A444DE">
            <w:pPr>
              <w:jc w:val="left"/>
              <w:rPr>
                <w:rFonts w:ascii="Times New Roman" w:hAnsi="Times New Roman"/>
                <w:bCs/>
                <w:i/>
                <w:sz w:val="18"/>
                <w:szCs w:val="18"/>
              </w:rPr>
            </w:pPr>
          </w:p>
          <w:p w:rsidR="00876F2E" w:rsidRPr="007F5D87" w:rsidRDefault="00876F2E" w:rsidP="00A444DE">
            <w:pPr>
              <w:jc w:val="left"/>
              <w:rPr>
                <w:rFonts w:ascii="Times New Roman" w:hAnsi="Times New Roman"/>
                <w:bCs/>
                <w:i/>
                <w:sz w:val="18"/>
                <w:szCs w:val="18"/>
              </w:rPr>
            </w:pPr>
          </w:p>
          <w:p w:rsidR="00876F2E" w:rsidRPr="00AE3BD3" w:rsidRDefault="00876F2E" w:rsidP="00A444DE">
            <w:pPr>
              <w:jc w:val="left"/>
              <w:rPr>
                <w:rFonts w:ascii="Times New Roman" w:hAnsi="Times New Roman"/>
                <w:iCs/>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Suivi et évaluation des activités. Rapports et entretiens. </w:t>
            </w:r>
          </w:p>
          <w:p w:rsidR="00876F2E" w:rsidRPr="00AE3BD3" w:rsidRDefault="00876F2E" w:rsidP="00A444DE">
            <w:pPr>
              <w:spacing w:after="0"/>
              <w:rPr>
                <w:rFonts w:ascii="Times New Roman" w:hAnsi="Times New Roman"/>
                <w:sz w:val="18"/>
                <w:szCs w:val="18"/>
              </w:rPr>
            </w:pP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-Fréquence</w:t>
            </w:r>
            <w:r w:rsidR="002575A2">
              <w:rPr>
                <w:rFonts w:ascii="Times New Roman" w:hAnsi="Times New Roman"/>
                <w:sz w:val="18"/>
                <w:szCs w:val="18"/>
              </w:rPr>
              <w:t> :</w:t>
            </w:r>
            <w:r>
              <w:rPr>
                <w:rFonts w:ascii="Times New Roman" w:hAnsi="Times New Roman"/>
                <w:sz w:val="18"/>
                <w:szCs w:val="18"/>
              </w:rPr>
              <w:t xml:space="preserve"> annuelle</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p w:rsidR="00876F2E" w:rsidRPr="007F5D87" w:rsidRDefault="00876F2E" w:rsidP="00A444DE">
            <w:pPr>
              <w:jc w:val="left"/>
              <w:rPr>
                <w:rFonts w:ascii="Times New Roman" w:hAnsi="Times New Roman"/>
                <w:bCs/>
                <w:i/>
                <w:sz w:val="18"/>
                <w:szCs w:val="18"/>
              </w:rPr>
            </w:pPr>
          </w:p>
        </w:tc>
      </w:tr>
      <w:tr w:rsidR="00876F2E" w:rsidRPr="007F5D87" w:rsidTr="007D305B">
        <w:trPr>
          <w:trHeight w:val="235"/>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sz w:val="18"/>
                <w:szCs w:val="18"/>
              </w:rPr>
            </w:pPr>
            <w:r>
              <w:rPr>
                <w:rFonts w:ascii="Times New Roman" w:hAnsi="Times New Roman"/>
                <w:b/>
                <w:sz w:val="18"/>
                <w:szCs w:val="18"/>
              </w:rPr>
              <w:t>Indicateur 8</w:t>
            </w:r>
            <w:r w:rsidR="002575A2">
              <w:rPr>
                <w:rFonts w:ascii="Times New Roman" w:hAnsi="Times New Roman"/>
                <w:b/>
                <w:sz w:val="18"/>
                <w:szCs w:val="18"/>
              </w:rPr>
              <w:t> :</w:t>
            </w:r>
          </w:p>
          <w:p w:rsidR="00876F2E" w:rsidRPr="007F5D87" w:rsidRDefault="00876F2E" w:rsidP="00A444DE">
            <w:pPr>
              <w:jc w:val="left"/>
            </w:pPr>
            <w:r>
              <w:rPr>
                <w:rFonts w:ascii="Times New Roman" w:hAnsi="Times New Roman"/>
                <w:sz w:val="18"/>
                <w:szCs w:val="18"/>
              </w:rPr>
              <w:t>Nombre de crédits renouvelables octroyés permettant le financement des microentreprises rurales ainsi que le financement des chaînes de valeur résilientes et rentables.</w:t>
            </w:r>
          </w:p>
        </w:tc>
        <w:tc>
          <w:tcPr>
            <w:tcW w:w="1843" w:type="dxa"/>
          </w:tcPr>
          <w:p w:rsidR="00876F2E" w:rsidRPr="007F5D87" w:rsidRDefault="00876F2E" w:rsidP="00A444DE">
            <w:pPr>
              <w:spacing w:after="0"/>
              <w:jc w:val="left"/>
              <w:rPr>
                <w:sz w:val="18"/>
                <w:szCs w:val="18"/>
              </w:rPr>
            </w:pPr>
            <w:r>
              <w:rPr>
                <w:rFonts w:ascii="Times New Roman" w:hAnsi="Times New Roman"/>
                <w:sz w:val="18"/>
                <w:szCs w:val="18"/>
              </w:rPr>
              <w:t>Dans le cadre du PGIES, des activités rentables ont émergé au niveau local.</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Bien qu’elles aient un fort potentiel de multiplication, ces activités restent à petite échelle.</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20 GIE/entrepreneurs sont formés à l’approche de groupement.</w:t>
            </w:r>
          </w:p>
        </w:tc>
        <w:tc>
          <w:tcPr>
            <w:tcW w:w="2403" w:type="dxa"/>
          </w:tcPr>
          <w:p w:rsidR="00876F2E" w:rsidRPr="007F5D87" w:rsidRDefault="00876F2E" w:rsidP="00A444DE">
            <w:pPr>
              <w:jc w:val="left"/>
              <w:rPr>
                <w:rFonts w:ascii="Times New Roman" w:hAnsi="Times New Roman"/>
                <w:bCs/>
                <w:i/>
                <w:sz w:val="18"/>
                <w:szCs w:val="18"/>
              </w:rPr>
            </w:pPr>
            <w:r>
              <w:rPr>
                <w:rFonts w:ascii="Times New Roman" w:hAnsi="Times New Roman"/>
                <w:iCs/>
                <w:sz w:val="18"/>
                <w:szCs w:val="18"/>
              </w:rPr>
              <w:t>Au moins 20 fonds renouvelables ont été mis en place pour des chaînes de valeur rentables. Au moins 40 microentreprises ont été créées ou ont développé leurs activités de 50 %.</w:t>
            </w:r>
          </w:p>
        </w:tc>
        <w:tc>
          <w:tcPr>
            <w:tcW w:w="2647" w:type="dxa"/>
            <w:vMerge/>
          </w:tcPr>
          <w:p w:rsidR="00876F2E" w:rsidRPr="007F5D87" w:rsidRDefault="00876F2E" w:rsidP="00A444DE">
            <w:pPr>
              <w:jc w:val="left"/>
              <w:rPr>
                <w:rFonts w:ascii="Times New Roman" w:hAnsi="Times New Roman"/>
                <w:bCs/>
                <w:i/>
                <w:sz w:val="18"/>
                <w:szCs w:val="18"/>
              </w:rPr>
            </w:pPr>
          </w:p>
        </w:tc>
      </w:tr>
      <w:tr w:rsidR="00876F2E" w:rsidRPr="007F5D87" w:rsidTr="007D305B">
        <w:trPr>
          <w:trHeight w:val="235"/>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rPr>
                <w:rFonts w:ascii="Times New Roman" w:hAnsi="Times New Roman"/>
                <w:b/>
                <w:iCs/>
                <w:sz w:val="18"/>
                <w:szCs w:val="18"/>
              </w:rPr>
            </w:pPr>
            <w:r>
              <w:rPr>
                <w:rFonts w:ascii="Times New Roman" w:hAnsi="Times New Roman"/>
                <w:b/>
                <w:iCs/>
                <w:sz w:val="18"/>
                <w:szCs w:val="18"/>
              </w:rPr>
              <w:t>Indicateur 9</w:t>
            </w:r>
            <w:r w:rsidR="002575A2">
              <w:rPr>
                <w:rFonts w:ascii="Times New Roman" w:hAnsi="Times New Roman"/>
                <w:b/>
                <w:iCs/>
                <w:sz w:val="18"/>
                <w:szCs w:val="18"/>
              </w:rPr>
              <w:t> :</w:t>
            </w:r>
          </w:p>
          <w:p w:rsidR="00876F2E" w:rsidRPr="007F5D87" w:rsidRDefault="00876F2E" w:rsidP="00A444DE">
            <w:pPr>
              <w:rPr>
                <w:rFonts w:ascii="Times New Roman" w:hAnsi="Times New Roman"/>
                <w:bCs/>
                <w:i/>
                <w:sz w:val="18"/>
                <w:szCs w:val="18"/>
              </w:rPr>
            </w:pPr>
            <w:r>
              <w:rPr>
                <w:rFonts w:ascii="Times New Roman" w:hAnsi="Times New Roman"/>
                <w:iCs/>
                <w:sz w:val="18"/>
                <w:szCs w:val="18"/>
              </w:rPr>
              <w:t>% de la population cible comprenant les effets négatifs du changement climatique et les solutions appropriées (indicateur AMAT 2.3.1.)</w:t>
            </w:r>
          </w:p>
        </w:tc>
        <w:tc>
          <w:tcPr>
            <w:tcW w:w="1843" w:type="dxa"/>
          </w:tcPr>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Moins de 10 %. En raison des projets en cours dans les quatre (4) zones du projet, certains membres du personnel des services de vulgarisation agricole, des associations rurales et des producteurs bénéficient d’une formation sur le changement climatique, mais sans aucune mention de l’adaptation. Aucun manuel facile à exploiter n’est disponible. Moins de 10 % des producteurs et des représentants de la ville ont accès à l’information météorologique. </w:t>
            </w:r>
          </w:p>
          <w:p w:rsidR="00876F2E" w:rsidRPr="007F5D87" w:rsidRDefault="00876F2E" w:rsidP="00A444DE">
            <w:pPr>
              <w:jc w:val="left"/>
              <w:rPr>
                <w:rFonts w:ascii="Times New Roman" w:hAnsi="Times New Roman"/>
                <w:bCs/>
                <w:i/>
                <w:sz w:val="18"/>
                <w:szCs w:val="18"/>
              </w:rPr>
            </w:pPr>
            <w:r>
              <w:rPr>
                <w:rFonts w:ascii="Times New Roman" w:hAnsi="Times New Roman"/>
                <w:iCs/>
                <w:sz w:val="18"/>
                <w:szCs w:val="18"/>
              </w:rPr>
              <w:t>L’un des défis majeur</w:t>
            </w:r>
            <w:r w:rsidR="00CC7473">
              <w:rPr>
                <w:rFonts w:ascii="Times New Roman" w:hAnsi="Times New Roman"/>
                <w:iCs/>
                <w:sz w:val="18"/>
                <w:szCs w:val="18"/>
              </w:rPr>
              <w:t xml:space="preserve">s </w:t>
            </w:r>
            <w:r>
              <w:rPr>
                <w:rFonts w:ascii="Times New Roman" w:hAnsi="Times New Roman"/>
                <w:iCs/>
                <w:sz w:val="18"/>
                <w:szCs w:val="18"/>
              </w:rPr>
              <w:t>qui se pose</w:t>
            </w:r>
            <w:r w:rsidR="00CC7473">
              <w:rPr>
                <w:rFonts w:ascii="Times New Roman" w:hAnsi="Times New Roman"/>
                <w:iCs/>
                <w:sz w:val="18"/>
                <w:szCs w:val="18"/>
              </w:rPr>
              <w:t xml:space="preserve">nt </w:t>
            </w:r>
            <w:r>
              <w:rPr>
                <w:rFonts w:ascii="Times New Roman" w:hAnsi="Times New Roman"/>
                <w:iCs/>
                <w:sz w:val="18"/>
                <w:szCs w:val="18"/>
              </w:rPr>
              <w:t>aux communautés, en particulier aux femmes et aux petits exploitants agricoles, est le manque d’accès à l’information qui faciliterait la planification et la gestion des risques.</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3 stations météo sont fonctionnelles.</w:t>
            </w: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Au moins 25 % des populations cibles et des agriculteurs prennent conscience des effets négatifs potentiels du changement climatique et mettent en œuvre des mesures d’adaptation appropriées.</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4533D6">
            <w:pPr>
              <w:jc w:val="left"/>
              <w:rPr>
                <w:rFonts w:ascii="Times New Roman" w:hAnsi="Times New Roman"/>
                <w:bCs/>
                <w:sz w:val="18"/>
                <w:szCs w:val="18"/>
              </w:rPr>
            </w:pPr>
            <w:r>
              <w:rPr>
                <w:rFonts w:ascii="Times New Roman" w:hAnsi="Times New Roman"/>
                <w:iCs/>
                <w:sz w:val="18"/>
                <w:szCs w:val="18"/>
              </w:rPr>
              <w:t xml:space="preserve">Au moins 2 000 ménages ont accès à l’information diffusée par les 21 communes en vue de protéger la production </w:t>
            </w:r>
            <w:r w:rsidR="004533D6">
              <w:rPr>
                <w:rFonts w:ascii="Times New Roman" w:hAnsi="Times New Roman"/>
                <w:iCs/>
                <w:sz w:val="18"/>
                <w:szCs w:val="18"/>
              </w:rPr>
              <w:t>contre les risques climatiques.</w:t>
            </w:r>
            <w:r>
              <w:rPr>
                <w:rFonts w:ascii="Times New Roman" w:hAnsi="Times New Roman"/>
                <w:iCs/>
                <w:sz w:val="18"/>
                <w:szCs w:val="18"/>
              </w:rPr>
              <w:t xml:space="preserve"> </w:t>
            </w:r>
          </w:p>
        </w:tc>
        <w:tc>
          <w:tcPr>
            <w:tcW w:w="2403" w:type="dxa"/>
          </w:tcPr>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Au m</w:t>
            </w:r>
            <w:r w:rsidR="00A72504">
              <w:rPr>
                <w:rFonts w:ascii="Times New Roman" w:hAnsi="Times New Roman"/>
                <w:iCs/>
                <w:sz w:val="18"/>
                <w:szCs w:val="18"/>
              </w:rPr>
              <w:t>oins 75 % des populations ciblées</w:t>
            </w:r>
            <w:r>
              <w:rPr>
                <w:rFonts w:ascii="Times New Roman" w:hAnsi="Times New Roman"/>
                <w:iCs/>
                <w:sz w:val="18"/>
                <w:szCs w:val="18"/>
              </w:rPr>
              <w:t xml:space="preserve"> et des agriculteurs prennent conscience des effets négatifs potentiels du changement climatique et mettent en œuvre des mesures d’adaptation appropriées.</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4533D6">
            <w:pPr>
              <w:jc w:val="left"/>
              <w:rPr>
                <w:rFonts w:ascii="Times New Roman" w:hAnsi="Times New Roman"/>
                <w:bCs/>
                <w:i/>
                <w:sz w:val="18"/>
                <w:szCs w:val="18"/>
              </w:rPr>
            </w:pPr>
            <w:r>
              <w:rPr>
                <w:rFonts w:ascii="Times New Roman" w:hAnsi="Times New Roman"/>
                <w:iCs/>
                <w:sz w:val="18"/>
                <w:szCs w:val="18"/>
              </w:rPr>
              <w:t xml:space="preserve">Au moins 5 000 ménages ont accès à l’information diffusée par les 21 communes en vue de protéger la production </w:t>
            </w:r>
            <w:r w:rsidR="004533D6">
              <w:rPr>
                <w:rFonts w:ascii="Times New Roman" w:hAnsi="Times New Roman"/>
                <w:iCs/>
                <w:sz w:val="18"/>
                <w:szCs w:val="18"/>
              </w:rPr>
              <w:t>contre les risques climatiques.</w:t>
            </w:r>
          </w:p>
        </w:tc>
        <w:tc>
          <w:tcPr>
            <w:tcW w:w="2647" w:type="dxa"/>
            <w:vMerge/>
          </w:tcPr>
          <w:p w:rsidR="00876F2E" w:rsidRPr="007F5D87" w:rsidRDefault="00876F2E" w:rsidP="00A444DE">
            <w:pPr>
              <w:jc w:val="left"/>
              <w:rPr>
                <w:rFonts w:ascii="Times New Roman" w:hAnsi="Times New Roman"/>
                <w:bCs/>
                <w:i/>
                <w:sz w:val="18"/>
                <w:szCs w:val="18"/>
              </w:rPr>
            </w:pPr>
          </w:p>
        </w:tc>
      </w:tr>
      <w:tr w:rsidR="00876F2E" w:rsidRPr="007F5D87" w:rsidTr="007D305B">
        <w:trPr>
          <w:trHeight w:val="39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iCs/>
                <w:sz w:val="18"/>
                <w:szCs w:val="18"/>
              </w:rPr>
            </w:pPr>
            <w:r>
              <w:rPr>
                <w:rFonts w:ascii="Times New Roman" w:hAnsi="Times New Roman"/>
                <w:b/>
                <w:iCs/>
                <w:sz w:val="18"/>
                <w:szCs w:val="18"/>
              </w:rPr>
              <w:t>Indicateur 10</w:t>
            </w:r>
            <w:r w:rsidR="002575A2">
              <w:rPr>
                <w:rFonts w:ascii="Times New Roman" w:hAnsi="Times New Roman"/>
                <w:b/>
                <w:iCs/>
                <w:sz w:val="18"/>
                <w:szCs w:val="18"/>
              </w:rPr>
              <w:t> :</w:t>
            </w: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Des systèmes de communication efficaces (communication institutionnelle, éducative et sociale) et des mécanismes d’apprentissage pour les niveaux communautaire, national et régional. </w:t>
            </w:r>
          </w:p>
          <w:p w:rsidR="00876F2E" w:rsidRPr="007F5D87" w:rsidRDefault="00876F2E" w:rsidP="00A444DE">
            <w:pPr>
              <w:jc w:val="left"/>
            </w:pPr>
          </w:p>
        </w:tc>
        <w:tc>
          <w:tcPr>
            <w:tcW w:w="1843" w:type="dxa"/>
          </w:tcPr>
          <w:p w:rsidR="00876F2E" w:rsidRPr="007F5D87" w:rsidRDefault="00876F2E" w:rsidP="00D2405E">
            <w:pPr>
              <w:rPr>
                <w:rFonts w:ascii="Times New Roman" w:hAnsi="Times New Roman"/>
                <w:bCs/>
                <w:iCs/>
                <w:sz w:val="18"/>
                <w:szCs w:val="18"/>
              </w:rPr>
            </w:pPr>
            <w:r>
              <w:rPr>
                <w:rFonts w:ascii="Times New Roman" w:hAnsi="Times New Roman"/>
                <w:bCs/>
                <w:iCs/>
                <w:sz w:val="18"/>
                <w:szCs w:val="18"/>
              </w:rPr>
              <w:t>Le PGIES, projet sur lequel repose cette intervention, existe depuis dix (10) ans</w:t>
            </w:r>
            <w:r w:rsidR="00D2405E">
              <w:rPr>
                <w:rFonts w:ascii="Times New Roman" w:hAnsi="Times New Roman"/>
                <w:bCs/>
                <w:iCs/>
                <w:sz w:val="18"/>
                <w:szCs w:val="18"/>
              </w:rPr>
              <w:t> ;</w:t>
            </w:r>
            <w:r>
              <w:rPr>
                <w:rFonts w:ascii="Times New Roman" w:hAnsi="Times New Roman"/>
                <w:bCs/>
                <w:iCs/>
                <w:sz w:val="18"/>
                <w:szCs w:val="18"/>
              </w:rPr>
              <w:t xml:space="preserve"> toutefois, il y a un manque de communication sur ses résultats (rapport d’évaluation, 2011). En outre, les communes et les producteurs n’ont pas accès aux manuels de bonnes pratiques d’</w:t>
            </w:r>
            <w:r w:rsidR="00537B55">
              <w:rPr>
                <w:rFonts w:ascii="Times New Roman" w:hAnsi="Times New Roman"/>
                <w:bCs/>
                <w:iCs/>
                <w:sz w:val="18"/>
                <w:szCs w:val="18"/>
              </w:rPr>
              <w:t>adaptation aux changements climatiques</w:t>
            </w:r>
            <w:r>
              <w:rPr>
                <w:rFonts w:ascii="Times New Roman" w:hAnsi="Times New Roman"/>
                <w:bCs/>
                <w:iCs/>
                <w:sz w:val="18"/>
                <w:szCs w:val="18"/>
              </w:rPr>
              <w:t xml:space="preserve">. </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 Un site Internet est fonctionnel.</w:t>
            </w:r>
          </w:p>
          <w:p w:rsidR="00876F2E" w:rsidRPr="007F5D87" w:rsidRDefault="00876F2E" w:rsidP="00A444DE">
            <w:pPr>
              <w:spacing w:after="0"/>
              <w:ind w:left="180" w:hanging="141"/>
              <w:jc w:val="left"/>
              <w:rPr>
                <w:rFonts w:ascii="Times New Roman" w:hAnsi="Times New Roman"/>
                <w:bCs/>
                <w:iCs/>
                <w:sz w:val="18"/>
                <w:szCs w:val="18"/>
              </w:rPr>
            </w:pPr>
            <w:r>
              <w:rPr>
                <w:rFonts w:ascii="Times New Roman" w:hAnsi="Times New Roman"/>
                <w:bCs/>
                <w:iCs/>
                <w:sz w:val="18"/>
                <w:szCs w:val="18"/>
              </w:rPr>
              <w:t>- Au moins 5 réunions d’échange regroupent les maires.</w:t>
            </w:r>
          </w:p>
          <w:p w:rsidR="00876F2E" w:rsidRPr="007F5D87" w:rsidRDefault="00876F2E" w:rsidP="00A444DE">
            <w:pPr>
              <w:spacing w:after="0"/>
              <w:ind w:left="180" w:hanging="141"/>
              <w:jc w:val="left"/>
              <w:rPr>
                <w:rFonts w:ascii="Times New Roman" w:hAnsi="Times New Roman"/>
                <w:bCs/>
                <w:iCs/>
                <w:sz w:val="18"/>
                <w:szCs w:val="18"/>
              </w:rPr>
            </w:pPr>
            <w:r>
              <w:rPr>
                <w:rFonts w:ascii="Times New Roman" w:hAnsi="Times New Roman"/>
                <w:bCs/>
                <w:iCs/>
                <w:sz w:val="18"/>
                <w:szCs w:val="18"/>
              </w:rPr>
              <w:t xml:space="preserve">- 500 villageois (dont 75 % de femmes) participent à des réunions d’échange sur les bonnes pratiques. </w:t>
            </w:r>
          </w:p>
          <w:p w:rsidR="00876F2E" w:rsidRPr="007F5D87" w:rsidRDefault="00876F2E" w:rsidP="00A444DE">
            <w:pPr>
              <w:jc w:val="left"/>
              <w:rPr>
                <w:rFonts w:ascii="Times New Roman" w:hAnsi="Times New Roman"/>
                <w:bCs/>
                <w:sz w:val="18"/>
                <w:szCs w:val="18"/>
              </w:rPr>
            </w:pPr>
            <w:r w:rsidRPr="00E93BDD">
              <w:rPr>
                <w:rFonts w:ascii="Times New Roman" w:hAnsi="Times New Roman"/>
                <w:bCs/>
                <w:iCs/>
                <w:sz w:val="18"/>
                <w:szCs w:val="18"/>
              </w:rPr>
              <w:t>- Rédaction de deux (2) articles (sur exposure, adaptation-undp.) à publier sur le site</w:t>
            </w:r>
          </w:p>
        </w:tc>
        <w:tc>
          <w:tcPr>
            <w:tcW w:w="2403" w:type="dxa"/>
          </w:tcPr>
          <w:p w:rsidR="00876F2E" w:rsidRPr="007F5D87" w:rsidRDefault="00876F2E" w:rsidP="00CA03E8">
            <w:pPr>
              <w:pStyle w:val="Paragraphedeliste"/>
              <w:numPr>
                <w:ilvl w:val="0"/>
                <w:numId w:val="15"/>
              </w:numPr>
              <w:ind w:left="0" w:firstLine="40"/>
              <w:contextualSpacing/>
              <w:rPr>
                <w:bCs/>
                <w:iCs/>
                <w:sz w:val="18"/>
                <w:szCs w:val="18"/>
              </w:rPr>
            </w:pPr>
            <w:r>
              <w:rPr>
                <w:bCs/>
                <w:iCs/>
                <w:sz w:val="18"/>
                <w:szCs w:val="18"/>
              </w:rPr>
              <w:t>Un film est réalisé (Français et Wolof/langue locale) sur les meilleures pratiques d’</w:t>
            </w:r>
            <w:r w:rsidR="00537B55">
              <w:rPr>
                <w:bCs/>
                <w:iCs/>
                <w:sz w:val="18"/>
                <w:szCs w:val="18"/>
              </w:rPr>
              <w:t>adaptation aux changements climatiques</w:t>
            </w:r>
            <w:r>
              <w:rPr>
                <w:bCs/>
                <w:iCs/>
                <w:sz w:val="18"/>
                <w:szCs w:val="18"/>
              </w:rPr>
              <w:t xml:space="preserve"> et est distribué dans les 21 communes et dans au moins 150 villages (projections en soirée).</w:t>
            </w:r>
          </w:p>
          <w:p w:rsidR="00876F2E" w:rsidRPr="007F5D87" w:rsidRDefault="00876F2E" w:rsidP="00A444DE">
            <w:pPr>
              <w:spacing w:after="0"/>
              <w:ind w:left="-2" w:firstLine="2"/>
              <w:jc w:val="left"/>
              <w:rPr>
                <w:rFonts w:ascii="Times New Roman" w:hAnsi="Times New Roman"/>
                <w:bCs/>
                <w:iCs/>
                <w:sz w:val="18"/>
                <w:szCs w:val="18"/>
              </w:rPr>
            </w:pPr>
            <w:r>
              <w:rPr>
                <w:rFonts w:ascii="Times New Roman" w:hAnsi="Times New Roman"/>
                <w:bCs/>
                <w:iCs/>
                <w:sz w:val="18"/>
                <w:szCs w:val="18"/>
              </w:rPr>
              <w:t>- Un manuel d’</w:t>
            </w:r>
            <w:r w:rsidR="00537B55">
              <w:rPr>
                <w:rFonts w:ascii="Times New Roman" w:hAnsi="Times New Roman"/>
                <w:bCs/>
                <w:iCs/>
                <w:sz w:val="18"/>
                <w:szCs w:val="18"/>
              </w:rPr>
              <w:t>adaptation aux changements climatiques</w:t>
            </w:r>
            <w:r>
              <w:rPr>
                <w:rFonts w:ascii="Times New Roman" w:hAnsi="Times New Roman"/>
                <w:bCs/>
                <w:iCs/>
                <w:sz w:val="18"/>
                <w:szCs w:val="18"/>
              </w:rPr>
              <w:t xml:space="preserve"> est rédigé et distribué à 5 000 ménages. </w:t>
            </w:r>
          </w:p>
          <w:p w:rsidR="00876F2E" w:rsidRPr="007F5D87" w:rsidRDefault="00876F2E" w:rsidP="00A444DE">
            <w:pPr>
              <w:spacing w:after="0"/>
              <w:jc w:val="left"/>
              <w:rPr>
                <w:rFonts w:ascii="Times New Roman" w:hAnsi="Times New Roman"/>
                <w:bCs/>
                <w:iCs/>
                <w:sz w:val="18"/>
                <w:szCs w:val="18"/>
              </w:rPr>
            </w:pPr>
            <w:r>
              <w:rPr>
                <w:rFonts w:ascii="Times New Roman" w:hAnsi="Times New Roman"/>
                <w:bCs/>
                <w:iCs/>
                <w:sz w:val="18"/>
                <w:szCs w:val="18"/>
              </w:rPr>
              <w:t>- Au moins 15 réunions d’échange regroupent les maires.</w:t>
            </w:r>
          </w:p>
          <w:p w:rsidR="00876F2E" w:rsidRPr="007F5D87" w:rsidRDefault="00876F2E" w:rsidP="00A444DE">
            <w:pPr>
              <w:spacing w:after="0"/>
              <w:ind w:firstLine="141"/>
              <w:jc w:val="left"/>
              <w:rPr>
                <w:rFonts w:ascii="Times New Roman" w:hAnsi="Times New Roman"/>
                <w:bCs/>
                <w:iCs/>
                <w:sz w:val="18"/>
                <w:szCs w:val="18"/>
              </w:rPr>
            </w:pPr>
            <w:r>
              <w:rPr>
                <w:rFonts w:ascii="Times New Roman" w:hAnsi="Times New Roman"/>
                <w:bCs/>
                <w:iCs/>
                <w:sz w:val="18"/>
                <w:szCs w:val="18"/>
              </w:rPr>
              <w:t xml:space="preserve">- 500 villageois (dont 75 % de femmes) participent à des réunions d’échange sur les bonnes pratiques. </w:t>
            </w:r>
          </w:p>
          <w:p w:rsidR="00876F2E" w:rsidRPr="007F5D87" w:rsidRDefault="00876F2E" w:rsidP="00A444DE">
            <w:pPr>
              <w:spacing w:after="0"/>
              <w:ind w:firstLine="39"/>
              <w:jc w:val="left"/>
              <w:rPr>
                <w:rFonts w:ascii="Times New Roman" w:hAnsi="Times New Roman"/>
                <w:bCs/>
                <w:iCs/>
                <w:sz w:val="18"/>
                <w:szCs w:val="18"/>
              </w:rPr>
            </w:pPr>
            <w:r>
              <w:rPr>
                <w:rFonts w:ascii="Times New Roman" w:hAnsi="Times New Roman"/>
                <w:bCs/>
                <w:iCs/>
                <w:sz w:val="18"/>
                <w:szCs w:val="18"/>
              </w:rPr>
              <w:t xml:space="preserve">- Le site Internet du projet a partagé les résultats du projet. </w:t>
            </w:r>
          </w:p>
          <w:p w:rsidR="00876F2E" w:rsidRPr="007F5D87" w:rsidRDefault="00876F2E" w:rsidP="00A444DE">
            <w:pPr>
              <w:jc w:val="left"/>
              <w:rPr>
                <w:rFonts w:ascii="Times New Roman" w:hAnsi="Times New Roman"/>
                <w:bCs/>
                <w:i/>
                <w:sz w:val="18"/>
                <w:szCs w:val="18"/>
              </w:rPr>
            </w:pPr>
            <w:r>
              <w:rPr>
                <w:rFonts w:ascii="Times New Roman" w:hAnsi="Times New Roman"/>
                <w:bCs/>
                <w:iCs/>
                <w:sz w:val="18"/>
                <w:szCs w:val="18"/>
              </w:rPr>
              <w:t xml:space="preserve">- Rédaction </w:t>
            </w:r>
            <w:r w:rsidRPr="00E93BDD">
              <w:rPr>
                <w:rFonts w:ascii="Times New Roman" w:hAnsi="Times New Roman"/>
                <w:bCs/>
                <w:iCs/>
                <w:sz w:val="18"/>
                <w:szCs w:val="18"/>
              </w:rPr>
              <w:t>de cinq (5) articles (exposure, adaptation-undp.) à publier</w:t>
            </w:r>
            <w:r>
              <w:rPr>
                <w:rFonts w:ascii="Times New Roman" w:hAnsi="Times New Roman"/>
                <w:bCs/>
                <w:iCs/>
                <w:sz w:val="18"/>
                <w:szCs w:val="18"/>
              </w:rPr>
              <w:t xml:space="preserve"> sur le site</w:t>
            </w:r>
          </w:p>
        </w:tc>
        <w:tc>
          <w:tcPr>
            <w:tcW w:w="2647" w:type="dxa"/>
            <w:vMerge/>
          </w:tcPr>
          <w:p w:rsidR="00876F2E" w:rsidRPr="007F5D87" w:rsidRDefault="00876F2E" w:rsidP="00A444DE">
            <w:pPr>
              <w:jc w:val="left"/>
              <w:rPr>
                <w:rFonts w:ascii="Times New Roman" w:hAnsi="Times New Roman"/>
                <w:bCs/>
                <w:i/>
                <w:sz w:val="18"/>
                <w:szCs w:val="18"/>
              </w:rPr>
            </w:pPr>
          </w:p>
        </w:tc>
      </w:tr>
    </w:tbl>
    <w:p w:rsidR="00876F2E" w:rsidRPr="007F5D87" w:rsidRDefault="00876F2E" w:rsidP="00876F2E">
      <w:pPr>
        <w:sectPr w:rsidR="00876F2E" w:rsidRPr="007F5D87" w:rsidSect="00A444DE">
          <w:pgSz w:w="15840" w:h="12240" w:orient="landscape" w:code="1"/>
          <w:pgMar w:top="720" w:right="720" w:bottom="720" w:left="720" w:header="720" w:footer="432" w:gutter="0"/>
          <w:cols w:space="708"/>
          <w:titlePg/>
          <w:docGrid w:linePitch="360"/>
        </w:sectPr>
      </w:pPr>
    </w:p>
    <w:p w:rsidR="00876F2E" w:rsidRPr="007F5D87" w:rsidRDefault="00876F2E" w:rsidP="00876F2E">
      <w:pPr>
        <w:pStyle w:val="Titre1"/>
        <w:spacing w:before="0" w:after="60"/>
        <w:rPr>
          <w:rFonts w:ascii="Calibri" w:hAnsi="Calibri"/>
          <w:sz w:val="32"/>
          <w:szCs w:val="28"/>
        </w:rPr>
      </w:pPr>
      <w:bookmarkStart w:id="27" w:name="_Toc443050725"/>
      <w:bookmarkStart w:id="28" w:name="_Toc338707271"/>
      <w:bookmarkStart w:id="29" w:name="_Toc338708187"/>
      <w:bookmarkStart w:id="30" w:name="_Toc339725216"/>
      <w:bookmarkStart w:id="31" w:name="_Toc496886558"/>
      <w:bookmarkStart w:id="32" w:name="_Toc498638395"/>
      <w:r>
        <w:rPr>
          <w:rFonts w:ascii="Calibri" w:hAnsi="Calibri"/>
          <w:sz w:val="32"/>
          <w:szCs w:val="28"/>
        </w:rPr>
        <w:t>Plan de suivi et évaluation (S&amp;E)</w:t>
      </w:r>
      <w:bookmarkEnd w:id="27"/>
      <w:bookmarkEnd w:id="28"/>
      <w:bookmarkEnd w:id="29"/>
      <w:bookmarkEnd w:id="30"/>
      <w:bookmarkEnd w:id="31"/>
      <w:bookmarkEnd w:id="32"/>
    </w:p>
    <w:p w:rsidR="00876F2E" w:rsidRPr="007F5D87" w:rsidRDefault="00876F2E" w:rsidP="00876F2E">
      <w:pPr>
        <w:spacing w:after="0"/>
        <w:jc w:val="left"/>
        <w:rPr>
          <w:rFonts w:ascii="Times New Roman" w:hAnsi="Times New Roman"/>
          <w:sz w:val="24"/>
          <w:szCs w:val="20"/>
        </w:rPr>
      </w:pPr>
    </w:p>
    <w:p w:rsidR="00876F2E" w:rsidRPr="007F5D87" w:rsidRDefault="00876F2E" w:rsidP="00876F2E">
      <w:pPr>
        <w:spacing w:after="0"/>
        <w:jc w:val="left"/>
        <w:rPr>
          <w:rFonts w:ascii="Times New Roman" w:hAnsi="Times New Roman"/>
          <w:sz w:val="24"/>
          <w:szCs w:val="20"/>
        </w:rPr>
      </w:pPr>
    </w:p>
    <w:p w:rsidR="00876F2E" w:rsidRPr="007F5D87" w:rsidRDefault="00876F2E" w:rsidP="00876F2E">
      <w:pPr>
        <w:pStyle w:val="NumberedParas"/>
        <w:rPr>
          <w:noProof/>
        </w:rPr>
      </w:pPr>
      <w:r>
        <w:t>Les résultats du projet, tels qu’ils sont décrits dans son cadre de résultats, feront l’objet d’un suivi annuel et d’une évaluation périodique pendant la mise en œuvre du projet afin de s’assurer qu’ils sont effectivement atteints.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suivi et évaluation au niveau du projet sera effectué conformément aux exigences standard du PNUD énoncées dans le</w:t>
      </w:r>
      <w:r w:rsidR="00E8322C">
        <w:t>s</w:t>
      </w:r>
      <w:r>
        <w:t xml:space="preserve"> </w:t>
      </w:r>
      <w:hyperlink r:id="rId27" w:history="1">
        <w:r>
          <w:rPr>
            <w:rStyle w:val="Lienhypertexte"/>
          </w:rPr>
          <w:t>Po</w:t>
        </w:r>
        <w:r w:rsidR="00BD0C63">
          <w:rPr>
            <w:rStyle w:val="Lienhypertexte"/>
          </w:rPr>
          <w:t>litiques et procédures relatives aux</w:t>
        </w:r>
        <w:r>
          <w:rPr>
            <w:rStyle w:val="Lienhypertexte"/>
          </w:rPr>
          <w:t xml:space="preserve"> </w:t>
        </w:r>
        <w:r w:rsidR="00BD0C63">
          <w:rPr>
            <w:rStyle w:val="Lienhypertexte"/>
          </w:rPr>
          <w:t>opérations et aux programmes</w:t>
        </w:r>
        <w:r>
          <w:rPr>
            <w:rStyle w:val="Lienhypertexte"/>
          </w:rPr>
          <w:t xml:space="preserve"> (</w:t>
        </w:r>
        <w:r w:rsidR="00BD0C63">
          <w:rPr>
            <w:rStyle w:val="Lienhypertexte"/>
          </w:rPr>
          <w:t>PPOP</w:t>
        </w:r>
        <w:r>
          <w:rPr>
            <w:rStyle w:val="Lienhypertexte"/>
          </w:rPr>
          <w:t>) du PNUD</w:t>
        </w:r>
      </w:hyperlink>
      <w:r>
        <w:rPr>
          <w:rStyle w:val="Lienhypertexte"/>
        </w:rPr>
        <w:t xml:space="preserve"> et la </w:t>
      </w:r>
      <w:hyperlink r:id="rId28" w:history="1">
        <w:r>
          <w:rPr>
            <w:rStyle w:val="Lienhypertexte"/>
          </w:rPr>
          <w:t>Politique d’évaluation du PNUD</w:t>
        </w:r>
      </w:hyperlink>
      <w:r>
        <w:t xml:space="preserve">. Bien que ces exigences du PNUD ne soient pas détaillées dans la présente section du document de projet, le bureau de pays du PNUD veillera à ce que les exigences du PNUD en matière de S&amp;E soient satisfaites en temps opportun et selon des normes de qualité élevées. Les exigences supplémentaires et obligatoires en matière de S&amp;E spécifiques au FEM, décrites dans la présente section, seront appliquées conformément à la </w:t>
      </w:r>
      <w:hyperlink r:id="rId29" w:history="1">
        <w:r>
          <w:rPr>
            <w:rStyle w:val="Lienhypertexte"/>
          </w:rPr>
          <w:t xml:space="preserve">politique </w:t>
        </w:r>
        <w:r w:rsidR="00CA4022">
          <w:rPr>
            <w:rStyle w:val="Lienhypertexte"/>
          </w:rPr>
          <w:t>en m</w:t>
        </w:r>
        <w:r w:rsidR="00E8322C">
          <w:rPr>
            <w:rStyle w:val="Lienhypertexte"/>
          </w:rPr>
          <w:t>atière de suivi et d’évaluation</w:t>
        </w:r>
        <w:r>
          <w:rPr>
            <w:rStyle w:val="Lienhypertexte"/>
          </w:rPr>
          <w:t xml:space="preserve"> du FEM</w:t>
        </w:r>
      </w:hyperlink>
      <w:r>
        <w:t xml:space="preserve"> et aux documents d’orientation du FEM. En plus de ces exigences obligatoires du PNUD et du FEM en matière de S&amp;E, d’autres activités de S&amp;E jugées nécessaires pour soutenir la gestion adaptative au niveau du projet, et le rôle exact des groupes cibles du projet et d’autres parties prenantes dans les activités de S&amp;E du projet, seront finalisées au cours de l’atelier de lancement et seront détaillées dans le rapport de démarrage.</w:t>
      </w:r>
    </w:p>
    <w:p w:rsidR="00876F2E" w:rsidRPr="007F5D87" w:rsidRDefault="00876F2E" w:rsidP="00876F2E">
      <w:pPr>
        <w:pStyle w:val="NumberedParas"/>
        <w:numPr>
          <w:ilvl w:val="0"/>
          <w:numId w:val="0"/>
        </w:numPr>
        <w:rPr>
          <w:noProof/>
        </w:rPr>
      </w:pPr>
    </w:p>
    <w:p w:rsidR="00876F2E" w:rsidRPr="007F5D87" w:rsidRDefault="00876F2E" w:rsidP="00876F2E">
      <w:pPr>
        <w:spacing w:after="0"/>
        <w:jc w:val="left"/>
        <w:rPr>
          <w:rFonts w:ascii="Times New Roman" w:hAnsi="Times New Roman"/>
          <w:b/>
          <w:sz w:val="24"/>
          <w:szCs w:val="20"/>
        </w:rPr>
      </w:pPr>
      <w:r>
        <w:rPr>
          <w:rFonts w:ascii="Times New Roman" w:hAnsi="Times New Roman"/>
          <w:b/>
          <w:sz w:val="24"/>
          <w:szCs w:val="20"/>
        </w:rPr>
        <w:t>Responsabilités de surveillance et de contrôle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 xml:space="preserve">La principale responsabilité de la mise en œuvre quotidienne du projet et du suivi régulier incombe au </w:t>
      </w:r>
      <w:r>
        <w:rPr>
          <w:u w:val="single"/>
        </w:rPr>
        <w:t>Coordonnateur de projet</w:t>
      </w:r>
      <w:r>
        <w:t xml:space="preserve">. Il élaborera des plans de travail annuels fondés sur le plan de travail pluriannuel figurant à l’annexe A, y compris les objectifs annuels au niveau des produits pour assurer la mise en œuvre efficace du projet. Il veillera à ce que les normes du PNUD et du FEM en matière de S&amp;E soient respectées avec le plus haut niveau de qualité. Cela comprend, entre autres, l’assurance que les indicateurs du cadre de résultats font l’objet d’un suivi annuel en temps opportun pour la présentation de rapports (c’est-à-dire, le </w:t>
      </w:r>
      <w:r w:rsidR="00FE1153">
        <w:t>REP</w:t>
      </w:r>
      <w:r>
        <w:t xml:space="preserve"> FEM) et que le </w:t>
      </w:r>
      <w:r w:rsidR="00E8322C" w:rsidRPr="00075058">
        <w:rPr>
          <w:lang w:eastAsia="fr-FR" w:bidi="fr-FR"/>
        </w:rPr>
        <w:t xml:space="preserve">Comité </w:t>
      </w:r>
      <w:r w:rsidR="00FB1AF6">
        <w:rPr>
          <w:lang w:eastAsia="fr-FR" w:bidi="fr-FR"/>
        </w:rPr>
        <w:t>de Pilotage</w:t>
      </w:r>
      <w:r w:rsidR="00FB1AF6" w:rsidRPr="00075058">
        <w:rPr>
          <w:lang w:eastAsia="fr-FR" w:bidi="fr-FR"/>
        </w:rPr>
        <w:t xml:space="preserve"> </w:t>
      </w:r>
      <w:r w:rsidR="00E8322C" w:rsidRPr="00075058">
        <w:rPr>
          <w:lang w:eastAsia="fr-FR" w:bidi="fr-FR"/>
        </w:rPr>
        <w:t>du projet</w:t>
      </w:r>
      <w:r w:rsidR="00F25222">
        <w:rPr>
          <w:lang w:eastAsia="fr-FR" w:bidi="fr-FR"/>
        </w:rPr>
        <w:t xml:space="preserve"> (C</w:t>
      </w:r>
      <w:r w:rsidR="00E8322C">
        <w:rPr>
          <w:lang w:eastAsia="fr-FR" w:bidi="fr-FR"/>
        </w:rPr>
        <w:t>P)</w:t>
      </w:r>
      <w:r>
        <w:t xml:space="preserve"> en soit informé au moins deux fois par an. Le Coordonnateur du projet informe le </w:t>
      </w:r>
      <w:r w:rsidR="00F25222">
        <w:t>C</w:t>
      </w:r>
      <w:r w:rsidR="00E8322C">
        <w:t>P</w:t>
      </w:r>
      <w:r>
        <w:t xml:space="preserve"> et le bureau de pays du PNUD de tout retard ou difficulté au fur et à mesure qu’ils surviennent pendant la mise en œuvre, y compris en ce qui concerne la mise en œuvre du plan de suivi et évaluation, afin que l’appui adéquat et les mesures correctives puissent être adoptés. Le Coordonnateur de projet veillera également à ce que tout son personnel maintienne un niveau élevé de transparence, de responsabilité et de redevabilité dans le suivi et la communication des résultats du projet.</w:t>
      </w:r>
    </w:p>
    <w:p w:rsidR="00876F2E" w:rsidRPr="007F5D87" w:rsidRDefault="00876F2E" w:rsidP="00876F2E">
      <w:pPr>
        <w:pStyle w:val="NumberedParas"/>
        <w:numPr>
          <w:ilvl w:val="0"/>
          <w:numId w:val="0"/>
        </w:numPr>
        <w:rPr>
          <w:noProof/>
        </w:rPr>
      </w:pPr>
    </w:p>
    <w:p w:rsidR="00876F2E" w:rsidRPr="007F5D87" w:rsidRDefault="00E8322C" w:rsidP="00876F2E">
      <w:pPr>
        <w:pStyle w:val="NumberedParas"/>
      </w:pPr>
      <w:r>
        <w:rPr>
          <w:u w:val="single"/>
        </w:rPr>
        <w:t xml:space="preserve">Comité </w:t>
      </w:r>
      <w:r w:rsidR="00FB1AF6">
        <w:rPr>
          <w:u w:val="single"/>
        </w:rPr>
        <w:t xml:space="preserve">de Pilotage </w:t>
      </w:r>
      <w:r w:rsidR="00876F2E">
        <w:rPr>
          <w:u w:val="single"/>
        </w:rPr>
        <w:t>du projet (</w:t>
      </w:r>
      <w:r w:rsidR="00F25222">
        <w:rPr>
          <w:u w:val="single"/>
        </w:rPr>
        <w:t>C</w:t>
      </w:r>
      <w:r>
        <w:rPr>
          <w:u w:val="single"/>
        </w:rPr>
        <w:t>P</w:t>
      </w:r>
      <w:r w:rsidR="00876F2E">
        <w:rPr>
          <w:u w:val="single"/>
        </w:rPr>
        <w:t>)</w:t>
      </w:r>
      <w:r w:rsidR="002575A2">
        <w:t> :</w:t>
      </w:r>
      <w:r w:rsidR="001B1D26">
        <w:t xml:space="preserve"> l</w:t>
      </w:r>
      <w:r w:rsidR="00AE3BD3">
        <w:t>e</w:t>
      </w:r>
      <w:r w:rsidR="00876F2E">
        <w:t xml:space="preserve"> </w:t>
      </w:r>
      <w:r w:rsidR="00F25222">
        <w:t>C</w:t>
      </w:r>
      <w:r>
        <w:t>P</w:t>
      </w:r>
      <w:r w:rsidR="00876F2E">
        <w:t xml:space="preserve"> prendra des mesures correctives au besoin pour s’assurer que le projet donne les résultats escomptés. Il pr</w:t>
      </w:r>
      <w:r w:rsidR="00AE3BD3">
        <w:t>océdera à des examens du projet</w:t>
      </w:r>
      <w:r w:rsidR="00876F2E">
        <w:t xml:space="preserve"> afin d’évaluer leur rendement et évaluera le plan de travail annuel pour l’année suivante. Au cours de la dernière année du projet, le </w:t>
      </w:r>
      <w:r w:rsidR="00F25222">
        <w:t>C</w:t>
      </w:r>
      <w:r>
        <w:t>P</w:t>
      </w:r>
      <w:r w:rsidR="00876F2E">
        <w:t xml:space="preserve"> procédera à un examen de fin de projet afin de recueillir les enseignements tirés et de discuter des possibilités de mise à l’échelle et de mettre en lumière les résultats du projet et les enseignements tirés auprès des auditoires pertinents. Cette réunion d’examen final portera également sur les constatations énoncées dans le rapport d’évaluation finale du projet et la réponse de la direction.</w:t>
      </w:r>
    </w:p>
    <w:p w:rsidR="00876F2E" w:rsidRPr="007F5D87" w:rsidRDefault="00876F2E" w:rsidP="00876F2E">
      <w:pPr>
        <w:pStyle w:val="NumberedParas"/>
        <w:numPr>
          <w:ilvl w:val="0"/>
          <w:numId w:val="0"/>
        </w:numPr>
      </w:pPr>
    </w:p>
    <w:p w:rsidR="00876F2E" w:rsidRPr="007F5D87" w:rsidRDefault="00F06548" w:rsidP="00876F2E">
      <w:pPr>
        <w:pStyle w:val="NumberedParas"/>
      </w:pPr>
      <w:r>
        <w:rPr>
          <w:u w:val="single"/>
        </w:rPr>
        <w:t>Partenaire opérationnel</w:t>
      </w:r>
      <w:r w:rsidR="00876F2E">
        <w:rPr>
          <w:u w:val="single"/>
        </w:rPr>
        <w:t xml:space="preserve"> du projet</w:t>
      </w:r>
      <w:r w:rsidR="002575A2">
        <w:t> :</w:t>
      </w:r>
      <w:r w:rsidR="004533D6">
        <w:t xml:space="preserve"> </w:t>
      </w:r>
      <w:r w:rsidR="001B1D26">
        <w:t>l</w:t>
      </w:r>
      <w:r w:rsidR="00876F2E">
        <w:t xml:space="preserve">e </w:t>
      </w:r>
      <w:r>
        <w:t>Partenaire opérationnel</w:t>
      </w:r>
      <w:r w:rsidR="00876F2E">
        <w:t xml:space="preserve"> est chargé de fournir tous les renseignements et toutes les données nécessaires pour rendre compte du projet en temps opportun, de manière exhaustive et fondée sur des données factuelles, y compris les résultats et les données financières, le cas échéant. Il prendra toutes les dispositions utiles pour que le suivi et évaluation au niveau du projet soient effectués par les instituts nationaux et alignés sur les systèmes nationaux, de sorte que les données utilisées et générées par le projet appuient les systèmes nationaux. </w:t>
      </w:r>
    </w:p>
    <w:p w:rsidR="00876F2E" w:rsidRPr="007F5D87" w:rsidRDefault="00876F2E" w:rsidP="00876F2E">
      <w:pPr>
        <w:pStyle w:val="NumberedParas"/>
        <w:numPr>
          <w:ilvl w:val="0"/>
          <w:numId w:val="0"/>
        </w:numPr>
        <w:rPr>
          <w:noProof/>
        </w:rPr>
      </w:pPr>
    </w:p>
    <w:p w:rsidR="00876F2E" w:rsidRDefault="00876F2E" w:rsidP="00876F2E">
      <w:pPr>
        <w:pStyle w:val="NumberedParas"/>
        <w:rPr>
          <w:noProof/>
        </w:rPr>
      </w:pPr>
      <w:r w:rsidRPr="009E23E7">
        <w:rPr>
          <w:u w:val="single"/>
        </w:rPr>
        <w:t xml:space="preserve">Le </w:t>
      </w:r>
      <w:r w:rsidR="001476CF">
        <w:rPr>
          <w:u w:val="single"/>
        </w:rPr>
        <w:t>b</w:t>
      </w:r>
      <w:r>
        <w:rPr>
          <w:u w:val="single"/>
        </w:rPr>
        <w:t xml:space="preserve">ureau de pays du PNUD </w:t>
      </w:r>
      <w:r>
        <w:t>appuiera le Coordonnateur du projet selon les besoins, notamment par le biais de missions annuelles de supervision. Le bureau est chargé de se conformer à toutes les exigences du PNUD en matière de S&amp;E au niveau des projets, comme indiqué dans le</w:t>
      </w:r>
      <w:r w:rsidR="00BD0C63">
        <w:t>s</w:t>
      </w:r>
      <w:r>
        <w:t xml:space="preserve"> </w:t>
      </w:r>
      <w:hyperlink r:id="rId30" w:history="1">
        <w:r w:rsidR="00BD0C63">
          <w:rPr>
            <w:rStyle w:val="Lienhypertexte"/>
          </w:rPr>
          <w:t>PPOP</w:t>
        </w:r>
        <w:r>
          <w:rPr>
            <w:rStyle w:val="Lienhypertexte"/>
          </w:rPr>
          <w:t xml:space="preserve"> du PNUD</w:t>
        </w:r>
      </w:hyperlink>
      <w:r>
        <w:rPr>
          <w:rStyle w:val="Lienhypertexte"/>
        </w:rPr>
        <w:t xml:space="preserve">. Il s’agit notamment de veiller à ce que l’évaluation de l’assurance qualité du PNUD soit entreprise chaque année pendant la mise en œuvre, des objectifs annuels définis au niveau des produits, et les systèmes du PNUD utilisés pour le suivi et l’établissement de rapports, et le PNUD mette à jour chaque année son indicateur des sexes sur la base des progrès signalés dans le </w:t>
      </w:r>
      <w:r w:rsidR="00FE1153">
        <w:rPr>
          <w:rStyle w:val="Lienhypertexte"/>
        </w:rPr>
        <w:t>REP</w:t>
      </w:r>
      <w:r>
        <w:rPr>
          <w:rStyle w:val="Lienhypertexte"/>
        </w:rPr>
        <w:t xml:space="preserve"> du FEM et le rapport annuel axé sur les résultats du PNUD. Toute préoccupation liée à la qualité signalée lors du processus doit être traitée par la direction du projet. </w:t>
      </w:r>
      <w:r>
        <w:t xml:space="preserve">Un appui supplémentaire en matière de suivi et évaluation, d’assurance qualité et de résolution des problèmes sera fourni par le </w:t>
      </w:r>
      <w:r>
        <w:rPr>
          <w:u w:val="single"/>
        </w:rPr>
        <w:t>Conseiller technique régional du PNUD-FEM</w:t>
      </w:r>
      <w:r>
        <w:t xml:space="preserve"> et le Groupe PNUD-FEM, selo</w:t>
      </w:r>
      <w:r w:rsidR="00B26A00">
        <w:t>n les besoins. Les groupes ciblé</w:t>
      </w:r>
      <w:r>
        <w:t>s du projet et les parties prenantes, y compris le point focal opérationnel du FEM, seront associés autant que possible au suivi et évaluation au niveau du projet.</w:t>
      </w:r>
    </w:p>
    <w:p w:rsidR="003F4F6D" w:rsidRPr="007F5D87" w:rsidRDefault="00E33F60" w:rsidP="00876F2E">
      <w:pPr>
        <w:pStyle w:val="NumberedParas"/>
        <w:rPr>
          <w:noProof/>
        </w:rPr>
      </w:pPr>
      <w:r>
        <w:rPr>
          <w:rFonts w:cs="Calibri"/>
        </w:rPr>
        <w:t>Le MEFP à travers la DCFE, procèdera</w:t>
      </w:r>
      <w:r w:rsidR="003F4F6D" w:rsidRPr="00155862">
        <w:rPr>
          <w:rFonts w:cs="Calibri"/>
        </w:rPr>
        <w:t xml:space="preserve"> à la fin de chaque trimestre, à la vérification des dépenses encourues par le projet</w:t>
      </w:r>
      <w:r>
        <w:rPr>
          <w:rFonts w:cs="Calibri"/>
        </w:rPr>
        <w:t xml:space="preserve"> à l’occasion de l’instruction des demandes de fonds et à un contrôle préventif dans le cadre des visites de proximité au niveau des unités de projet.</w:t>
      </w:r>
      <w:r w:rsidR="003F4F6D" w:rsidRPr="00155862">
        <w:rPr>
          <w:rFonts w:cs="Calibri"/>
        </w:rPr>
        <w:t xml:space="preserv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b/>
        </w:rPr>
        <w:t>Clause relative à l’audit</w:t>
      </w:r>
      <w:r w:rsidR="002575A2">
        <w:rPr>
          <w:b/>
        </w:rPr>
        <w:t> :</w:t>
      </w:r>
      <w:r w:rsidR="001B1D26">
        <w:t xml:space="preserve"> l</w:t>
      </w:r>
      <w:r>
        <w:t>e projet sera audité conformément au Règlement financier et aux règles de gestion financière du PNUD et aux politiques d’audit applicables.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szCs w:val="20"/>
        </w:rPr>
        <w:t>Autres exigences du FEM en matière de suivi et de rapports</w:t>
      </w:r>
      <w:r w:rsidR="002575A2">
        <w:rPr>
          <w:b/>
          <w:szCs w:val="20"/>
        </w:rPr>
        <w: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Atelier et rapport de lancement</w:t>
      </w:r>
      <w:r w:rsidR="002575A2">
        <w:t> :</w:t>
      </w:r>
      <w:r w:rsidR="001B1D26">
        <w:t xml:space="preserve"> u</w:t>
      </w:r>
      <w:r>
        <w:t>n atelier de lancement du projet aura lieu dans les deux mois suivant la signature du document de projet par toutes les parties concernées pour, entre autres</w:t>
      </w:r>
      <w:r w:rsidR="002575A2">
        <w:t> :</w:t>
      </w:r>
    </w:p>
    <w:p w:rsidR="00876F2E" w:rsidRPr="007F5D87" w:rsidRDefault="001B1D26" w:rsidP="00876F2E">
      <w:pPr>
        <w:pStyle w:val="NumberedParas"/>
        <w:numPr>
          <w:ilvl w:val="0"/>
          <w:numId w:val="0"/>
        </w:numPr>
        <w:rPr>
          <w:noProof/>
        </w:rPr>
      </w:pPr>
      <w:r>
        <w:t>a) r</w:t>
      </w:r>
      <w:r w:rsidR="00876F2E">
        <w:t>éorienter les parties prenantes vers la stratégie du projet et discuter de tout changement dans le contexte général qui influence ladite stratégie et la mise en œuvre du projet</w:t>
      </w:r>
      <w:r w:rsidR="00D2405E">
        <w:t> ;</w:t>
      </w:r>
    </w:p>
    <w:p w:rsidR="00876F2E" w:rsidRPr="007F5D87" w:rsidRDefault="001B1D26" w:rsidP="00876F2E">
      <w:pPr>
        <w:pStyle w:val="NumberedParas"/>
        <w:numPr>
          <w:ilvl w:val="0"/>
          <w:numId w:val="0"/>
        </w:numPr>
      </w:pPr>
      <w:r>
        <w:t>b) d</w:t>
      </w:r>
      <w:r w:rsidR="00876F2E">
        <w:t>iscuter des rôles et des responsabilités de l’équipe de projet, y compris les voies hiérarchiques et de communication et les mécanismes de résolution des conflits</w:t>
      </w:r>
      <w:r w:rsidR="00D2405E">
        <w:t> ;</w:t>
      </w:r>
    </w:p>
    <w:p w:rsidR="00876F2E" w:rsidRPr="007F5D87" w:rsidRDefault="001B1D26" w:rsidP="00876F2E">
      <w:pPr>
        <w:pStyle w:val="NumberedParas"/>
        <w:numPr>
          <w:ilvl w:val="0"/>
          <w:numId w:val="0"/>
        </w:numPr>
      </w:pPr>
      <w:r>
        <w:t>c) e</w:t>
      </w:r>
      <w:r w:rsidR="00876F2E">
        <w:t>xaminer le cadre de résultats et finaliser les indicateurs, les moyens de vérification et le plan de suivi</w:t>
      </w:r>
      <w:r w:rsidR="00D2405E">
        <w:t> ;</w:t>
      </w:r>
    </w:p>
    <w:p w:rsidR="00876F2E" w:rsidRPr="007F5D87" w:rsidRDefault="001B1D26" w:rsidP="00876F2E">
      <w:pPr>
        <w:pStyle w:val="NumberedParas"/>
        <w:numPr>
          <w:ilvl w:val="0"/>
          <w:numId w:val="0"/>
        </w:numPr>
      </w:pPr>
      <w:r>
        <w:t>d) d</w:t>
      </w:r>
      <w:r w:rsidR="00876F2E">
        <w:t>iscuter des rôles et responsabilités en matière d’établissement de rapports, de suivi et évaluation et finaliser le budget de S&amp;E</w:t>
      </w:r>
      <w:r w:rsidR="00D2405E">
        <w:t> ;</w:t>
      </w:r>
      <w:r w:rsidR="004533D6">
        <w:t xml:space="preserve"> </w:t>
      </w:r>
      <w:r w:rsidR="00876F2E">
        <w:t>identifier les instituts nationaux/régionaux à impliquer dans le suivi et évaluation au niveau du projet</w:t>
      </w:r>
      <w:r w:rsidR="00D2405E">
        <w:t> ;</w:t>
      </w:r>
      <w:r w:rsidR="004533D6">
        <w:t xml:space="preserve"> </w:t>
      </w:r>
      <w:r w:rsidR="00876F2E">
        <w:t>discuter du rôle du PFO FEM dans le suivi et évaluation</w:t>
      </w:r>
      <w:r w:rsidR="00D2405E">
        <w:t> ;</w:t>
      </w:r>
    </w:p>
    <w:p w:rsidR="00876F2E" w:rsidRPr="007F5D87" w:rsidRDefault="001B1D26" w:rsidP="00876F2E">
      <w:pPr>
        <w:pStyle w:val="NumberedParas"/>
        <w:numPr>
          <w:ilvl w:val="0"/>
          <w:numId w:val="0"/>
        </w:numPr>
      </w:pPr>
      <w:r>
        <w:t>e) m</w:t>
      </w:r>
      <w:r w:rsidR="00876F2E">
        <w:t>ettre à jour et examiner les responsabilités en matière de suivi des divers plans et stratégies du projet, y compris le registre des risques, le plan de gestion environnementale et sociale et d’autres mesures de sauvegarde, la stratégie d’égalité des sexes, la stratégie de gestion des connaissances et d’autres stratégies pertinentes</w:t>
      </w:r>
      <w:r w:rsidR="00D2405E">
        <w:t> ;</w:t>
      </w:r>
    </w:p>
    <w:p w:rsidR="00876F2E" w:rsidRPr="007F5D87" w:rsidRDefault="001B1D26" w:rsidP="00876F2E">
      <w:pPr>
        <w:pStyle w:val="NumberedParas"/>
        <w:numPr>
          <w:ilvl w:val="0"/>
          <w:numId w:val="0"/>
        </w:numPr>
      </w:pPr>
      <w:r>
        <w:t>f) e</w:t>
      </w:r>
      <w:r w:rsidR="00876F2E">
        <w:t>xaminer les procédures d’information financière et les exigences obligatoires et convenir des modalités de l’audit annuel, et</w:t>
      </w:r>
    </w:p>
    <w:p w:rsidR="00876F2E" w:rsidRPr="007F5D87" w:rsidRDefault="001B1D26" w:rsidP="00876F2E">
      <w:pPr>
        <w:pStyle w:val="NumberedParas"/>
        <w:numPr>
          <w:ilvl w:val="0"/>
          <w:numId w:val="0"/>
        </w:numPr>
      </w:pPr>
      <w:r>
        <w:t>g) p</w:t>
      </w:r>
      <w:r w:rsidR="00876F2E">
        <w:t xml:space="preserve">lanifier et programmer les réunions du </w:t>
      </w:r>
      <w:r w:rsidR="00E8322C">
        <w:t>CDP</w:t>
      </w:r>
      <w:r w:rsidR="00876F2E">
        <w:t xml:space="preserve"> et finaliser le plan de travail annuel de la première année.</w:t>
      </w:r>
    </w:p>
    <w:p w:rsidR="00876F2E" w:rsidRPr="007F5D87" w:rsidRDefault="00876F2E" w:rsidP="00876F2E">
      <w:pPr>
        <w:pStyle w:val="NumberedParas"/>
        <w:numPr>
          <w:ilvl w:val="0"/>
          <w:numId w:val="0"/>
        </w:numPr>
      </w:pPr>
      <w:r>
        <w:rPr>
          <w:u w:val="single"/>
        </w:rPr>
        <w:t>Le Coordonnateur du projet préparera le rapport de lancement au plus tard deux semaines après l’atelier de lancement</w:t>
      </w:r>
      <w:r>
        <w:t xml:space="preserve">. Le rapport de lancement final sera approuvé par le bureau de pays du PNUD et le Conseiller technique régional du PNUD-FEM et sera validé par le </w:t>
      </w:r>
      <w:r w:rsidR="00BF5E7B">
        <w:t>Directeur national du Projet</w:t>
      </w:r>
      <w:r>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Rapport de mise en œuvre de projet du FEM</w:t>
      </w:r>
      <w:r w:rsidR="002575A2">
        <w:t> :</w:t>
      </w:r>
      <w:r w:rsidR="001B1D26">
        <w:t xml:space="preserve"> l</w:t>
      </w:r>
      <w:r>
        <w:t xml:space="preserve">e Coordonnateur du projet, le bureau de pays du PNUD et le Conseiller technique régional PNUD-FEM apporteront une contribution objective au </w:t>
      </w:r>
      <w:r w:rsidR="00FE1153">
        <w:t>REP</w:t>
      </w:r>
      <w:r>
        <w:t xml:space="preserve"> FEM annuel pour la période de juillet (année précédente) à juin (année en cours) pour chaque année d’exécution du projet. Le Coordonnateur de projet p</w:t>
      </w:r>
      <w:r w:rsidR="00006CE3">
        <w:t>re</w:t>
      </w:r>
      <w:r>
        <w:t xml:space="preserve">ndra toutes les dispositions utiles pour que les indicateurs inclus dans le cadre des résultats du projet fassent l’objet d’un suivi annuel bien avant la date limite de soumission du </w:t>
      </w:r>
      <w:r w:rsidR="00FE1153">
        <w:t>REP</w:t>
      </w:r>
      <w:r>
        <w:t xml:space="preserve"> et qu’ils soient présentés en conséquence dans ledit rapport. Tous les risques environnementaux et sociaux et les plans de gestion connexes feront l’objet d’un suivi régulier, et les progrès seront consignés dans le </w:t>
      </w:r>
      <w:r w:rsidR="00FE1153">
        <w:t>REP</w:t>
      </w:r>
      <w:r>
        <w:t xml:space="preserve">. Le rapport qui est soumis au FEM chaque année doit également être soumis en langue anglaise et communiqué au </w:t>
      </w:r>
      <w:r w:rsidR="00E8322C">
        <w:t>CDP</w:t>
      </w:r>
      <w:r>
        <w:t xml:space="preserve">. Le bureau de pays du PNUD coordonnera la contribution du point focal opérationnel du FEM et d’autres parties prenantes au </w:t>
      </w:r>
      <w:r w:rsidR="00FE1153">
        <w:t>REP</w:t>
      </w:r>
      <w:r>
        <w:t xml:space="preserve">. La cote de qualité du </w:t>
      </w:r>
      <w:r w:rsidR="00FE1153">
        <w:t>REP</w:t>
      </w:r>
      <w:r>
        <w:t xml:space="preserve"> de l’année précédente sera utilisée pour étayer la préparation du rapport suivant. Le </w:t>
      </w:r>
      <w:r w:rsidR="00FE1153">
        <w:t>REP</w:t>
      </w:r>
      <w:r>
        <w:t xml:space="preserve"> final et le rapport d’évaluation finale du projet ainsi que la réponse de la direction correspondante serviront de rapport final du projet. Le rapport final du projet sera discuté avec le </w:t>
      </w:r>
      <w:r w:rsidR="00E8322C">
        <w:t>CDP</w:t>
      </w:r>
      <w:r>
        <w:t xml:space="preserve"> lors d’une réunion d’examen de fin de projet pour discuter des enseignements tirés et des possibilités de mise à l’échelle.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Enseignements tirés et production de connaissances</w:t>
      </w:r>
      <w:r w:rsidR="002575A2">
        <w:rPr>
          <w:u w:val="single"/>
        </w:rPr>
        <w:t> :</w:t>
      </w:r>
      <w:r w:rsidR="00AE3BD3">
        <w:rPr>
          <w:u w:val="single"/>
        </w:rPr>
        <w:t xml:space="preserve"> </w:t>
      </w:r>
      <w:r w:rsidR="001B1D26">
        <w:t>l</w:t>
      </w:r>
      <w:r w:rsidR="00AE3BD3">
        <w:t>es</w:t>
      </w:r>
      <w:r>
        <w:t xml:space="preserve"> résultats du projet seront diffusés à l’intérieur et au-delà de la zone d’intervention par le biais des réseaux et des forums d’échange d’informations existants. Le projet identifiera et participera, s’il y a lieu, à des réseaux scientifiques, politiques ou autres qui pourraient lui être utiles. Le projet identifiera, analysera et partagera les enseignements tirés qui pourraient être utiles à la conception et à la mise en œuvre de projets similaires et les diffusera largement. Il y aura un échange continu d’informations entre ce projet et d’autres de même nature dans le pays, la région et à l’échelle mondiale.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Outils de suivi des domaines d’intervention du FEM</w:t>
      </w:r>
      <w:r w:rsidR="002575A2">
        <w:t> :</w:t>
      </w:r>
      <w:r w:rsidR="001B1D26">
        <w:t xml:space="preserve"> c</w:t>
      </w:r>
      <w:r>
        <w:t xml:space="preserve">onformément à son objectif et aux domaines d’intervention/programmes correspondants du FEM, ce projet préparera le ou les outils de </w:t>
      </w:r>
      <w:r w:rsidRPr="00B0195E">
        <w:t>suivi du FEM suivants</w:t>
      </w:r>
      <w:r w:rsidR="002575A2" w:rsidRPr="00B0195E">
        <w:t> :</w:t>
      </w:r>
      <w:r w:rsidRPr="00B0195E">
        <w:t xml:space="preserve"> 1, 2, 5, 7, 10 et 13, comme convenu avec le CTR </w:t>
      </w:r>
      <w:r w:rsidR="009E23E7" w:rsidRPr="00B0195E">
        <w:t xml:space="preserve">du </w:t>
      </w:r>
      <w:r w:rsidRPr="00B0195E">
        <w:t>PNUD-FEM.</w:t>
      </w:r>
      <w:r w:rsidRPr="00B0195E">
        <w:rPr>
          <w:i/>
        </w:rPr>
        <w:t xml:space="preserve"> </w:t>
      </w:r>
      <w:r w:rsidR="00B0195E" w:rsidRPr="00B0195E">
        <w:t>Le Coordonnateur et l’</w:t>
      </w:r>
      <w:r w:rsidRPr="00B0195E">
        <w:t>équipe du projet mettront à jour le ou les outil(s) de suivi des domaines d’intervention du FEM pour l’approbation de la situation de référence/du PDG, soumis à l’appendice D, et</w:t>
      </w:r>
      <w:r>
        <w:t xml:space="preserve"> les communiqueront aux </w:t>
      </w:r>
      <w:r>
        <w:rPr>
          <w:i/>
        </w:rPr>
        <w:t>consultants chargés de l’examen à mi-parcours</w:t>
      </w:r>
      <w:r>
        <w:t xml:space="preserve"> et aux consultants chargés de l’évaluation finale avant que les missions d’</w:t>
      </w:r>
      <w:r>
        <w:rPr>
          <w:i/>
        </w:rPr>
        <w:t>examen</w:t>
      </w:r>
      <w:r>
        <w:t xml:space="preserve"> et d’évaluation requises n’aient lieu. Le ou les outils de suivi actualisés du FEM lui seront soumis en même temps que le </w:t>
      </w:r>
      <w:r>
        <w:rPr>
          <w:i/>
        </w:rPr>
        <w:t>rapport d’examen à mi-parcours</w:t>
      </w:r>
      <w:r>
        <w:t xml:space="preserve"> et le rapport d’évaluation finale.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Examen indépendant à mi-parcours</w:t>
      </w:r>
      <w:r w:rsidR="002575A2">
        <w:t> :</w:t>
      </w:r>
      <w:r w:rsidR="001B1D26">
        <w:t xml:space="preserve"> u</w:t>
      </w:r>
      <w:r w:rsidR="00AE3BD3">
        <w:t>n</w:t>
      </w:r>
      <w:r>
        <w:t xml:space="preserve"> processus indépendant d’examen à mi-parcours débutera après la soumission du deuxième </w:t>
      </w:r>
      <w:r w:rsidR="00FE1153">
        <w:t>REP</w:t>
      </w:r>
      <w:r>
        <w:t xml:space="preserve"> au FEM, et le rapport de cet examen sera soumis au FEM la même année que le troisième </w:t>
      </w:r>
      <w:r w:rsidR="00FE1153">
        <w:t>REP</w:t>
      </w:r>
      <w:r>
        <w:t xml:space="preserve">. Les conclusions de l’examen à mi-parcours et la réponse de la direction seront intégrées en tant que recommandations pour une meilleure mise en œuvre pendant la dernière moitié de la durée du projet. Le mandat, le processus et le rapport d’examen à mi-parcours suivront les modèles et directives standard établis par le BIE du PNUD pour les projets financés par le FEM et disponibles au </w:t>
      </w:r>
      <w:hyperlink r:id="rId31" w:anchor="gef" w:history="1">
        <w:r>
          <w:rPr>
            <w:rStyle w:val="Lienhypertexte"/>
            <w:szCs w:val="24"/>
          </w:rPr>
          <w:t>Centre de ressources pour les évaluations du PNUD</w:t>
        </w:r>
      </w:hyperlink>
      <w:r>
        <w:rPr>
          <w:rStyle w:val="Lienhypertexte"/>
          <w:szCs w:val="24"/>
        </w:rPr>
        <w:t xml:space="preserve"> (CRE)</w:t>
      </w:r>
      <w:r>
        <w:t xml:space="preserve">. Comme il est indiqué dans les présentes lignes directrices, l’évaluation sera « indépendante, impartiale et rigoureuse ». Les consultants qui seront embauchés pour entreprendre la mission seront indépendants des organisations qui ont participé à la conception, à l’exécution ou à l’appui-conseil du projet à évaluer. Le point focal opérationnel du FEM et d’autres parties prenantes seront associés et consultés au cours du processus d’évaluation à mi-parcours. </w:t>
      </w:r>
      <w:r w:rsidR="00182006" w:rsidRPr="009163AA">
        <w:rPr>
          <w:rFonts w:cs="Calibri"/>
        </w:rPr>
        <w:t xml:space="preserve">Ce </w:t>
      </w:r>
      <w:r w:rsidR="00182006">
        <w:rPr>
          <w:rFonts w:cs="Calibri"/>
        </w:rPr>
        <w:t>processus sera coordonné</w:t>
      </w:r>
      <w:r w:rsidR="00182006" w:rsidRPr="009163AA">
        <w:rPr>
          <w:rFonts w:cs="Calibri"/>
        </w:rPr>
        <w:t xml:space="preserve"> par </w:t>
      </w:r>
      <w:r w:rsidR="00182006" w:rsidRPr="0087468E">
        <w:rPr>
          <w:rFonts w:cs="Calibri"/>
        </w:rPr>
        <w:t xml:space="preserve">la </w:t>
      </w:r>
      <w:r w:rsidR="00182006" w:rsidRPr="00155862">
        <w:rPr>
          <w:rFonts w:cs="Calibri"/>
        </w:rPr>
        <w:t>Direction de l</w:t>
      </w:r>
      <w:r w:rsidR="00182006">
        <w:rPr>
          <w:rFonts w:cs="Calibri"/>
        </w:rPr>
        <w:t xml:space="preserve">a Coopération et des financements extérieurs (DCFE) du MEFP conformément au décret 2017-480 laquelle assurera la présidence du </w:t>
      </w:r>
      <w:r w:rsidR="00182006" w:rsidRPr="009163AA">
        <w:rPr>
          <w:rFonts w:cs="Calibri"/>
        </w:rPr>
        <w:t xml:space="preserve">Comité de pilotage institué à cet </w:t>
      </w:r>
      <w:r w:rsidR="0095214F" w:rsidRPr="009163AA">
        <w:rPr>
          <w:rFonts w:cs="Calibri"/>
        </w:rPr>
        <w:t>effet</w:t>
      </w:r>
      <w:r w:rsidR="0095214F">
        <w:t>.</w:t>
      </w:r>
      <w:r w:rsidR="00182006">
        <w:t xml:space="preserve"> </w:t>
      </w:r>
      <w:r>
        <w:t xml:space="preserve">La Direction du </w:t>
      </w:r>
      <w:r w:rsidR="009E23E7">
        <w:t>G</w:t>
      </w:r>
      <w:r w:rsidR="00182006">
        <w:t>r</w:t>
      </w:r>
      <w:r w:rsidR="009E23E7">
        <w:t xml:space="preserve">oupe </w:t>
      </w:r>
      <w:r>
        <w:t xml:space="preserve">PNUD-FEM offre un appui supplémentaire en matière d’assurance de la qualité. Le rapport final de l’examen à mi-parcours sera disponible en langue anglaise et sera approuvé par le </w:t>
      </w:r>
      <w:r w:rsidR="001476CF">
        <w:t>b</w:t>
      </w:r>
      <w:r>
        <w:t xml:space="preserve">ureau de pays du PNUD et le Conseiller technique régional du PNUD-FEM, et validé par le </w:t>
      </w:r>
      <w:r w:rsidR="003A50A5">
        <w:t>C</w:t>
      </w:r>
      <w:r w:rsidR="00E8322C">
        <w:t>P</w:t>
      </w:r>
      <w:r>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Évaluation finale</w:t>
      </w:r>
      <w:r w:rsidR="002575A2">
        <w:t> :</w:t>
      </w:r>
      <w:r w:rsidR="001B1D26">
        <w:t xml:space="preserve"> u</w:t>
      </w:r>
      <w:r w:rsidR="00AE3BD3">
        <w:t>ne</w:t>
      </w:r>
      <w:r>
        <w:t xml:space="preserve"> évaluation finale indépendante sera effectuée à l’achèvement de tous les principaux produits et activités du projet. Le processus d’évaluation finale </w:t>
      </w:r>
      <w:r w:rsidR="00182006">
        <w:t xml:space="preserve">sera conduit suivant le même procédé que l’évaluation à mi-parcours et </w:t>
      </w:r>
      <w:r>
        <w:t xml:space="preserve">commencera trois mois avant la clôture opérationnelle du projet, ce qui permettra à la mission d’évaluation de se poursuivre pendant que l’équipe du projet est encore en place, tout en veillant à ce que le projet soit suffisamment proche de son achèvement pour que l’équipe d’évaluation puisse tirer des conclusions sur des aspects clés tels que la durabilité du projet. Le Coordonnateur de projet demeurera sous contrat jusqu’à ce que le rapport d’évaluation finale et la réponse de la direction aient été finalisés. Le mandat, le processus et le rapport d’évaluation finale suivront les modèles et directives standard établis par le BIE du PNUD pour les projets financés par le FEM et disponibles au </w:t>
      </w:r>
      <w:hyperlink r:id="rId32" w:anchor="gef" w:history="1">
        <w:r>
          <w:rPr>
            <w:rStyle w:val="Lienhypertexte"/>
          </w:rPr>
          <w:t>Centre de ressources pour les évaluations du PNUD</w:t>
        </w:r>
      </w:hyperlink>
      <w:r>
        <w:rPr>
          <w:rStyle w:val="Lienhypertexte"/>
        </w:rPr>
        <w:t>.</w:t>
      </w:r>
      <w:r>
        <w:t xml:space="preserve"> Comme il est indiqué dans les présentes lignes directrices, l’évaluation sera « indépendante, impartiale et rigoureuse ». Les consultants qui seront embauchés pour entreprendre la mission seront indépendants des organisations qui ont participé à la conception, à l’exécution ou à l’appui-conseil du projet à évaluer. Le point focal opérationnel du FEM et d’autres parties prenantes seront associés et consultés au cours du processus d’évaluation finale. La Direction du </w:t>
      </w:r>
      <w:r w:rsidR="009E23E7">
        <w:t xml:space="preserve">Groupe </w:t>
      </w:r>
      <w:r>
        <w:t xml:space="preserve">PNUD-FEM offre un appui supplémentaire en matière d’assurance de la qualité. Le rapport d’évaluation finale sera approuvé par le bureau de pays du PNUD et le Conseiller technique régional du PNUD-FEM, et validé par le </w:t>
      </w:r>
      <w:r w:rsidR="003A50A5">
        <w:t>C</w:t>
      </w:r>
      <w:r w:rsidR="00E8322C">
        <w:t>P</w:t>
      </w:r>
      <w:r>
        <w:t>. Le rapport d’évaluation finale sera disponible en langue ang</w:t>
      </w:r>
      <w:r w:rsidR="00343681">
        <w:t>laise sur le site</w:t>
      </w:r>
      <w:r w:rsidR="003A53F3">
        <w:t xml:space="preserve"> du</w:t>
      </w:r>
      <w:r w:rsidR="00343681">
        <w:t xml:space="preserve"> CRE du PNUD. </w:t>
      </w:r>
    </w:p>
    <w:p w:rsidR="00876F2E" w:rsidRPr="007F5D87" w:rsidRDefault="00876F2E" w:rsidP="00876F2E">
      <w:pPr>
        <w:spacing w:after="0"/>
        <w:rPr>
          <w:rFonts w:ascii="Times New Roman" w:hAnsi="Times New Roman"/>
          <w:sz w:val="24"/>
          <w:szCs w:val="20"/>
        </w:rPr>
      </w:pPr>
      <w:r>
        <w:rPr>
          <w:rFonts w:ascii="Times New Roman" w:hAnsi="Times New Roman"/>
          <w:sz w:val="24"/>
          <w:szCs w:val="20"/>
        </w:rPr>
        <w:t>Le bureau de pays du PNUD inclura l’évaluation finale du projet dans son plan d’évaluation et publiera la version définitive du rapport d’évaluation finale en langue anglaise et la réponse de l’administration correspondante sur le site du Centre de ressources pour les évaluations du PNUD. Une fois téléchargé sur le site du CRE, le BIE du PNUD procédera à une évaluation de la qualité, validera les conclusions et les notes figurant dans le rapport d’évaluation et notera la qualité du rapport. Le rapport d’évaluation du BIE du PNUD sera transmis au BIE du FEM en même temps que le rapport d’évaluation finale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Rapport final</w:t>
      </w:r>
      <w:r w:rsidR="002575A2">
        <w:t> :</w:t>
      </w:r>
      <w:r w:rsidR="003A53F3">
        <w:t xml:space="preserve"> l</w:t>
      </w:r>
      <w:r>
        <w:t xml:space="preserve">e </w:t>
      </w:r>
      <w:r w:rsidR="00FE1153">
        <w:t>REP</w:t>
      </w:r>
      <w:r>
        <w:t xml:space="preserve"> final et le rapport d’évaluation finale du projet ainsi que la réponse de la direction correspondante serviront de rapport final du projet. Le rapport final du projet sera discuté avec le </w:t>
      </w:r>
      <w:r w:rsidR="003A50A5">
        <w:t>C</w:t>
      </w:r>
      <w:r w:rsidR="00E8322C">
        <w:t>P</w:t>
      </w:r>
      <w:r>
        <w:t xml:space="preserve"> lors d’une réunion d’examen de fin de projet pour discuter des enseignements tirés et des poss</w:t>
      </w:r>
      <w:r w:rsidR="003A53F3">
        <w:t>ibilités de mise à l’échelle.</w:t>
      </w:r>
      <w:r>
        <w:t xml:space="preserve"> </w:t>
      </w:r>
    </w:p>
    <w:p w:rsidR="00876F2E" w:rsidRDefault="00876F2E" w:rsidP="00876F2E">
      <w:pPr>
        <w:pStyle w:val="NumberedParas"/>
        <w:numPr>
          <w:ilvl w:val="0"/>
          <w:numId w:val="0"/>
        </w:numPr>
        <w:rPr>
          <w:noProof/>
          <w:sz w:val="32"/>
        </w:rPr>
      </w:pPr>
    </w:p>
    <w:p w:rsidR="003A50A5" w:rsidRDefault="003A50A5" w:rsidP="00876F2E">
      <w:pPr>
        <w:pStyle w:val="NumberedParas"/>
        <w:numPr>
          <w:ilvl w:val="0"/>
          <w:numId w:val="0"/>
        </w:numPr>
        <w:rPr>
          <w:noProof/>
          <w:sz w:val="32"/>
        </w:rPr>
      </w:pPr>
    </w:p>
    <w:p w:rsidR="003A50A5" w:rsidRPr="007F5D87" w:rsidRDefault="003A50A5" w:rsidP="00876F2E">
      <w:pPr>
        <w:pStyle w:val="NumberedParas"/>
        <w:numPr>
          <w:ilvl w:val="0"/>
          <w:numId w:val="0"/>
        </w:numPr>
        <w:rPr>
          <w:noProof/>
          <w:sz w:val="32"/>
        </w:rPr>
      </w:pPr>
    </w:p>
    <w:p w:rsidR="00876F2E" w:rsidRPr="007F5D87" w:rsidRDefault="00876F2E" w:rsidP="0087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szCs w:val="20"/>
        </w:rPr>
      </w:pPr>
      <w:r>
        <w:rPr>
          <w:rFonts w:ascii="Times New Roman" w:hAnsi="Times New Roman"/>
          <w:b/>
          <w:sz w:val="24"/>
          <w:szCs w:val="20"/>
        </w:rPr>
        <w:t>Exigences obligatoires du FEM en mat</w:t>
      </w:r>
      <w:r w:rsidR="001B1D26">
        <w:rPr>
          <w:rFonts w:ascii="Times New Roman" w:hAnsi="Times New Roman"/>
          <w:b/>
          <w:sz w:val="24"/>
          <w:szCs w:val="20"/>
        </w:rPr>
        <w:t>ière de S&amp;E et budget de S&amp;E</w:t>
      </w:r>
    </w:p>
    <w:p w:rsidR="00876F2E" w:rsidRPr="00AE3BD3" w:rsidRDefault="00876F2E" w:rsidP="00876F2E">
      <w:pPr>
        <w:pStyle w:val="NormalWeb"/>
        <w:spacing w:before="0" w:beforeAutospacing="0" w:after="0" w:afterAutospacing="0"/>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1857"/>
        <w:gridCol w:w="1308"/>
        <w:gridCol w:w="1480"/>
        <w:gridCol w:w="1612"/>
      </w:tblGrid>
      <w:tr w:rsidR="00876F2E" w:rsidRPr="007F5D87" w:rsidTr="00A444DE">
        <w:trPr>
          <w:tblHeader/>
          <w:jc w:val="center"/>
        </w:trPr>
        <w:tc>
          <w:tcPr>
            <w:tcW w:w="3145" w:type="dxa"/>
            <w:vMerge w:val="restart"/>
            <w:shd w:val="clear" w:color="auto" w:fill="BFBFBF"/>
          </w:tcPr>
          <w:p w:rsidR="00876F2E" w:rsidRPr="007F5D87" w:rsidRDefault="00876F2E" w:rsidP="00A444DE">
            <w:pPr>
              <w:jc w:val="center"/>
              <w:rPr>
                <w:rFonts w:cs="Calibri"/>
                <w:b/>
                <w:szCs w:val="20"/>
              </w:rPr>
            </w:pPr>
            <w:r>
              <w:rPr>
                <w:b/>
                <w:szCs w:val="20"/>
              </w:rPr>
              <w:t>Exigences de S&amp;E du FEM</w:t>
            </w:r>
          </w:p>
          <w:p w:rsidR="00876F2E" w:rsidRPr="007F5D87" w:rsidRDefault="00876F2E" w:rsidP="00A444DE">
            <w:pPr>
              <w:jc w:val="center"/>
              <w:rPr>
                <w:rFonts w:cs="Calibri"/>
                <w:b/>
                <w:szCs w:val="20"/>
              </w:rPr>
            </w:pPr>
          </w:p>
        </w:tc>
        <w:tc>
          <w:tcPr>
            <w:tcW w:w="1980" w:type="dxa"/>
            <w:vMerge w:val="restart"/>
            <w:shd w:val="clear" w:color="auto" w:fill="BFBFBF"/>
          </w:tcPr>
          <w:p w:rsidR="00876F2E" w:rsidRPr="007F5D87" w:rsidRDefault="00876F2E" w:rsidP="00A444DE">
            <w:pPr>
              <w:jc w:val="center"/>
              <w:rPr>
                <w:rFonts w:cs="Calibri"/>
                <w:b/>
                <w:szCs w:val="20"/>
              </w:rPr>
            </w:pPr>
            <w:r>
              <w:rPr>
                <w:b/>
                <w:szCs w:val="20"/>
              </w:rPr>
              <w:t>Responsabilité principale</w:t>
            </w:r>
          </w:p>
        </w:tc>
        <w:tc>
          <w:tcPr>
            <w:tcW w:w="2520" w:type="dxa"/>
            <w:gridSpan w:val="2"/>
            <w:shd w:val="clear" w:color="auto" w:fill="BFBFBF"/>
          </w:tcPr>
          <w:p w:rsidR="00876F2E" w:rsidRPr="007F5D87" w:rsidRDefault="00876F2E" w:rsidP="00A444DE">
            <w:pPr>
              <w:jc w:val="center"/>
              <w:rPr>
                <w:rFonts w:cs="Calibri"/>
                <w:b/>
                <w:szCs w:val="20"/>
              </w:rPr>
            </w:pPr>
            <w:r>
              <w:rPr>
                <w:b/>
                <w:szCs w:val="20"/>
              </w:rPr>
              <w:t>Coûts indicatifs à imputer au budget du projet</w:t>
            </w:r>
            <w:r w:rsidRPr="007F5D87">
              <w:rPr>
                <w:rStyle w:val="Appelnotedebasdep"/>
                <w:b/>
                <w:szCs w:val="20"/>
              </w:rPr>
              <w:footnoteReference w:id="43"/>
            </w:r>
            <w:r>
              <w:rPr>
                <w:b/>
                <w:szCs w:val="20"/>
              </w:rPr>
              <w:t xml:space="preserve"> (en dollars des États-Unis)</w:t>
            </w:r>
          </w:p>
        </w:tc>
        <w:tc>
          <w:tcPr>
            <w:tcW w:w="1705" w:type="dxa"/>
            <w:vMerge w:val="restart"/>
            <w:shd w:val="clear" w:color="auto" w:fill="BFBFBF"/>
          </w:tcPr>
          <w:p w:rsidR="00876F2E" w:rsidRPr="007F5D87" w:rsidRDefault="00876F2E" w:rsidP="00A444DE">
            <w:pPr>
              <w:jc w:val="center"/>
              <w:rPr>
                <w:rFonts w:cs="Calibri"/>
                <w:b/>
                <w:szCs w:val="20"/>
              </w:rPr>
            </w:pPr>
            <w:r>
              <w:rPr>
                <w:b/>
                <w:szCs w:val="20"/>
              </w:rPr>
              <w:t>Délai</w:t>
            </w:r>
          </w:p>
        </w:tc>
      </w:tr>
      <w:tr w:rsidR="00876F2E" w:rsidRPr="007F5D87" w:rsidTr="00A444DE">
        <w:trPr>
          <w:tblHeader/>
          <w:jc w:val="center"/>
        </w:trPr>
        <w:tc>
          <w:tcPr>
            <w:tcW w:w="3145" w:type="dxa"/>
            <w:vMerge/>
            <w:shd w:val="clear" w:color="auto" w:fill="BFBFBF"/>
          </w:tcPr>
          <w:p w:rsidR="00876F2E" w:rsidRPr="007F5D87" w:rsidRDefault="00876F2E" w:rsidP="00A444DE">
            <w:pPr>
              <w:jc w:val="left"/>
              <w:rPr>
                <w:rFonts w:cs="Calibri"/>
                <w:b/>
                <w:szCs w:val="20"/>
              </w:rPr>
            </w:pPr>
          </w:p>
        </w:tc>
        <w:tc>
          <w:tcPr>
            <w:tcW w:w="1980" w:type="dxa"/>
            <w:vMerge/>
            <w:shd w:val="clear" w:color="auto" w:fill="BFBFBF"/>
          </w:tcPr>
          <w:p w:rsidR="00876F2E" w:rsidRPr="007F5D87" w:rsidRDefault="00876F2E" w:rsidP="00A444DE">
            <w:pPr>
              <w:jc w:val="left"/>
              <w:rPr>
                <w:rFonts w:cs="Calibri"/>
                <w:b/>
                <w:szCs w:val="20"/>
              </w:rPr>
            </w:pPr>
          </w:p>
        </w:tc>
        <w:tc>
          <w:tcPr>
            <w:tcW w:w="1350" w:type="dxa"/>
            <w:shd w:val="clear" w:color="auto" w:fill="BFBFBF"/>
          </w:tcPr>
          <w:p w:rsidR="00876F2E" w:rsidRPr="007F5D87" w:rsidRDefault="00876F2E" w:rsidP="00A444DE">
            <w:pPr>
              <w:jc w:val="left"/>
              <w:rPr>
                <w:rFonts w:cs="Calibri"/>
                <w:b/>
                <w:szCs w:val="20"/>
              </w:rPr>
            </w:pPr>
            <w:r>
              <w:rPr>
                <w:b/>
                <w:szCs w:val="20"/>
              </w:rPr>
              <w:t>Subvention du FEM</w:t>
            </w:r>
          </w:p>
        </w:tc>
        <w:tc>
          <w:tcPr>
            <w:tcW w:w="1170" w:type="dxa"/>
            <w:shd w:val="clear" w:color="auto" w:fill="BFBFBF"/>
          </w:tcPr>
          <w:p w:rsidR="00876F2E" w:rsidRPr="007F5D87" w:rsidRDefault="00876F2E" w:rsidP="00A444DE">
            <w:pPr>
              <w:jc w:val="left"/>
              <w:rPr>
                <w:rFonts w:cs="Calibri"/>
                <w:b/>
                <w:szCs w:val="20"/>
              </w:rPr>
            </w:pPr>
            <w:r>
              <w:rPr>
                <w:b/>
                <w:szCs w:val="20"/>
              </w:rPr>
              <w:t>Cofinancement</w:t>
            </w:r>
          </w:p>
        </w:tc>
        <w:tc>
          <w:tcPr>
            <w:tcW w:w="1705" w:type="dxa"/>
            <w:vMerge/>
            <w:shd w:val="clear" w:color="auto" w:fill="BFBFBF"/>
          </w:tcPr>
          <w:p w:rsidR="00876F2E" w:rsidRPr="007F5D87" w:rsidRDefault="00876F2E" w:rsidP="00A444DE">
            <w:pPr>
              <w:jc w:val="left"/>
              <w:rPr>
                <w:rFonts w:cs="Calibri"/>
                <w:b/>
                <w:szCs w:val="20"/>
              </w:rPr>
            </w:pP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Atelier de lancement </w:t>
            </w:r>
          </w:p>
        </w:tc>
        <w:tc>
          <w:tcPr>
            <w:tcW w:w="1980" w:type="dxa"/>
          </w:tcPr>
          <w:p w:rsidR="00876F2E" w:rsidRPr="007F5D87" w:rsidRDefault="00876F2E" w:rsidP="00A444DE">
            <w:pPr>
              <w:jc w:val="left"/>
              <w:rPr>
                <w:rFonts w:cs="Calibri"/>
                <w:sz w:val="18"/>
                <w:szCs w:val="18"/>
              </w:rPr>
            </w:pPr>
            <w:r>
              <w:rPr>
                <w:sz w:val="18"/>
                <w:szCs w:val="18"/>
              </w:rPr>
              <w:t xml:space="preserve">Bureau de pays du PNUD </w:t>
            </w:r>
          </w:p>
        </w:tc>
        <w:tc>
          <w:tcPr>
            <w:tcW w:w="1350" w:type="dxa"/>
          </w:tcPr>
          <w:p w:rsidR="00876F2E" w:rsidRPr="007F5D87" w:rsidRDefault="00876F2E" w:rsidP="00A444DE">
            <w:pPr>
              <w:jc w:val="left"/>
              <w:rPr>
                <w:rFonts w:cs="Calibri"/>
                <w:sz w:val="18"/>
                <w:szCs w:val="18"/>
              </w:rPr>
            </w:pPr>
            <w:r>
              <w:rPr>
                <w:sz w:val="18"/>
                <w:szCs w:val="18"/>
              </w:rPr>
              <w:t>11 000 USD</w:t>
            </w:r>
          </w:p>
        </w:tc>
        <w:tc>
          <w:tcPr>
            <w:tcW w:w="1170" w:type="dxa"/>
          </w:tcPr>
          <w:p w:rsidR="00876F2E" w:rsidRPr="007F5D87" w:rsidRDefault="00876F2E" w:rsidP="00A444DE">
            <w:pPr>
              <w:jc w:val="left"/>
              <w:rPr>
                <w:rFonts w:cs="Calibri"/>
                <w:i/>
                <w:sz w:val="18"/>
                <w:szCs w:val="18"/>
              </w:rPr>
            </w:pPr>
          </w:p>
        </w:tc>
        <w:tc>
          <w:tcPr>
            <w:tcW w:w="1705" w:type="dxa"/>
          </w:tcPr>
          <w:p w:rsidR="00876F2E" w:rsidRPr="007F5D87" w:rsidRDefault="00876F2E" w:rsidP="00A444DE">
            <w:pPr>
              <w:jc w:val="left"/>
              <w:rPr>
                <w:rFonts w:cs="Calibri"/>
                <w:sz w:val="18"/>
                <w:szCs w:val="18"/>
              </w:rPr>
            </w:pPr>
            <w:r>
              <w:rPr>
                <w:sz w:val="18"/>
                <w:szCs w:val="18"/>
              </w:rPr>
              <w:t xml:space="preserve">Dans les deux mois suivant la signature du document de projet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Rapport de lancement</w:t>
            </w:r>
          </w:p>
        </w:tc>
        <w:tc>
          <w:tcPr>
            <w:tcW w:w="1980" w:type="dxa"/>
          </w:tcPr>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sz w:val="18"/>
                <w:szCs w:val="18"/>
              </w:rPr>
            </w:pPr>
            <w:r>
              <w:rPr>
                <w:sz w:val="18"/>
                <w:szCs w:val="18"/>
              </w:rPr>
              <w:t>Aucun</w:t>
            </w:r>
          </w:p>
        </w:tc>
        <w:tc>
          <w:tcPr>
            <w:tcW w:w="1170" w:type="dxa"/>
          </w:tcPr>
          <w:p w:rsidR="00876F2E" w:rsidRPr="007F5D87" w:rsidRDefault="00876F2E" w:rsidP="00A444DE">
            <w:pPr>
              <w:jc w:val="left"/>
              <w:rPr>
                <w:rFonts w:cs="Calibri"/>
                <w:sz w:val="18"/>
                <w:szCs w:val="18"/>
              </w:rPr>
            </w:pPr>
            <w:r>
              <w:rPr>
                <w:sz w:val="18"/>
                <w:szCs w:val="18"/>
              </w:rPr>
              <w:t>Aucun</w:t>
            </w:r>
          </w:p>
        </w:tc>
        <w:tc>
          <w:tcPr>
            <w:tcW w:w="1705" w:type="dxa"/>
          </w:tcPr>
          <w:p w:rsidR="00876F2E" w:rsidRPr="007F5D87" w:rsidRDefault="00876F2E" w:rsidP="00A444DE">
            <w:pPr>
              <w:jc w:val="left"/>
              <w:rPr>
                <w:rFonts w:cs="Calibri"/>
                <w:sz w:val="18"/>
                <w:szCs w:val="18"/>
              </w:rPr>
            </w:pPr>
            <w:r>
              <w:rPr>
                <w:sz w:val="18"/>
                <w:szCs w:val="18"/>
              </w:rPr>
              <w:t>Dans les deux semaines suivant l’atelier de lancement</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Exigences standard du PNUD en matière de suivi et d’établissement de rapports, telles qu’elles sont énoncées dans le</w:t>
            </w:r>
            <w:r w:rsidR="00BD0C63">
              <w:rPr>
                <w:b/>
                <w:sz w:val="18"/>
                <w:szCs w:val="18"/>
              </w:rPr>
              <w:t>s</w:t>
            </w:r>
            <w:r>
              <w:rPr>
                <w:b/>
                <w:sz w:val="18"/>
                <w:szCs w:val="18"/>
              </w:rPr>
              <w:t xml:space="preserve"> </w:t>
            </w:r>
            <w:r w:rsidR="00BD0C63">
              <w:rPr>
                <w:b/>
                <w:sz w:val="18"/>
                <w:szCs w:val="18"/>
              </w:rPr>
              <w:t>PPOP</w:t>
            </w:r>
            <w:r>
              <w:rPr>
                <w:b/>
                <w:sz w:val="18"/>
                <w:szCs w:val="18"/>
              </w:rPr>
              <w:t xml:space="preserve"> du PNUD</w:t>
            </w:r>
          </w:p>
        </w:tc>
        <w:tc>
          <w:tcPr>
            <w:tcW w:w="1980" w:type="dxa"/>
          </w:tcPr>
          <w:p w:rsidR="00876F2E" w:rsidRPr="007F5D87" w:rsidRDefault="00876F2E" w:rsidP="00A444DE">
            <w:pPr>
              <w:jc w:val="left"/>
              <w:rPr>
                <w:rFonts w:cs="Calibri"/>
                <w:sz w:val="18"/>
                <w:szCs w:val="18"/>
              </w:rPr>
            </w:pPr>
            <w:r>
              <w:rPr>
                <w:sz w:val="18"/>
                <w:szCs w:val="18"/>
              </w:rPr>
              <w:t>Bureau de pays du PNUD</w:t>
            </w:r>
          </w:p>
          <w:p w:rsidR="00876F2E" w:rsidRPr="007F5D87" w:rsidRDefault="00876F2E" w:rsidP="00A444DE">
            <w:pPr>
              <w:jc w:val="left"/>
              <w:rPr>
                <w:rFonts w:cs="Calibri"/>
                <w:b/>
                <w:sz w:val="18"/>
                <w:szCs w:val="18"/>
              </w:rPr>
            </w:pPr>
          </w:p>
        </w:tc>
        <w:tc>
          <w:tcPr>
            <w:tcW w:w="1350" w:type="dxa"/>
          </w:tcPr>
          <w:p w:rsidR="00876F2E" w:rsidRPr="007F5D87" w:rsidRDefault="00876F2E" w:rsidP="00A444DE">
            <w:pPr>
              <w:jc w:val="left"/>
              <w:rPr>
                <w:rFonts w:cs="Calibri"/>
                <w:sz w:val="18"/>
                <w:szCs w:val="18"/>
              </w:rPr>
            </w:pPr>
            <w:r>
              <w:rPr>
                <w:sz w:val="18"/>
                <w:szCs w:val="18"/>
              </w:rPr>
              <w:t>Aucun</w:t>
            </w:r>
          </w:p>
        </w:tc>
        <w:tc>
          <w:tcPr>
            <w:tcW w:w="1170" w:type="dxa"/>
          </w:tcPr>
          <w:p w:rsidR="00876F2E" w:rsidRPr="007F5D87" w:rsidRDefault="00876F2E" w:rsidP="00A444DE">
            <w:pPr>
              <w:jc w:val="left"/>
              <w:rPr>
                <w:rFonts w:cs="Calibri"/>
                <w:sz w:val="18"/>
                <w:szCs w:val="18"/>
              </w:rPr>
            </w:pPr>
            <w:r>
              <w:rPr>
                <w:sz w:val="18"/>
                <w:szCs w:val="18"/>
              </w:rPr>
              <w:t>Aucun</w:t>
            </w:r>
          </w:p>
        </w:tc>
        <w:tc>
          <w:tcPr>
            <w:tcW w:w="1705" w:type="dxa"/>
          </w:tcPr>
          <w:p w:rsidR="00876F2E" w:rsidRPr="007F5D87" w:rsidRDefault="00876F2E" w:rsidP="00A444DE">
            <w:pPr>
              <w:jc w:val="left"/>
              <w:rPr>
                <w:rFonts w:cs="Calibri"/>
                <w:sz w:val="18"/>
                <w:szCs w:val="18"/>
              </w:rPr>
            </w:pPr>
            <w:r>
              <w:rPr>
                <w:sz w:val="18"/>
                <w:szCs w:val="18"/>
              </w:rPr>
              <w:t>Trimestriel, annuel</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Suivi des indicateurs du cadre des résultats du projet</w:t>
            </w:r>
          </w:p>
        </w:tc>
        <w:tc>
          <w:tcPr>
            <w:tcW w:w="1980" w:type="dxa"/>
          </w:tcPr>
          <w:p w:rsidR="00876F2E" w:rsidRPr="007F5D87" w:rsidRDefault="00876F2E" w:rsidP="00A444DE">
            <w:pPr>
              <w:jc w:val="left"/>
              <w:rPr>
                <w:rFonts w:cs="Calibri"/>
                <w:sz w:val="18"/>
                <w:szCs w:val="18"/>
              </w:rPr>
            </w:pPr>
            <w:r>
              <w:rPr>
                <w:sz w:val="18"/>
                <w:szCs w:val="18"/>
              </w:rPr>
              <w:t>Gestionnaire de projet</w:t>
            </w:r>
          </w:p>
          <w:p w:rsidR="00876F2E" w:rsidRPr="007F5D87" w:rsidRDefault="00876F2E" w:rsidP="00A444DE">
            <w:pPr>
              <w:jc w:val="left"/>
              <w:rPr>
                <w:rFonts w:cs="Calibri"/>
                <w:sz w:val="18"/>
                <w:szCs w:val="18"/>
              </w:rPr>
            </w:pPr>
          </w:p>
        </w:tc>
        <w:tc>
          <w:tcPr>
            <w:tcW w:w="135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Par an</w:t>
            </w:r>
            <w:r w:rsidR="002575A2">
              <w:rPr>
                <w:rFonts w:ascii="Calibri" w:hAnsi="Calibri"/>
                <w:snapToGrid/>
                <w:sz w:val="18"/>
                <w:szCs w:val="18"/>
              </w:rPr>
              <w:t> :</w:t>
            </w:r>
            <w:r>
              <w:rPr>
                <w:rFonts w:ascii="Calibri" w:hAnsi="Calibri"/>
                <w:snapToGrid/>
                <w:sz w:val="18"/>
                <w:szCs w:val="18"/>
              </w:rPr>
              <w:t xml:space="preserve"> 4 000 USD</w:t>
            </w:r>
          </w:p>
        </w:tc>
        <w:tc>
          <w:tcPr>
            <w:tcW w:w="1170" w:type="dxa"/>
          </w:tcPr>
          <w:p w:rsidR="00876F2E" w:rsidRPr="007F5D87" w:rsidRDefault="00876F2E" w:rsidP="00A444DE">
            <w:pPr>
              <w:pStyle w:val="BodyText23"/>
              <w:widowControl/>
              <w:tabs>
                <w:tab w:val="clear" w:pos="547"/>
              </w:tabs>
              <w:spacing w:after="60"/>
              <w:rPr>
                <w:rFonts w:ascii="Calibri" w:hAnsi="Calibri" w:cs="Calibri"/>
                <w:i/>
                <w:snapToGrid/>
                <w:sz w:val="18"/>
                <w:szCs w:val="18"/>
              </w:rPr>
            </w:pPr>
            <w:r>
              <w:rPr>
                <w:rFonts w:ascii="Calibri" w:hAnsi="Calibri"/>
                <w:i/>
                <w:sz w:val="18"/>
                <w:szCs w:val="18"/>
              </w:rPr>
              <w:t>PNUD</w:t>
            </w:r>
          </w:p>
        </w:tc>
        <w:tc>
          <w:tcPr>
            <w:tcW w:w="1705" w:type="dxa"/>
          </w:tcPr>
          <w:p w:rsidR="00876F2E" w:rsidRPr="007F5D87" w:rsidRDefault="00876F2E" w:rsidP="00A444DE">
            <w:pPr>
              <w:jc w:val="left"/>
              <w:rPr>
                <w:rFonts w:cs="Calibri"/>
                <w:sz w:val="18"/>
                <w:szCs w:val="18"/>
              </w:rPr>
            </w:pPr>
            <w:r>
              <w:rPr>
                <w:sz w:val="18"/>
                <w:szCs w:val="18"/>
              </w:rPr>
              <w:t xml:space="preserve">Annuel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Rapport de mise en œuvre du projet du FEM </w:t>
            </w:r>
          </w:p>
        </w:tc>
        <w:tc>
          <w:tcPr>
            <w:tcW w:w="1980" w:type="dxa"/>
          </w:tcPr>
          <w:p w:rsidR="00876F2E" w:rsidRPr="007F5D87" w:rsidRDefault="001476CF" w:rsidP="00A444DE">
            <w:pPr>
              <w:jc w:val="left"/>
              <w:rPr>
                <w:rFonts w:cs="Calibri"/>
                <w:sz w:val="18"/>
                <w:szCs w:val="18"/>
              </w:rPr>
            </w:pPr>
            <w:r>
              <w:rPr>
                <w:sz w:val="18"/>
                <w:szCs w:val="18"/>
              </w:rPr>
              <w:t>Gestionnaire de projet, b</w:t>
            </w:r>
            <w:r w:rsidR="00876F2E">
              <w:rPr>
                <w:sz w:val="18"/>
                <w:szCs w:val="18"/>
              </w:rPr>
              <w:t>ureau de pays du PNUD et équipe PNUD-FEM</w:t>
            </w:r>
          </w:p>
        </w:tc>
        <w:tc>
          <w:tcPr>
            <w:tcW w:w="135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Aucun</w:t>
            </w:r>
          </w:p>
        </w:tc>
        <w:tc>
          <w:tcPr>
            <w:tcW w:w="117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Aucun</w:t>
            </w:r>
          </w:p>
        </w:tc>
        <w:tc>
          <w:tcPr>
            <w:tcW w:w="1705" w:type="dxa"/>
          </w:tcPr>
          <w:p w:rsidR="00876F2E" w:rsidRPr="007F5D87" w:rsidRDefault="00876F2E" w:rsidP="00A444DE">
            <w:pPr>
              <w:jc w:val="left"/>
              <w:rPr>
                <w:rFonts w:cs="Calibri"/>
                <w:sz w:val="18"/>
                <w:szCs w:val="18"/>
              </w:rPr>
            </w:pPr>
            <w:r>
              <w:rPr>
                <w:sz w:val="18"/>
                <w:szCs w:val="18"/>
              </w:rPr>
              <w:t xml:space="preserve">Annuel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Audit NIM selon les politiques d’audit du PNUD</w:t>
            </w:r>
          </w:p>
        </w:tc>
        <w:tc>
          <w:tcPr>
            <w:tcW w:w="1980" w:type="dxa"/>
          </w:tcPr>
          <w:p w:rsidR="00876F2E" w:rsidRPr="007F5D87" w:rsidRDefault="00876F2E" w:rsidP="00A444DE">
            <w:pPr>
              <w:jc w:val="left"/>
              <w:rPr>
                <w:rFonts w:cs="Calibri"/>
                <w:sz w:val="18"/>
                <w:szCs w:val="18"/>
              </w:rPr>
            </w:pPr>
            <w:r>
              <w:rPr>
                <w:sz w:val="18"/>
                <w:szCs w:val="18"/>
              </w:rPr>
              <w:t>Bureau de pays du PNUD</w:t>
            </w:r>
          </w:p>
        </w:tc>
        <w:tc>
          <w:tcPr>
            <w:tcW w:w="1350" w:type="dxa"/>
          </w:tcPr>
          <w:p w:rsidR="00876F2E" w:rsidRPr="007F5D87" w:rsidRDefault="00876F2E" w:rsidP="00A444DE">
            <w:pPr>
              <w:jc w:val="left"/>
              <w:rPr>
                <w:rFonts w:cs="Calibri"/>
                <w:sz w:val="18"/>
                <w:szCs w:val="18"/>
              </w:rPr>
            </w:pPr>
            <w:r>
              <w:rPr>
                <w:sz w:val="18"/>
                <w:szCs w:val="18"/>
              </w:rPr>
              <w:t>Par an</w:t>
            </w:r>
            <w:r w:rsidR="002575A2">
              <w:rPr>
                <w:sz w:val="18"/>
                <w:szCs w:val="18"/>
              </w:rPr>
              <w:t> :</w:t>
            </w:r>
            <w:r>
              <w:rPr>
                <w:sz w:val="18"/>
                <w:szCs w:val="18"/>
              </w:rPr>
              <w:t xml:space="preserve"> 3 000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Fréquence annuelle ou autre selon les politiques d’audit du PNUD</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Enseignements tirés et production de connaissances</w:t>
            </w:r>
          </w:p>
        </w:tc>
        <w:tc>
          <w:tcPr>
            <w:tcW w:w="1980" w:type="dxa"/>
          </w:tcPr>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sz w:val="18"/>
                <w:szCs w:val="18"/>
              </w:rPr>
            </w:pPr>
            <w:r>
              <w:rPr>
                <w:i/>
                <w:sz w:val="18"/>
                <w:szCs w:val="18"/>
              </w:rPr>
              <w:t>Inclure le produit 2.4</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Annuel</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Suivi des risques environnementaux et sociaux et plans de gestion correspondants, le cas échéant</w:t>
            </w:r>
          </w:p>
        </w:tc>
        <w:tc>
          <w:tcPr>
            <w:tcW w:w="1980" w:type="dxa"/>
          </w:tcPr>
          <w:p w:rsidR="00876F2E" w:rsidRPr="007F5D87" w:rsidRDefault="00876F2E" w:rsidP="00A444DE">
            <w:pPr>
              <w:jc w:val="left"/>
              <w:rPr>
                <w:rFonts w:cs="Calibri"/>
                <w:sz w:val="18"/>
                <w:szCs w:val="18"/>
              </w:rPr>
            </w:pPr>
            <w:r>
              <w:rPr>
                <w:sz w:val="18"/>
                <w:szCs w:val="18"/>
              </w:rPr>
              <w:t>Gestionnaire de projet</w:t>
            </w:r>
          </w:p>
          <w:p w:rsidR="00876F2E" w:rsidRPr="007F5D87" w:rsidRDefault="00876F2E" w:rsidP="00A444DE">
            <w:pPr>
              <w:jc w:val="left"/>
              <w:rPr>
                <w:rFonts w:cs="Calibri"/>
                <w:sz w:val="18"/>
                <w:szCs w:val="18"/>
              </w:rPr>
            </w:pPr>
            <w:r>
              <w:rPr>
                <w:sz w:val="18"/>
                <w:szCs w:val="18"/>
              </w:rPr>
              <w:t>BP du PNUD</w:t>
            </w:r>
          </w:p>
        </w:tc>
        <w:tc>
          <w:tcPr>
            <w:tcW w:w="1350" w:type="dxa"/>
          </w:tcPr>
          <w:p w:rsidR="00876F2E" w:rsidRPr="007F5D87" w:rsidRDefault="00876F2E" w:rsidP="00A444DE">
            <w:pPr>
              <w:jc w:val="left"/>
              <w:rPr>
                <w:rFonts w:cs="Calibri"/>
                <w:i/>
                <w:sz w:val="18"/>
                <w:szCs w:val="18"/>
              </w:rPr>
            </w:pPr>
            <w:r>
              <w:rPr>
                <w:i/>
                <w:sz w:val="18"/>
                <w:szCs w:val="18"/>
              </w:rPr>
              <w:t>Aucun</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Permanent</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Réunions du </w:t>
            </w:r>
            <w:r w:rsidR="00E8322C">
              <w:rPr>
                <w:b/>
                <w:sz w:val="18"/>
                <w:szCs w:val="18"/>
              </w:rPr>
              <w:t>CDP</w:t>
            </w:r>
            <w:r>
              <w:rPr>
                <w:b/>
                <w:sz w:val="18"/>
                <w:szCs w:val="18"/>
              </w:rPr>
              <w:t>/Conseil d’administration</w:t>
            </w:r>
          </w:p>
        </w:tc>
        <w:tc>
          <w:tcPr>
            <w:tcW w:w="1980" w:type="dxa"/>
          </w:tcPr>
          <w:p w:rsidR="00876F2E" w:rsidRPr="007F5D87" w:rsidRDefault="00876F2E" w:rsidP="00A444DE">
            <w:pPr>
              <w:jc w:val="left"/>
              <w:rPr>
                <w:rFonts w:cs="Calibri"/>
                <w:sz w:val="18"/>
                <w:szCs w:val="18"/>
              </w:rPr>
            </w:pPr>
            <w:r>
              <w:rPr>
                <w:sz w:val="18"/>
                <w:szCs w:val="18"/>
              </w:rPr>
              <w:t>Conseil d’administration du projet</w:t>
            </w:r>
          </w:p>
          <w:p w:rsidR="00876F2E" w:rsidRPr="007F5D87" w:rsidRDefault="00876F2E" w:rsidP="00A444DE">
            <w:pPr>
              <w:jc w:val="left"/>
              <w:rPr>
                <w:rFonts w:cs="Calibri"/>
                <w:sz w:val="18"/>
                <w:szCs w:val="18"/>
              </w:rPr>
            </w:pPr>
            <w:r>
              <w:rPr>
                <w:sz w:val="18"/>
                <w:szCs w:val="18"/>
              </w:rPr>
              <w:t>Bureau de pays du PNUD</w:t>
            </w:r>
          </w:p>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i/>
                <w:sz w:val="18"/>
                <w:szCs w:val="18"/>
              </w:rPr>
            </w:pPr>
            <w:r>
              <w:rPr>
                <w:i/>
                <w:sz w:val="18"/>
                <w:szCs w:val="18"/>
              </w:rPr>
              <w:t>Aucun</w:t>
            </w:r>
          </w:p>
        </w:tc>
        <w:tc>
          <w:tcPr>
            <w:tcW w:w="1170" w:type="dxa"/>
          </w:tcPr>
          <w:p w:rsidR="00876F2E" w:rsidRPr="007F5D87" w:rsidRDefault="00876F2E" w:rsidP="00A444DE">
            <w:pPr>
              <w:jc w:val="left"/>
              <w:rPr>
                <w:rFonts w:cs="Calibri"/>
                <w:i/>
                <w:sz w:val="18"/>
                <w:szCs w:val="18"/>
              </w:rPr>
            </w:pPr>
            <w:r>
              <w:rPr>
                <w:i/>
                <w:sz w:val="18"/>
                <w:szCs w:val="18"/>
              </w:rPr>
              <w:t>Gouvernement sénégalais</w:t>
            </w:r>
          </w:p>
        </w:tc>
        <w:tc>
          <w:tcPr>
            <w:tcW w:w="1705" w:type="dxa"/>
          </w:tcPr>
          <w:p w:rsidR="00876F2E" w:rsidRPr="007F5D87" w:rsidRDefault="00876F2E" w:rsidP="00A444DE">
            <w:pPr>
              <w:jc w:val="left"/>
              <w:rPr>
                <w:rFonts w:cs="Calibri"/>
                <w:sz w:val="18"/>
                <w:szCs w:val="18"/>
              </w:rPr>
            </w:pPr>
            <w:r>
              <w:rPr>
                <w:sz w:val="18"/>
                <w:szCs w:val="18"/>
              </w:rPr>
              <w:t>Annuellement au moins</w:t>
            </w:r>
          </w:p>
        </w:tc>
      </w:tr>
      <w:tr w:rsidR="00876F2E" w:rsidRPr="007F5D87" w:rsidTr="00A444DE">
        <w:trPr>
          <w:jc w:val="center"/>
        </w:trPr>
        <w:tc>
          <w:tcPr>
            <w:tcW w:w="3145" w:type="dxa"/>
          </w:tcPr>
          <w:p w:rsidR="00876F2E" w:rsidRPr="007F5D87" w:rsidRDefault="00876F2E" w:rsidP="00A444DE">
            <w:pPr>
              <w:jc w:val="left"/>
              <w:rPr>
                <w:rFonts w:cs="Calibri"/>
                <w:b/>
                <w:i/>
                <w:sz w:val="18"/>
                <w:szCs w:val="18"/>
              </w:rPr>
            </w:pPr>
            <w:r>
              <w:rPr>
                <w:b/>
                <w:i/>
                <w:sz w:val="18"/>
                <w:szCs w:val="18"/>
              </w:rPr>
              <w:t>Outil de suivi à moyen terme du FEM mis à jour par l’expert S&amp;E du projet</w:t>
            </w:r>
          </w:p>
        </w:tc>
        <w:tc>
          <w:tcPr>
            <w:tcW w:w="1980" w:type="dxa"/>
          </w:tcPr>
          <w:p w:rsidR="00876F2E" w:rsidRPr="007F5D87" w:rsidRDefault="00876F2E" w:rsidP="00A444DE">
            <w:pPr>
              <w:jc w:val="left"/>
              <w:rPr>
                <w:rFonts w:cs="Calibri"/>
                <w:i/>
                <w:sz w:val="18"/>
                <w:szCs w:val="18"/>
              </w:rPr>
            </w:pPr>
            <w:r>
              <w:rPr>
                <w:i/>
                <w:sz w:val="18"/>
                <w:szCs w:val="18"/>
              </w:rPr>
              <w:t>Gestionnaire de projet</w:t>
            </w:r>
          </w:p>
        </w:tc>
        <w:tc>
          <w:tcPr>
            <w:tcW w:w="1350" w:type="dxa"/>
          </w:tcPr>
          <w:p w:rsidR="00876F2E" w:rsidRPr="007F5D87" w:rsidRDefault="00876F2E" w:rsidP="00A444DE">
            <w:pPr>
              <w:jc w:val="left"/>
              <w:rPr>
                <w:rFonts w:cs="Calibri"/>
                <w:i/>
                <w:sz w:val="18"/>
                <w:szCs w:val="18"/>
              </w:rPr>
            </w:pPr>
            <w:r>
              <w:rPr>
                <w:i/>
                <w:sz w:val="18"/>
                <w:szCs w:val="18"/>
              </w:rPr>
              <w:t xml:space="preserve">10 000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i/>
                <w:sz w:val="18"/>
                <w:szCs w:val="18"/>
              </w:rPr>
            </w:pPr>
            <w:r>
              <w:rPr>
                <w:i/>
                <w:sz w:val="18"/>
                <w:szCs w:val="18"/>
              </w:rPr>
              <w:t>Avant la mission d’examen à mi-parcours.</w:t>
            </w:r>
          </w:p>
        </w:tc>
      </w:tr>
      <w:tr w:rsidR="00876F2E" w:rsidRPr="007F5D87" w:rsidTr="00A444DE">
        <w:trPr>
          <w:jc w:val="center"/>
        </w:trPr>
        <w:tc>
          <w:tcPr>
            <w:tcW w:w="3145" w:type="dxa"/>
          </w:tcPr>
          <w:p w:rsidR="00876F2E" w:rsidRPr="007F5D87" w:rsidRDefault="002C0AF3" w:rsidP="00A444DE">
            <w:pPr>
              <w:jc w:val="left"/>
              <w:rPr>
                <w:rFonts w:cs="Calibri"/>
                <w:b/>
                <w:i/>
                <w:sz w:val="18"/>
                <w:szCs w:val="18"/>
              </w:rPr>
            </w:pPr>
            <w:r>
              <w:rPr>
                <w:b/>
                <w:i/>
                <w:sz w:val="18"/>
                <w:szCs w:val="18"/>
              </w:rPr>
              <w:t xml:space="preserve">Evaluation </w:t>
            </w:r>
            <w:r w:rsidR="00876F2E">
              <w:rPr>
                <w:b/>
                <w:i/>
                <w:sz w:val="18"/>
                <w:szCs w:val="18"/>
              </w:rPr>
              <w:t>indépendant</w:t>
            </w:r>
            <w:r>
              <w:rPr>
                <w:b/>
                <w:i/>
                <w:sz w:val="18"/>
                <w:szCs w:val="18"/>
              </w:rPr>
              <w:t>e</w:t>
            </w:r>
            <w:r w:rsidR="00876F2E">
              <w:rPr>
                <w:b/>
                <w:i/>
                <w:sz w:val="18"/>
                <w:szCs w:val="18"/>
              </w:rPr>
              <w:t xml:space="preserve"> à mi-parcours et réponse de la direction </w:t>
            </w:r>
          </w:p>
        </w:tc>
        <w:tc>
          <w:tcPr>
            <w:tcW w:w="1980" w:type="dxa"/>
          </w:tcPr>
          <w:p w:rsidR="00876F2E" w:rsidRPr="007F5D87" w:rsidRDefault="002C0AF3" w:rsidP="00A444DE">
            <w:pPr>
              <w:jc w:val="left"/>
              <w:rPr>
                <w:rFonts w:cs="Calibri"/>
                <w:i/>
                <w:sz w:val="18"/>
                <w:szCs w:val="18"/>
              </w:rPr>
            </w:pPr>
            <w:r>
              <w:rPr>
                <w:i/>
                <w:sz w:val="18"/>
                <w:szCs w:val="18"/>
              </w:rPr>
              <w:t>MEFP,</w:t>
            </w:r>
            <w:r w:rsidR="00876F2E">
              <w:rPr>
                <w:i/>
                <w:sz w:val="18"/>
                <w:szCs w:val="18"/>
              </w:rPr>
              <w:t>Bureau de pays du PNUD, équipe de projet et équipe PNUD-FEM</w:t>
            </w:r>
          </w:p>
        </w:tc>
        <w:tc>
          <w:tcPr>
            <w:tcW w:w="1350" w:type="dxa"/>
          </w:tcPr>
          <w:p w:rsidR="00876F2E" w:rsidRPr="007F5D87" w:rsidRDefault="00876F2E" w:rsidP="00A444DE">
            <w:pPr>
              <w:jc w:val="left"/>
              <w:rPr>
                <w:rFonts w:cs="Calibri"/>
                <w:i/>
                <w:sz w:val="18"/>
                <w:szCs w:val="18"/>
              </w:rPr>
            </w:pPr>
            <w:r>
              <w:rPr>
                <w:i/>
                <w:sz w:val="18"/>
                <w:szCs w:val="18"/>
              </w:rPr>
              <w:t>30 000 USD</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4533D6">
            <w:pPr>
              <w:jc w:val="left"/>
              <w:rPr>
                <w:rFonts w:cs="Calibri"/>
                <w:i/>
                <w:sz w:val="18"/>
                <w:szCs w:val="18"/>
              </w:rPr>
            </w:pPr>
            <w:r>
              <w:rPr>
                <w:i/>
                <w:sz w:val="18"/>
                <w:szCs w:val="18"/>
              </w:rPr>
              <w:t xml:space="preserve">Entre le 2e et le 3e </w:t>
            </w:r>
            <w:r w:rsidR="004533D6">
              <w:rPr>
                <w:i/>
                <w:sz w:val="18"/>
                <w:szCs w:val="18"/>
              </w:rPr>
              <w:t>REP</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Outil de suivi final du FEM mis à jour par l’expert S&amp;E du projet</w:t>
            </w:r>
          </w:p>
        </w:tc>
        <w:tc>
          <w:tcPr>
            <w:tcW w:w="1980" w:type="dxa"/>
          </w:tcPr>
          <w:p w:rsidR="00876F2E" w:rsidRPr="007F5D87" w:rsidRDefault="00876F2E" w:rsidP="00A444DE">
            <w:pPr>
              <w:jc w:val="left"/>
              <w:rPr>
                <w:rFonts w:cs="Calibri"/>
                <w:sz w:val="18"/>
                <w:szCs w:val="18"/>
              </w:rPr>
            </w:pPr>
            <w:r>
              <w:rPr>
                <w:sz w:val="18"/>
                <w:szCs w:val="18"/>
              </w:rPr>
              <w:t xml:space="preserve">Gestionnaire de projet </w:t>
            </w:r>
          </w:p>
        </w:tc>
        <w:tc>
          <w:tcPr>
            <w:tcW w:w="1350" w:type="dxa"/>
          </w:tcPr>
          <w:p w:rsidR="00876F2E" w:rsidRPr="007F5D87" w:rsidRDefault="00876F2E" w:rsidP="00A444DE">
            <w:pPr>
              <w:jc w:val="left"/>
              <w:rPr>
                <w:rFonts w:cs="Calibri"/>
                <w:sz w:val="18"/>
                <w:szCs w:val="18"/>
              </w:rPr>
            </w:pPr>
            <w:r>
              <w:rPr>
                <w:sz w:val="18"/>
                <w:szCs w:val="18"/>
              </w:rPr>
              <w:t xml:space="preserve">10 000 USD </w:t>
            </w:r>
          </w:p>
        </w:tc>
        <w:tc>
          <w:tcPr>
            <w:tcW w:w="1170" w:type="dxa"/>
          </w:tcPr>
          <w:p w:rsidR="00876F2E" w:rsidRPr="007F5D87" w:rsidRDefault="00876F2E" w:rsidP="00A444DE">
            <w:pPr>
              <w:jc w:val="left"/>
              <w:rPr>
                <w:rFonts w:cs="Calibr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Avant la mission d’évaluation finale</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Évaluation finale indépendante incluse dans le plan d’évaluation du PNUD et réponse de la direction</w:t>
            </w:r>
          </w:p>
        </w:tc>
        <w:tc>
          <w:tcPr>
            <w:tcW w:w="1980" w:type="dxa"/>
          </w:tcPr>
          <w:p w:rsidR="00876F2E" w:rsidRPr="007F5D87" w:rsidRDefault="002C0AF3" w:rsidP="00A444DE">
            <w:pPr>
              <w:jc w:val="left"/>
              <w:rPr>
                <w:rFonts w:cs="Calibri"/>
                <w:sz w:val="18"/>
                <w:szCs w:val="18"/>
              </w:rPr>
            </w:pPr>
            <w:r>
              <w:rPr>
                <w:sz w:val="18"/>
                <w:szCs w:val="18"/>
              </w:rPr>
              <w:t xml:space="preserve">MEFP, </w:t>
            </w:r>
            <w:r w:rsidR="00876F2E">
              <w:rPr>
                <w:sz w:val="18"/>
                <w:szCs w:val="18"/>
              </w:rPr>
              <w:t>Bureau de pays du PNUD, équipe de projet et équipe PNUD-FEM</w:t>
            </w:r>
          </w:p>
        </w:tc>
        <w:tc>
          <w:tcPr>
            <w:tcW w:w="1350" w:type="dxa"/>
          </w:tcPr>
          <w:p w:rsidR="00876F2E" w:rsidRPr="007F5D87" w:rsidRDefault="00876F2E" w:rsidP="00A444DE">
            <w:pPr>
              <w:jc w:val="left"/>
              <w:rPr>
                <w:rFonts w:cs="Calibri"/>
                <w:sz w:val="18"/>
                <w:szCs w:val="18"/>
              </w:rPr>
            </w:pPr>
            <w:r>
              <w:rPr>
                <w:sz w:val="18"/>
                <w:szCs w:val="18"/>
              </w:rPr>
              <w:t>40 000 USD</w:t>
            </w:r>
          </w:p>
        </w:tc>
        <w:tc>
          <w:tcPr>
            <w:tcW w:w="1170" w:type="dxa"/>
          </w:tcPr>
          <w:p w:rsidR="00876F2E" w:rsidRPr="007F5D87" w:rsidRDefault="00876F2E" w:rsidP="00A444DE">
            <w:pPr>
              <w:tabs>
                <w:tab w:val="center" w:pos="1216"/>
              </w:tabs>
              <w:jc w:val="left"/>
              <w:rPr>
                <w:rFonts w:cs="Calibr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Au moins trois mois avant la clôture opérationnelle</w:t>
            </w:r>
          </w:p>
        </w:tc>
      </w:tr>
      <w:tr w:rsidR="00876F2E" w:rsidRPr="007F5D87" w:rsidTr="00A444DE">
        <w:trPr>
          <w:jc w:val="center"/>
        </w:trPr>
        <w:tc>
          <w:tcPr>
            <w:tcW w:w="3145" w:type="dxa"/>
          </w:tcPr>
          <w:p w:rsidR="00876F2E" w:rsidRPr="007F5D87" w:rsidRDefault="00876F2E" w:rsidP="00A444DE">
            <w:pPr>
              <w:jc w:val="left"/>
              <w:rPr>
                <w:rFonts w:cs="Calibri"/>
                <w:b/>
                <w:i/>
                <w:sz w:val="18"/>
                <w:szCs w:val="18"/>
              </w:rPr>
            </w:pPr>
            <w:r>
              <w:rPr>
                <w:b/>
                <w:i/>
                <w:sz w:val="18"/>
                <w:szCs w:val="18"/>
              </w:rPr>
              <w:t>Traduction en anglais des rapports d’examen à mi-parcours et d’évaluation finale</w:t>
            </w:r>
          </w:p>
        </w:tc>
        <w:tc>
          <w:tcPr>
            <w:tcW w:w="1980" w:type="dxa"/>
          </w:tcPr>
          <w:p w:rsidR="00876F2E" w:rsidRPr="007F5D87" w:rsidRDefault="00876F2E" w:rsidP="00A444DE">
            <w:pPr>
              <w:jc w:val="left"/>
              <w:rPr>
                <w:rFonts w:cs="Calibri"/>
                <w:i/>
                <w:sz w:val="18"/>
                <w:szCs w:val="18"/>
              </w:rPr>
            </w:pPr>
            <w:r>
              <w:rPr>
                <w:i/>
                <w:sz w:val="18"/>
                <w:szCs w:val="18"/>
              </w:rPr>
              <w:t>Bureau de pays du PNUD</w:t>
            </w:r>
          </w:p>
        </w:tc>
        <w:tc>
          <w:tcPr>
            <w:tcW w:w="1350" w:type="dxa"/>
          </w:tcPr>
          <w:p w:rsidR="00876F2E" w:rsidRPr="007F5D87" w:rsidRDefault="00876F2E" w:rsidP="00A444DE">
            <w:pPr>
              <w:jc w:val="left"/>
              <w:rPr>
                <w:rFonts w:cs="Calibri"/>
                <w:i/>
                <w:sz w:val="18"/>
                <w:szCs w:val="18"/>
              </w:rPr>
            </w:pPr>
            <w:r>
              <w:rPr>
                <w:i/>
                <w:sz w:val="18"/>
                <w:szCs w:val="18"/>
              </w:rPr>
              <w:t xml:space="preserve">5 000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i/>
                <w:sz w:val="18"/>
                <w:szCs w:val="18"/>
              </w:rPr>
            </w:pPr>
            <w:r>
              <w:rPr>
                <w:i/>
                <w:sz w:val="18"/>
                <w:szCs w:val="18"/>
              </w:rPr>
              <w:t>Au besoin.</w:t>
            </w:r>
            <w:r w:rsidR="008712CB">
              <w:rPr>
                <w:i/>
                <w:sz w:val="18"/>
                <w:szCs w:val="18"/>
              </w:rPr>
              <w:t xml:space="preserve"> </w:t>
            </w:r>
            <w:r>
              <w:rPr>
                <w:i/>
                <w:sz w:val="18"/>
                <w:szCs w:val="18"/>
              </w:rPr>
              <w:t>Le FEM n’acceptera que les rapports en anglais.</w:t>
            </w:r>
          </w:p>
        </w:tc>
      </w:tr>
      <w:tr w:rsidR="00876F2E" w:rsidRPr="007F5D87" w:rsidTr="00A444DE">
        <w:trPr>
          <w:cantSplit/>
          <w:trHeight w:val="710"/>
          <w:jc w:val="center"/>
        </w:trPr>
        <w:tc>
          <w:tcPr>
            <w:tcW w:w="5125" w:type="dxa"/>
            <w:gridSpan w:val="2"/>
            <w:shd w:val="clear" w:color="auto" w:fill="E6E6E6"/>
          </w:tcPr>
          <w:p w:rsidR="00876F2E" w:rsidRPr="007F5D87" w:rsidRDefault="00876F2E" w:rsidP="00A444DE">
            <w:pPr>
              <w:jc w:val="left"/>
              <w:rPr>
                <w:rFonts w:cs="Calibri"/>
                <w:b/>
                <w:sz w:val="18"/>
                <w:szCs w:val="18"/>
              </w:rPr>
            </w:pPr>
            <w:r>
              <w:rPr>
                <w:b/>
                <w:sz w:val="18"/>
                <w:szCs w:val="18"/>
              </w:rPr>
              <w:t xml:space="preserve">COÛT indicatif TOTAL </w:t>
            </w:r>
          </w:p>
          <w:p w:rsidR="00876F2E" w:rsidRPr="007F5D87" w:rsidRDefault="00876F2E" w:rsidP="00A444DE">
            <w:pPr>
              <w:jc w:val="left"/>
              <w:rPr>
                <w:rFonts w:cs="Calibri"/>
                <w:sz w:val="18"/>
                <w:szCs w:val="18"/>
              </w:rPr>
            </w:pPr>
            <w:r>
              <w:rPr>
                <w:sz w:val="18"/>
                <w:szCs w:val="18"/>
              </w:rPr>
              <w:t xml:space="preserve">Excluant le temps du personnel des équipes de projet et les frais de personnel et de voyage du PNUD. </w:t>
            </w:r>
          </w:p>
        </w:tc>
        <w:tc>
          <w:tcPr>
            <w:tcW w:w="1350" w:type="dxa"/>
            <w:shd w:val="clear" w:color="auto" w:fill="E6E6E6"/>
          </w:tcPr>
          <w:p w:rsidR="00876F2E" w:rsidRPr="007F5D87" w:rsidRDefault="00876F2E" w:rsidP="00A444DE">
            <w:pPr>
              <w:jc w:val="left"/>
              <w:rPr>
                <w:rFonts w:cs="Calibri"/>
                <w:i/>
                <w:sz w:val="18"/>
                <w:szCs w:val="18"/>
              </w:rPr>
            </w:pPr>
            <w:r>
              <w:rPr>
                <w:i/>
                <w:sz w:val="18"/>
                <w:szCs w:val="18"/>
              </w:rPr>
              <w:t>134 000 USD</w:t>
            </w:r>
          </w:p>
        </w:tc>
        <w:tc>
          <w:tcPr>
            <w:tcW w:w="1170" w:type="dxa"/>
            <w:shd w:val="clear" w:color="auto" w:fill="E6E6E6"/>
          </w:tcPr>
          <w:p w:rsidR="00876F2E" w:rsidRPr="007F5D87" w:rsidRDefault="00876F2E" w:rsidP="00A444DE">
            <w:pPr>
              <w:jc w:val="left"/>
              <w:rPr>
                <w:rFonts w:cs="Calibri"/>
                <w:i/>
                <w:sz w:val="18"/>
                <w:szCs w:val="18"/>
              </w:rPr>
            </w:pPr>
          </w:p>
        </w:tc>
        <w:tc>
          <w:tcPr>
            <w:tcW w:w="1705" w:type="dxa"/>
            <w:shd w:val="clear" w:color="auto" w:fill="E6E6E6"/>
          </w:tcPr>
          <w:p w:rsidR="00876F2E" w:rsidRPr="007F5D87" w:rsidRDefault="00876F2E" w:rsidP="00A444DE">
            <w:pPr>
              <w:jc w:val="left"/>
              <w:rPr>
                <w:rFonts w:cs="Calibri"/>
                <w:sz w:val="18"/>
                <w:szCs w:val="18"/>
              </w:rPr>
            </w:pPr>
          </w:p>
        </w:tc>
      </w:tr>
    </w:tbl>
    <w:p w:rsidR="00876F2E" w:rsidRPr="007F5D87" w:rsidRDefault="00876F2E" w:rsidP="00876F2E">
      <w:pPr>
        <w:spacing w:after="0"/>
        <w:jc w:val="left"/>
      </w:pPr>
      <w:bookmarkStart w:id="33" w:name="_Toc443050726"/>
    </w:p>
    <w:p w:rsidR="00876F2E" w:rsidRPr="007F5D87" w:rsidRDefault="00876F2E" w:rsidP="00876F2E">
      <w:pPr>
        <w:spacing w:after="0"/>
        <w:jc w:val="left"/>
        <w:rPr>
          <w:b/>
          <w:smallCaps/>
          <w:spacing w:val="-2"/>
          <w:sz w:val="28"/>
          <w:szCs w:val="20"/>
        </w:rPr>
      </w:pPr>
      <w:r>
        <w:br w:type="page"/>
      </w:r>
    </w:p>
    <w:p w:rsidR="00F25222" w:rsidRPr="00F25222" w:rsidRDefault="00876F2E" w:rsidP="00F25222">
      <w:pPr>
        <w:pStyle w:val="Titre1"/>
        <w:spacing w:before="0" w:after="0"/>
        <w:rPr>
          <w:rFonts w:ascii="Calibri" w:hAnsi="Calibri"/>
          <w:sz w:val="32"/>
        </w:rPr>
      </w:pPr>
      <w:bookmarkStart w:id="34" w:name="_Toc338707272"/>
      <w:bookmarkStart w:id="35" w:name="_Toc338708188"/>
      <w:bookmarkStart w:id="36" w:name="_Toc339725217"/>
      <w:bookmarkStart w:id="37" w:name="_Toc496886559"/>
      <w:bookmarkStart w:id="38" w:name="_Toc498638396"/>
      <w:r>
        <w:rPr>
          <w:rFonts w:ascii="Calibri" w:hAnsi="Calibri"/>
          <w:sz w:val="32"/>
        </w:rPr>
        <w:t>Mécanismes de gouvernance et de gestion</w:t>
      </w:r>
      <w:bookmarkEnd w:id="33"/>
      <w:bookmarkEnd w:id="34"/>
      <w:bookmarkEnd w:id="35"/>
      <w:bookmarkEnd w:id="36"/>
      <w:bookmarkEnd w:id="37"/>
      <w:bookmarkEnd w:id="38"/>
    </w:p>
    <w:p w:rsidR="00F25222" w:rsidRPr="007F5D87" w:rsidRDefault="00F25222" w:rsidP="00F25222">
      <w:pPr>
        <w:pStyle w:val="NumberedParas"/>
        <w:numPr>
          <w:ilvl w:val="0"/>
          <w:numId w:val="0"/>
        </w:numPr>
        <w:rPr>
          <w:noProof/>
        </w:rPr>
      </w:pPr>
    </w:p>
    <w:p w:rsidR="00F25222" w:rsidRPr="007F5D87" w:rsidRDefault="00F25222" w:rsidP="00F25222">
      <w:pPr>
        <w:pStyle w:val="NumberedParas"/>
        <w:rPr>
          <w:noProof/>
        </w:rPr>
      </w:pPr>
      <w:r>
        <w:rPr>
          <w:u w:val="single"/>
        </w:rPr>
        <w:t>Rôles et responsabilités du mécanisme de gouvernance du projet</w:t>
      </w:r>
      <w:r>
        <w:t xml:space="preserve"> : le projet sera mis en œuvre selon </w:t>
      </w:r>
      <w:r w:rsidR="00BF5E7B">
        <w:t xml:space="preserve">la </w:t>
      </w:r>
      <w:r>
        <w:t>modalité</w:t>
      </w:r>
      <w:r w:rsidR="00BF5E7B">
        <w:t xml:space="preserve"> Exécution</w:t>
      </w:r>
      <w:r>
        <w:t xml:space="preserve"> </w:t>
      </w:r>
      <w:r w:rsidR="00BF5E7B">
        <w:t>N</w:t>
      </w:r>
      <w:r>
        <w:t>ationale</w:t>
      </w:r>
      <w:r w:rsidR="00BF5E7B">
        <w:t xml:space="preserve"> (NEX)</w:t>
      </w:r>
      <w:r>
        <w:t xml:space="preserve"> de mise en œuvre du PNUD, conformément à l’Accord type d’assistance de base entre le PNUD et le Gouvernement sénégalais et le Programme pays. Le projet sera mis en œuvre sur une période de quatre ans (48 mois).</w:t>
      </w:r>
      <w:r w:rsidR="00BF5E7B">
        <w:t xml:space="preserve"> </w:t>
      </w:r>
      <w:r w:rsidR="00BF5E7B" w:rsidRPr="00A30627">
        <w:t>Le Ministère de l’Economie, des Finances et du Plan à travers la Direction de la Coopération et des Financements extérieures est l’agence gouvernementale de coordination.</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L’agence gouvernemental</w:t>
      </w:r>
      <w:r w:rsidR="00E03496">
        <w:t>e</w:t>
      </w:r>
      <w:r>
        <w:t xml:space="preserve"> de coopération de ce projet est le Ministère de l’environnement et du développement durable (MEDD)</w:t>
      </w:r>
      <w:r w:rsidR="003A50A5">
        <w:t xml:space="preserve"> à travers la Direction des Parcs Nationaux</w:t>
      </w:r>
      <w:r>
        <w:t xml:space="preserve">. Le Ministère de l’environnement sera responsable de la planification, de la coordination et de la mise en œuvre du projet financé par le Fonds pour les PMA. En tant que Partenaire opérationnel, il sera également chargé de faire rapport au bureau pays du PNUD au Sénégal. Le Partenaire opérationnel est responsable de la gestion de ce projet, y compris du suivi et évaluation des interventions, de l’atteinte des résultats et de l’utilisation efficace des ressources du PNUD. Le Ministère de l’environnement créera à Dakar une unité de gestion de projet qui comprendra un coordonnateur de projet, un  responsable  des finances et de l’administration </w:t>
      </w:r>
      <w:r w:rsidR="00A76937">
        <w:t xml:space="preserve">, </w:t>
      </w:r>
      <w:r>
        <w:t xml:space="preserve">un expert  chargé du suivi </w:t>
      </w:r>
      <w:r w:rsidR="00A76937">
        <w:t xml:space="preserve"> </w:t>
      </w:r>
      <w:r>
        <w:t>évaluation</w:t>
      </w:r>
      <w:r w:rsidR="00A76937">
        <w:t>,</w:t>
      </w:r>
      <w:r w:rsidR="00A76937" w:rsidRPr="00A76937">
        <w:t xml:space="preserve"> </w:t>
      </w:r>
      <w:r w:rsidR="00A76937">
        <w:t>un secrétaire aide-comptable et 6 chauffeurs dont 4 au niveau des sites du projet</w:t>
      </w:r>
      <w:r>
        <w:t>. Quatre assistants techniques seront basés sur les sites du projet</w:t>
      </w:r>
      <w:r w:rsidR="00095256">
        <w:t xml:space="preserve">, </w:t>
      </w:r>
      <w:r w:rsidR="004F6759">
        <w:t xml:space="preserve">Le recrutement sera coordonné par le </w:t>
      </w:r>
      <w:r w:rsidR="003A50A5">
        <w:t>MEFP conformément</w:t>
      </w:r>
      <w:r w:rsidR="004F6759">
        <w:t xml:space="preserve"> au dispositif mis en place pour les projets NEX</w:t>
      </w:r>
      <w:r w:rsidR="003A50A5">
        <w:t>.</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Le Partenaire opérationnel assumera la responsabilité globale de la mise en œuvre du projet, ainsi que celle de la réalisation des objectifs et des résultats du projet en temps voulu et de manière vérifiable. Il apportera son soutien et ses contributions à la mise en œuvre de toutes les activités du projet. La plus haute autorité du Partenaire opérationnel sera le Directeur national de projet (DNP) pour la mise en œuvre du projet. Le DNP présidera le Comité de Pilotage du projet et sera chargé d’assurer la surveillance et l’orientation du gouvernement dans le cadre de la mise en œuvre du projet. L</w:t>
      </w:r>
      <w:r w:rsidR="00A52EB7">
        <w:t>a fonction de DNP n’est pas rémunérée sur les fonds du projet</w:t>
      </w:r>
      <w:r>
        <w:t>, mais représentera une contrib</w:t>
      </w:r>
      <w:r w:rsidR="003A50A5">
        <w:t>ution en nature du gouvernement</w:t>
      </w:r>
      <w:r>
        <w:t>.</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 xml:space="preserve">Le </w:t>
      </w:r>
      <w:r>
        <w:rPr>
          <w:b/>
        </w:rPr>
        <w:t>Comité de Pilotage du projet</w:t>
      </w:r>
      <w:r w:rsidR="00095256">
        <w:rPr>
          <w:b/>
        </w:rPr>
        <w:t xml:space="preserve">. </w:t>
      </w:r>
      <w:r w:rsidR="00095256" w:rsidRPr="009B3C60">
        <w:t>C</w:t>
      </w:r>
      <w:r w:rsidR="00893756" w:rsidRPr="009B3C60">
        <w:t>réé par arr</w:t>
      </w:r>
      <w:r w:rsidR="00095256" w:rsidRPr="009B3C60">
        <w:t>êté du MEDD qui fixe sa mission, sa composition et son fonctionnement, le CP</w:t>
      </w:r>
      <w:r>
        <w:rPr>
          <w:b/>
        </w:rPr>
        <w:t xml:space="preserve"> </w:t>
      </w:r>
      <w:r>
        <w:t>est chargé de prendre par consensus les décisions conformément à des normes qui garantissent une gestion axée sur les résultats en matière de développement, la meilleure valeur économique, l’équité, l’intégrité, la transparence et une concurrence internationale efficace...</w:t>
      </w:r>
      <w:r>
        <w:rPr>
          <w:i/>
          <w:szCs w:val="20"/>
        </w:rPr>
        <w:t xml:space="preserve"> </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 xml:space="preserve">Composition et organisation : Le CP </w:t>
      </w:r>
      <w:r w:rsidR="00AB0A31">
        <w:t>est composé des groupes d’acteurs jou</w:t>
      </w:r>
      <w:r w:rsidR="003A50A5">
        <w:t xml:space="preserve">ant un des trois rôles suivants </w:t>
      </w:r>
      <w:r>
        <w:t>:</w:t>
      </w:r>
    </w:p>
    <w:p w:rsidR="00F25222" w:rsidRPr="007F5D87" w:rsidRDefault="00F25222" w:rsidP="00F25222">
      <w:pPr>
        <w:pStyle w:val="NumberedParas"/>
        <w:numPr>
          <w:ilvl w:val="0"/>
          <w:numId w:val="20"/>
        </w:numPr>
      </w:pPr>
      <w:r>
        <w:rPr>
          <w:b/>
        </w:rPr>
        <w:t>responsable exécutif</w:t>
      </w:r>
      <w:r>
        <w:t xml:space="preserve"> : personne représentant la propriété du projet pour présider le groupe. Le </w:t>
      </w:r>
      <w:r>
        <w:rPr>
          <w:b/>
        </w:rPr>
        <w:t>responsable exécutif</w:t>
      </w:r>
      <w:r>
        <w:t xml:space="preserve"> est le MEDD qui fera rapport à la CP deux fois par an sur l’état d’avancement du projet et les résultats émergents. </w:t>
      </w:r>
    </w:p>
    <w:p w:rsidR="00F25222" w:rsidRPr="007F5D87" w:rsidRDefault="00F25222" w:rsidP="00F25222">
      <w:pPr>
        <w:pStyle w:val="NumberedParas"/>
        <w:numPr>
          <w:ilvl w:val="0"/>
          <w:numId w:val="20"/>
        </w:numPr>
      </w:pPr>
      <w:r>
        <w:rPr>
          <w:b/>
        </w:rPr>
        <w:t>fournisseur principal</w:t>
      </w:r>
      <w:r>
        <w:t>, c’est-à-dire une personne ou groupe représentant les intérêts des parties concernées qui apportent un financement et/ou une expertise technique au projet. La principale fonction du fournisseur principal au sein du CP est de fournir des conseils sur la faisabilité technique du projet. Les fournisseurs principaux comprennent des représentants du Ministère de l’environnement (DPN et DEFCC), de l’ANACIM, des ONG, des OSC, des autorités municipales et villageoises et des communautés locales.</w:t>
      </w:r>
    </w:p>
    <w:p w:rsidR="00F25222" w:rsidRPr="007F5D87" w:rsidRDefault="00F25222" w:rsidP="00F25222">
      <w:pPr>
        <w:pStyle w:val="NumberedParas"/>
        <w:numPr>
          <w:ilvl w:val="0"/>
          <w:numId w:val="20"/>
        </w:numPr>
      </w:pPr>
      <w:r>
        <w:rPr>
          <w:b/>
        </w:rPr>
        <w:t>bénéficiaire principal</w:t>
      </w:r>
      <w:r>
        <w:t xml:space="preserve">, c’est-à-dire une personne ou un groupe de personnes représentant les intérêts de ceux qui bénéficieront en dernier ressort du projet. La fonction principale du bénéficiaire principal au sein du CP est d’assurer la réalisation des résultats du projet du point de vue des bénéficiaires. Le groupe bénéficiaire principal comprend des représentants des communes, le CINTER et la population locale, le MEDD/ANEV, l’ANACIM, les autorités municipales et villageoises, les ONG et les OSC. </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Sur la base du plan de travail annuel approuvé, le CP peut examiner et approuver les plans trimestriels des projets au besoin et autoriser tout écart important par rapport à ces plans trimestriels convenus. C’est l’autorité qui signe l’achèvement de chaque plan trimestriel et qui autorise le début du suivant. Il veille à ce que les ressources nécessaires soient engagées et arbitre tout conflit au sein du projet ou négocie une solution à tout problème entre le projet et les organismes externes. En outre, il approuve la nomination et les responsabilités du Coordonnateur de projet ainsi que toute délégation de ses responsabilités en matière d’assurance de projet.</w:t>
      </w:r>
    </w:p>
    <w:p w:rsidR="00876F2E" w:rsidRPr="007F5D87" w:rsidRDefault="00F25222" w:rsidP="00876F2E">
      <w:pPr>
        <w:pStyle w:val="NumberedParas"/>
        <w:numPr>
          <w:ilvl w:val="0"/>
          <w:numId w:val="0"/>
        </w:numPr>
        <w:rPr>
          <w:noProof/>
        </w:rPr>
      </w:pPr>
      <w:r>
        <w:t xml:space="preserve"> </w:t>
      </w:r>
    </w:p>
    <w:p w:rsidR="00876F2E" w:rsidRPr="007F5D87" w:rsidRDefault="00876F2E" w:rsidP="00876F2E">
      <w:pPr>
        <w:pStyle w:val="NumberedParas"/>
        <w:rPr>
          <w:noProof/>
        </w:rPr>
      </w:pPr>
      <w:r>
        <w:t>La structure organisationnelle du projet se présente comme suit</w:t>
      </w:r>
      <w:r w:rsidR="002575A2">
        <w:t> :</w:t>
      </w:r>
    </w:p>
    <w:p w:rsidR="00876F2E" w:rsidRPr="007F5D87" w:rsidRDefault="0083108F" w:rsidP="00876F2E">
      <w:pPr>
        <w:rPr>
          <w:rFonts w:ascii="Times New Roman" w:hAnsi="Times New Roman"/>
          <w:sz w:val="24"/>
        </w:rPr>
      </w:pPr>
      <w:r>
        <w:rPr>
          <w:noProof/>
          <w:lang w:eastAsia="fr-FR"/>
        </w:rPr>
        <mc:AlternateContent>
          <mc:Choice Requires="wps">
            <w:drawing>
              <wp:anchor distT="0" distB="0" distL="114300" distR="114300" simplePos="0" relativeHeight="251660288" behindDoc="0" locked="0" layoutInCell="1" allowOverlap="1" wp14:anchorId="66B4CF9D" wp14:editId="418DB4FE">
                <wp:simplePos x="0" y="0"/>
                <wp:positionH relativeFrom="column">
                  <wp:posOffset>4457700</wp:posOffset>
                </wp:positionH>
                <wp:positionV relativeFrom="paragraph">
                  <wp:posOffset>2831465</wp:posOffset>
                </wp:positionV>
                <wp:extent cx="1143000" cy="685800"/>
                <wp:effectExtent l="0" t="228600" r="0" b="228600"/>
                <wp:wrapNone/>
                <wp:docPr id="1026" name="Connecteur en angl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3000" cy="685800"/>
                        </a:xfrm>
                        <a:prstGeom prst="bentConnector3">
                          <a:avLst>
                            <a:gd name="adj1" fmla="val 2000"/>
                          </a:avLst>
                        </a:prstGeom>
                        <a:noFill/>
                        <a:ln w="9525">
                          <a:solidFill>
                            <a:srgbClr val="000000"/>
                          </a:solidFill>
                          <a:miter lim="800000"/>
                          <a:headEnd/>
                          <a:tailEnd/>
                        </a:ln>
                        <a:extLst>
                          <a:ext uri="{909E8E84-426E-40dd-AFC4-6F175D3DCCD1}"/>
                        </a:extLst>
                      </wps:spPr>
                      <wps:bodyPr/>
                    </wps:wsp>
                  </a:graphicData>
                </a:graphic>
                <wp14:sizeRelH relativeFrom="margin">
                  <wp14:pctWidth>0</wp14:pctWidth>
                </wp14:sizeRelH>
                <wp14:sizeRelV relativeFrom="margin">
                  <wp14:pctHeight>0</wp14:pctHeight>
                </wp14:sizeRelV>
              </wp:anchor>
            </w:drawing>
          </mc:Choice>
          <mc:Fallback>
            <w:pict>
              <v:shapetype w14:anchorId="599D920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26" o:spid="_x0000_s1026" type="#_x0000_t34" style="position:absolute;margin-left:351pt;margin-top:222.95pt;width:90pt;height:54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" adj="432"/>
            </w:pict>
          </mc:Fallback>
        </mc:AlternateContent>
      </w:r>
      <w:r>
        <w:rPr>
          <w:noProof/>
          <w:lang w:eastAsia="fr-FR"/>
        </w:rPr>
        <mc:AlternateContent>
          <mc:Choice Requires="wps">
            <w:drawing>
              <wp:anchor distT="0" distB="0" distL="114300" distR="114300" simplePos="0" relativeHeight="251659264" behindDoc="0" locked="0" layoutInCell="1" allowOverlap="1" wp14:anchorId="746550E2" wp14:editId="6DDCDB6B">
                <wp:simplePos x="0" y="0"/>
                <wp:positionH relativeFrom="column">
                  <wp:posOffset>4457700</wp:posOffset>
                </wp:positionH>
                <wp:positionV relativeFrom="paragraph">
                  <wp:posOffset>3745865</wp:posOffset>
                </wp:positionV>
                <wp:extent cx="1485900" cy="685800"/>
                <wp:effectExtent l="0" t="0" r="133350" b="152400"/>
                <wp:wrapThrough wrapText="bothSides">
                  <wp:wrapPolygon edited="0">
                    <wp:start x="0" y="0"/>
                    <wp:lineTo x="0" y="22200"/>
                    <wp:lineTo x="277" y="26400"/>
                    <wp:lineTo x="23538" y="26400"/>
                    <wp:lineTo x="23538" y="1200"/>
                    <wp:lineTo x="22154" y="0"/>
                    <wp:lineTo x="0" y="0"/>
                  </wp:wrapPolygon>
                </wp:wrapThrough>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du fleuve Sénégal</w:t>
                            </w:r>
                          </w:p>
                          <w:p w:rsidR="00061010" w:rsidRPr="00525FB2" w:rsidRDefault="00061010" w:rsidP="00876F2E">
                            <w:pPr>
                              <w:jc w:val="center"/>
                            </w:pPr>
                            <w:r>
                              <w:rPr>
                                <w:sz w:val="18"/>
                                <w:szCs w:val="18"/>
                              </w:rPr>
                              <w:t>Un agent (les deux premières années seulement) basé à l’ARD travaillant en étroite collaboration avec un employé du 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50E2" id="Rectangle 1025" o:spid="_x0000_s1046" style="position:absolute;left:0;text-align:left;margin-left:351pt;margin-top:294.9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" fillcolor="#ff9">
                <v:shadow on="t" color="black" opacity=".5" offset="6pt,6pt"/>
                <v:textbox>
                  <w:txbxContent>
                    <w:p w:rsidR="00061010" w:rsidRDefault="00061010" w:rsidP="00876F2E">
                      <w:pPr>
                        <w:jc w:val="center"/>
                        <w:rPr>
                          <w:b/>
                          <w:sz w:val="18"/>
                          <w:szCs w:val="18"/>
                        </w:rPr>
                      </w:pPr>
                      <w:r>
                        <w:rPr>
                          <w:b/>
                          <w:sz w:val="18"/>
                          <w:szCs w:val="18"/>
                        </w:rPr>
                        <w:t>Site du fleuve Sénégal</w:t>
                      </w:r>
                    </w:p>
                    <w:p w:rsidR="00061010" w:rsidRPr="00525FB2" w:rsidRDefault="00061010" w:rsidP="00876F2E">
                      <w:pPr>
                        <w:jc w:val="center"/>
                      </w:pPr>
                      <w:r>
                        <w:rPr>
                          <w:sz w:val="18"/>
                          <w:szCs w:val="18"/>
                        </w:rPr>
                        <w:t>Un agent (les deux premières années seulement) basé à l’ARD travaillant en étroite collaboration avec un employé du GIC.</w:t>
                      </w:r>
                    </w:p>
                  </w:txbxContent>
                </v:textbox>
                <w10:wrap type="through"/>
              </v:rect>
            </w:pict>
          </mc:Fallback>
        </mc:AlternateContent>
      </w:r>
      <w:r>
        <w:rPr>
          <w:noProof/>
          <w:lang w:eastAsia="fr-FR"/>
        </w:rPr>
        <mc:AlternateContent>
          <mc:Choice Requires="wpg">
            <w:drawing>
              <wp:inline distT="0" distB="0" distL="0" distR="0" wp14:anchorId="4CDA98AC" wp14:editId="791FE19D">
                <wp:extent cx="6057900" cy="3657600"/>
                <wp:effectExtent l="13970" t="0" r="0" b="3810"/>
                <wp:docPr id="2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657600"/>
                          <a:chOff x="-1143" y="0"/>
                          <a:chExt cx="60579" cy="36576"/>
                        </a:xfrm>
                      </wpg:grpSpPr>
                      <wps:wsp>
                        <wps:cNvPr id="23" name="Rectangle 4"/>
                        <wps:cNvSpPr>
                          <a:spLocks noChangeAspect="1" noChangeArrowheads="1"/>
                        </wps:cNvSpPr>
                        <wps:spPr bwMode="auto">
                          <a:xfrm>
                            <a:off x="0" y="0"/>
                            <a:ext cx="59436"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42"/>
                        <wps:cNvSpPr>
                          <a:spLocks noChangeArrowheads="1"/>
                        </wps:cNvSpPr>
                        <wps:spPr bwMode="auto">
                          <a:xfrm>
                            <a:off x="21717" y="19437"/>
                            <a:ext cx="13716" cy="5709"/>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Gestionnaire de projet</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25" name="Rectangle 343"/>
                        <wps:cNvSpPr>
                          <a:spLocks noChangeArrowheads="1"/>
                        </wps:cNvSpPr>
                        <wps:spPr bwMode="auto">
                          <a:xfrm>
                            <a:off x="5715" y="5715"/>
                            <a:ext cx="46863" cy="2933"/>
                          </a:xfrm>
                          <a:prstGeom prst="rect">
                            <a:avLst/>
                          </a:prstGeom>
                          <a:solidFill>
                            <a:srgbClr val="FF99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rPr>
                              </w:pPr>
                              <w:r>
                                <w:rPr>
                                  <w:b/>
                                </w:rPr>
                                <w:t>Comité de Pilotage (CP)</w:t>
                              </w:r>
                            </w:p>
                          </w:txbxContent>
                        </wps:txbx>
                        <wps:bodyPr rot="0" vert="horz" wrap="square" lIns="91440" tIns="45720" rIns="91440" bIns="45720" anchor="t" anchorCtr="0" upright="1">
                          <a:noAutofit/>
                        </wps:bodyPr>
                      </wps:wsp>
                      <wps:wsp>
                        <wps:cNvPr id="26" name="Rectangle 344"/>
                        <wps:cNvSpPr>
                          <a:spLocks noChangeArrowheads="1"/>
                        </wps:cNvSpPr>
                        <wps:spPr bwMode="auto">
                          <a:xfrm>
                            <a:off x="5715" y="8001"/>
                            <a:ext cx="14859"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Pr="0008285F" w:rsidRDefault="00061010" w:rsidP="00876F2E">
                              <w:pPr>
                                <w:jc w:val="center"/>
                                <w:rPr>
                                  <w:b/>
                                  <w:bCs/>
                                  <w:sz w:val="18"/>
                                  <w:szCs w:val="18"/>
                                </w:rPr>
                              </w:pPr>
                              <w:r>
                                <w:rPr>
                                  <w:b/>
                                  <w:bCs/>
                                  <w:sz w:val="18"/>
                                  <w:szCs w:val="18"/>
                                </w:rPr>
                                <w:t xml:space="preserve">Bénéficiaire principal :  </w:t>
                              </w:r>
                            </w:p>
                            <w:p w:rsidR="00061010" w:rsidRPr="0008285F" w:rsidRDefault="00061010" w:rsidP="00876F2E">
                              <w:pPr>
                                <w:jc w:val="center"/>
                                <w:rPr>
                                  <w:i/>
                                  <w:sz w:val="18"/>
                                  <w:szCs w:val="18"/>
                                </w:rPr>
                              </w:pPr>
                              <w:r>
                                <w:rPr>
                                  <w:b/>
                                  <w:bCs/>
                                  <w:i/>
                                  <w:sz w:val="18"/>
                                  <w:szCs w:val="18"/>
                                </w:rPr>
                                <w:t>CINTER, ANACIM, ONG, ANEV, MEDD</w:t>
                              </w:r>
                            </w:p>
                          </w:txbxContent>
                        </wps:txbx>
                        <wps:bodyPr rot="0" vert="horz" wrap="square" lIns="91440" tIns="45720" rIns="91440" bIns="45720" anchor="t" anchorCtr="0" upright="1">
                          <a:noAutofit/>
                        </wps:bodyPr>
                      </wps:wsp>
                      <wps:wsp>
                        <wps:cNvPr id="27" name="Rectangle 345"/>
                        <wps:cNvSpPr>
                          <a:spLocks noChangeArrowheads="1"/>
                        </wps:cNvSpPr>
                        <wps:spPr bwMode="auto">
                          <a:xfrm>
                            <a:off x="20574"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spacing w:before="100" w:beforeAutospacing="1" w:after="100" w:afterAutospacing="1"/>
                                <w:jc w:val="center"/>
                                <w:rPr>
                                  <w:rFonts w:cs="Arial"/>
                                  <w:szCs w:val="20"/>
                                </w:rPr>
                              </w:pPr>
                              <w:r>
                                <w:rPr>
                                  <w:b/>
                                  <w:sz w:val="18"/>
                                  <w:szCs w:val="18"/>
                                </w:rPr>
                                <w:t>Responsable exécutif :</w:t>
                              </w:r>
                            </w:p>
                            <w:p w:rsidR="00061010" w:rsidRPr="00CC62A9" w:rsidRDefault="00061010" w:rsidP="00876F2E">
                              <w:pPr>
                                <w:spacing w:before="100" w:beforeAutospacing="1" w:after="100" w:afterAutospacing="1"/>
                                <w:jc w:val="center"/>
                                <w:rPr>
                                  <w:rFonts w:cs="Arial"/>
                                  <w:i/>
                                  <w:szCs w:val="20"/>
                                </w:rPr>
                              </w:pPr>
                              <w:r>
                                <w:rPr>
                                  <w:i/>
                                  <w:szCs w:val="20"/>
                                </w:rPr>
                                <w:t>MEDD</w:t>
                              </w:r>
                            </w:p>
                            <w:p w:rsidR="00061010" w:rsidRDefault="00061010" w:rsidP="00876F2E">
                              <w:pPr>
                                <w:jc w:val="center"/>
                                <w:rPr>
                                  <w:b/>
                                  <w:sz w:val="18"/>
                                  <w:szCs w:val="18"/>
                                </w:rPr>
                              </w:pPr>
                            </w:p>
                            <w:p w:rsidR="00061010" w:rsidRPr="00EB563F" w:rsidRDefault="00061010" w:rsidP="00876F2E">
                              <w:pPr>
                                <w:jc w:val="center"/>
                                <w:rPr>
                                  <w:b/>
                                  <w:szCs w:val="20"/>
                                </w:rPr>
                              </w:pPr>
                            </w:p>
                          </w:txbxContent>
                        </wps:txbx>
                        <wps:bodyPr rot="0" vert="horz" wrap="square" lIns="91440" tIns="45720" rIns="91440" bIns="45720" anchor="t" anchorCtr="0" upright="1">
                          <a:noAutofit/>
                        </wps:bodyPr>
                      </wps:wsp>
                      <wps:wsp>
                        <wps:cNvPr id="28" name="Rectangle 346"/>
                        <wps:cNvSpPr>
                          <a:spLocks noChangeArrowheads="1"/>
                        </wps:cNvSpPr>
                        <wps:spPr bwMode="auto">
                          <a:xfrm>
                            <a:off x="36576"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Pr="00CA0EEF" w:rsidRDefault="00061010" w:rsidP="00876F2E">
                              <w:pPr>
                                <w:jc w:val="center"/>
                                <w:rPr>
                                  <w:b/>
                                  <w:bCs/>
                                  <w:sz w:val="18"/>
                                  <w:szCs w:val="18"/>
                                </w:rPr>
                              </w:pPr>
                              <w:r>
                                <w:rPr>
                                  <w:b/>
                                  <w:bCs/>
                                  <w:sz w:val="18"/>
                                  <w:szCs w:val="18"/>
                                </w:rPr>
                                <w:t>Fournisseur principal :</w:t>
                              </w:r>
                            </w:p>
                            <w:p w:rsidR="00061010" w:rsidRPr="001C7E82" w:rsidRDefault="00061010" w:rsidP="00876F2E">
                              <w:pPr>
                                <w:jc w:val="center"/>
                                <w:rPr>
                                  <w:i/>
                                  <w:sz w:val="18"/>
                                  <w:szCs w:val="18"/>
                                </w:rPr>
                              </w:pPr>
                              <w:r>
                                <w:rPr>
                                  <w:b/>
                                  <w:bCs/>
                                  <w:i/>
                                  <w:sz w:val="18"/>
                                  <w:szCs w:val="18"/>
                                </w:rPr>
                                <w:t>MEDD (DPN et DEFCC), ANACIM, ONG, Pop. locale</w:t>
                              </w:r>
                            </w:p>
                            <w:p w:rsidR="00061010" w:rsidRPr="0008285F" w:rsidRDefault="00061010" w:rsidP="00876F2E">
                              <w:pPr>
                                <w:jc w:val="center"/>
                                <w:rPr>
                                  <w:szCs w:val="20"/>
                                </w:rPr>
                              </w:pPr>
                            </w:p>
                          </w:txbxContent>
                        </wps:txbx>
                        <wps:bodyPr rot="0" vert="horz" wrap="square" lIns="91440" tIns="45720" rIns="91440" bIns="45720" anchor="t" anchorCtr="0" upright="1">
                          <a:noAutofit/>
                        </wps:bodyPr>
                      </wps:wsp>
                      <wps:wsp>
                        <wps:cNvPr id="29" name="AutoShape 347"/>
                        <wps:cNvCnPr>
                          <a:cxnSpLocks noChangeShapeType="1"/>
                        </wps:cNvCnPr>
                        <wps:spPr bwMode="auto">
                          <a:xfrm>
                            <a:off x="28575" y="13716"/>
                            <a:ext cx="6" cy="5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48"/>
                        <wps:cNvSpPr>
                          <a:spLocks noChangeArrowheads="1"/>
                        </wps:cNvSpPr>
                        <wps:spPr bwMode="auto">
                          <a:xfrm>
                            <a:off x="2286" y="14859"/>
                            <a:ext cx="16002" cy="6858"/>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Assurance projet</w:t>
                              </w:r>
                            </w:p>
                            <w:p w:rsidR="00061010" w:rsidRPr="001C7E82" w:rsidRDefault="00061010" w:rsidP="00876F2E">
                              <w:pPr>
                                <w:jc w:val="center"/>
                                <w:rPr>
                                  <w:i/>
                                  <w:sz w:val="18"/>
                                  <w:szCs w:val="18"/>
                                </w:rPr>
                              </w:pPr>
                              <w:r>
                                <w:rPr>
                                  <w:b/>
                                  <w:bCs/>
                                  <w:i/>
                                  <w:sz w:val="18"/>
                                  <w:szCs w:val="18"/>
                                </w:rPr>
                                <w:t>Chargé de programme Bureau de pays du PNUD</w:t>
                              </w:r>
                            </w:p>
                            <w:p w:rsidR="00061010" w:rsidRPr="00EB563F" w:rsidRDefault="00061010" w:rsidP="00876F2E">
                              <w:pPr>
                                <w:pStyle w:val="Corpsdetexte3"/>
                                <w:jc w:val="center"/>
                                <w:rPr>
                                  <w:b/>
                                  <w:bCs/>
                                </w:rPr>
                              </w:pPr>
                            </w:p>
                          </w:txbxContent>
                        </wps:txbx>
                        <wps:bodyPr rot="0" vert="horz" wrap="square" lIns="91440" tIns="45720" rIns="91440" bIns="45720" anchor="t" anchorCtr="0" upright="1">
                          <a:noAutofit/>
                        </wps:bodyPr>
                      </wps:wsp>
                      <wps:wsp>
                        <wps:cNvPr id="31" name="Rectangle 349"/>
                        <wps:cNvSpPr>
                          <a:spLocks noChangeArrowheads="1"/>
                        </wps:cNvSpPr>
                        <wps:spPr bwMode="auto">
                          <a:xfrm>
                            <a:off x="38862" y="19431"/>
                            <a:ext cx="13716" cy="5715"/>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Appui au projet</w:t>
                              </w:r>
                            </w:p>
                            <w:p w:rsidR="00061010" w:rsidRPr="00533EDF" w:rsidRDefault="00061010" w:rsidP="00876F2E">
                              <w:pPr>
                                <w:jc w:val="center"/>
                                <w:rPr>
                                  <w:sz w:val="18"/>
                                  <w:szCs w:val="18"/>
                                </w:rPr>
                              </w:pPr>
                              <w:r>
                                <w:rPr>
                                  <w:sz w:val="18"/>
                                  <w:szCs w:val="18"/>
                                </w:rPr>
                                <w:t>Finances et administration, agent M&amp;O, Comm.</w:t>
                              </w:r>
                            </w:p>
                            <w:p w:rsidR="00061010" w:rsidRDefault="00061010" w:rsidP="00876F2E">
                              <w:pPr>
                                <w:spacing w:before="120"/>
                                <w:jc w:val="center"/>
                                <w:rPr>
                                  <w:sz w:val="18"/>
                                  <w:szCs w:val="18"/>
                                </w:rPr>
                              </w:pPr>
                            </w:p>
                          </w:txbxContent>
                        </wps:txbx>
                        <wps:bodyPr rot="0" vert="horz" wrap="square" lIns="91440" tIns="45720" rIns="91440" bIns="45720" anchor="t" anchorCtr="0" upright="1">
                          <a:noAutofit/>
                        </wps:bodyPr>
                      </wps:wsp>
                      <wps:wsp>
                        <wps:cNvPr id="1120" name="AutoShape 350"/>
                        <wps:cNvCnPr>
                          <a:cxnSpLocks noChangeShapeType="1"/>
                        </wps:cNvCnPr>
                        <wps:spPr bwMode="auto">
                          <a:xfrm flipV="1">
                            <a:off x="35433" y="22288"/>
                            <a:ext cx="342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351"/>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rsidR="00061010" w:rsidRPr="001D0B24" w:rsidRDefault="00061010" w:rsidP="00876F2E">
                              <w:pPr>
                                <w:spacing w:after="0"/>
                                <w:jc w:val="center"/>
                                <w:rPr>
                                  <w:b/>
                                  <w:sz w:val="24"/>
                                </w:rPr>
                              </w:pPr>
                              <w:r>
                                <w:rPr>
                                  <w:b/>
                                  <w:sz w:val="24"/>
                                </w:rPr>
                                <w:t>Structure organisationnelle du projet</w:t>
                              </w:r>
                            </w:p>
                          </w:txbxContent>
                        </wps:txbx>
                        <wps:bodyPr rot="0" vert="horz" wrap="square" lIns="91440" tIns="45720" rIns="91440" bIns="45720" anchor="t" anchorCtr="0" upright="1">
                          <a:noAutofit/>
                        </wps:bodyPr>
                      </wps:wsp>
                      <wps:wsp>
                        <wps:cNvPr id="1123" name="Rectangle 352"/>
                        <wps:cNvSpPr>
                          <a:spLocks noChangeArrowheads="1"/>
                        </wps:cNvSpPr>
                        <wps:spPr bwMode="auto">
                          <a:xfrm>
                            <a:off x="-1143" y="27152"/>
                            <a:ext cx="14859"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de Ferlo</w:t>
                              </w:r>
                            </w:p>
                            <w:p w:rsidR="00061010" w:rsidRDefault="00061010" w:rsidP="00876F2E">
                              <w:pPr>
                                <w:jc w:val="center"/>
                                <w:rPr>
                                  <w:sz w:val="18"/>
                                  <w:szCs w:val="18"/>
                                </w:rPr>
                              </w:pPr>
                              <w:r>
                                <w:rPr>
                                  <w:sz w:val="18"/>
                                  <w:szCs w:val="18"/>
                                </w:rPr>
                                <w:t>Un agent basé à Ranérou.</w:t>
                              </w:r>
                            </w:p>
                            <w:p w:rsidR="00061010" w:rsidRDefault="00061010" w:rsidP="00876F2E">
                              <w:pPr>
                                <w:jc w:val="center"/>
                                <w:rPr>
                                  <w:sz w:val="18"/>
                                  <w:szCs w:val="18"/>
                                </w:rPr>
                              </w:pPr>
                            </w:p>
                          </w:txbxContent>
                        </wps:txbx>
                        <wps:bodyPr rot="0" vert="horz" wrap="square" lIns="91440" tIns="45720" rIns="91440" bIns="45720" anchor="t" anchorCtr="0" upright="1">
                          <a:noAutofit/>
                        </wps:bodyPr>
                      </wps:wsp>
                      <wps:wsp>
                        <wps:cNvPr id="1124" name="Rectangle 15"/>
                        <wps:cNvSpPr>
                          <a:spLocks noChangeArrowheads="1"/>
                        </wps:cNvSpPr>
                        <wps:spPr bwMode="auto">
                          <a:xfrm>
                            <a:off x="32004" y="27152"/>
                            <a:ext cx="14859"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du Delta du Saloum</w:t>
                              </w:r>
                            </w:p>
                            <w:p w:rsidR="00061010" w:rsidRPr="00483A6B" w:rsidRDefault="00061010" w:rsidP="00876F2E">
                              <w:pPr>
                                <w:jc w:val="center"/>
                                <w:rPr>
                                  <w:sz w:val="18"/>
                                  <w:szCs w:val="18"/>
                                </w:rPr>
                              </w:pPr>
                              <w:r>
                                <w:rPr>
                                  <w:sz w:val="18"/>
                                  <w:szCs w:val="18"/>
                                </w:rPr>
                                <w:t>Un agent basé au bureau municipal de Sokone</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1125" name="AutoShape 354"/>
                        <wps:cNvCnPr>
                          <a:cxnSpLocks noChangeShapeType="1"/>
                        </wps:cNvCnPr>
                        <wps:spPr bwMode="auto">
                          <a:xfrm rot="5400000">
                            <a:off x="19145" y="18002"/>
                            <a:ext cx="2286" cy="16574"/>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AutoShape 17"/>
                        <wps:cNvCnPr>
                          <a:cxnSpLocks noChangeShapeType="1"/>
                        </wps:cNvCnPr>
                        <wps:spPr bwMode="auto">
                          <a:xfrm rot="16200000" flipH="1">
                            <a:off x="35719" y="18001"/>
                            <a:ext cx="2286" cy="16573"/>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Rectangle 356"/>
                        <wps:cNvSpPr>
                          <a:spLocks noChangeArrowheads="1"/>
                        </wps:cNvSpPr>
                        <wps:spPr bwMode="auto">
                          <a:xfrm>
                            <a:off x="14859" y="27432"/>
                            <a:ext cx="16002"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de Niokolokoba</w:t>
                              </w:r>
                            </w:p>
                            <w:p w:rsidR="00061010" w:rsidRPr="00483A6B" w:rsidRDefault="00061010" w:rsidP="00876F2E">
                              <w:pPr>
                                <w:jc w:val="center"/>
                                <w:rPr>
                                  <w:sz w:val="18"/>
                                  <w:szCs w:val="18"/>
                                </w:rPr>
                              </w:pPr>
                              <w:r>
                                <w:rPr>
                                  <w:sz w:val="18"/>
                                  <w:szCs w:val="18"/>
                                </w:rPr>
                                <w:t>Un agent basé à 50 % à Tamba et 50 % à Kédougou</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1128" name="AutoShape 357"/>
                        <wps:cNvCnPr>
                          <a:cxnSpLocks noChangeShapeType="1"/>
                        </wps:cNvCnPr>
                        <wps:spPr bwMode="auto">
                          <a:xfrm>
                            <a:off x="28575" y="25146"/>
                            <a:ext cx="6" cy="2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358"/>
                        <wps:cNvCnPr>
                          <a:cxnSpLocks noChangeShapeType="1"/>
                        </wps:cNvCnPr>
                        <wps:spPr bwMode="auto">
                          <a:xfrm rot="-5400000">
                            <a:off x="18858" y="5144"/>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A98AC" id="Groupe 1" o:spid="_x0000_s1047" style="width:477pt;height:4in;mso-position-horizontal-relative:char;mso-position-vertical-relative:line" coordorigin="-1143"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">
                <v:rect id="_x0000_s1048" style="position:absolute;width:59436;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v:rect>
                <v:rect id="Rectangle 342" o:spid="_x0000_s1049" style="position:absolute;left:21717;top:19437;width:1371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" fillcolor="#fc9">
                  <v:shadow on="t" color="black" opacity=".5" offset="6pt,6pt"/>
                  <v:textbox>
                    <w:txbxContent>
                      <w:p w:rsidR="00061010" w:rsidRDefault="00061010" w:rsidP="00876F2E">
                        <w:pPr>
                          <w:jc w:val="center"/>
                          <w:rPr>
                            <w:b/>
                            <w:sz w:val="18"/>
                            <w:szCs w:val="18"/>
                          </w:rPr>
                        </w:pPr>
                        <w:r>
                          <w:rPr>
                            <w:b/>
                            <w:sz w:val="18"/>
                            <w:szCs w:val="18"/>
                          </w:rPr>
                          <w:t>Gestionnaire de projet</w:t>
                        </w:r>
                      </w:p>
                      <w:p w:rsidR="00061010" w:rsidRPr="00EB563F" w:rsidRDefault="00061010" w:rsidP="00876F2E">
                        <w:pPr>
                          <w:jc w:val="center"/>
                          <w:rPr>
                            <w:szCs w:val="20"/>
                          </w:rPr>
                        </w:pPr>
                      </w:p>
                    </w:txbxContent>
                  </v:textbox>
                </v:rect>
                <v:rect id="Rectangle 343" o:spid="_x0000_s1050"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" fillcolor="#f90">
                  <v:shadow on="t" color="black" opacity=".5" offset="6pt,6pt"/>
                  <v:textbox>
                    <w:txbxContent>
                      <w:p w:rsidR="00061010" w:rsidRDefault="00061010" w:rsidP="00876F2E">
                        <w:pPr>
                          <w:jc w:val="center"/>
                          <w:rPr>
                            <w:b/>
                          </w:rPr>
                        </w:pPr>
                        <w:r>
                          <w:rPr>
                            <w:b/>
                          </w:rPr>
                          <w:t>Comité de Pilotage (CP)</w:t>
                        </w:r>
                      </w:p>
                    </w:txbxContent>
                  </v:textbox>
                </v:rect>
                <v:rect id="Rectangle 344" o:spid="_x0000_s1051"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" fillcolor="#fc0">
                  <v:shadow on="t" color="black" opacity=".5" offset="6pt,6pt"/>
                  <v:textbox>
                    <w:txbxContent>
                      <w:p w:rsidR="00061010" w:rsidRPr="0008285F" w:rsidRDefault="00061010" w:rsidP="00876F2E">
                        <w:pPr>
                          <w:jc w:val="center"/>
                          <w:rPr>
                            <w:b/>
                            <w:bCs/>
                            <w:sz w:val="18"/>
                            <w:szCs w:val="18"/>
                          </w:rPr>
                        </w:pPr>
                        <w:r>
                          <w:rPr>
                            <w:b/>
                            <w:bCs/>
                            <w:sz w:val="18"/>
                            <w:szCs w:val="18"/>
                          </w:rPr>
                          <w:t xml:space="preserve">Bénéficiaire principal :  </w:t>
                        </w:r>
                      </w:p>
                      <w:p w:rsidR="00061010" w:rsidRPr="0008285F" w:rsidRDefault="00061010" w:rsidP="00876F2E">
                        <w:pPr>
                          <w:jc w:val="center"/>
                          <w:rPr>
                            <w:i/>
                            <w:sz w:val="18"/>
                            <w:szCs w:val="18"/>
                          </w:rPr>
                        </w:pPr>
                        <w:r>
                          <w:rPr>
                            <w:b/>
                            <w:bCs/>
                            <w:i/>
                            <w:sz w:val="18"/>
                            <w:szCs w:val="18"/>
                          </w:rPr>
                          <w:t>CINTER, ANACIM, ONG, ANEV, MEDD</w:t>
                        </w:r>
                      </w:p>
                    </w:txbxContent>
                  </v:textbox>
                </v:rect>
                <v:rect id="Rectangle 345" o:spid="_x0000_s1052"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" fillcolor="#fc0">
                  <v:shadow on="t" color="black" opacity=".5" offset="6pt,6pt"/>
                  <v:textbox>
                    <w:txbxContent>
                      <w:p w:rsidR="00061010" w:rsidRDefault="00061010" w:rsidP="00876F2E">
                        <w:pPr>
                          <w:spacing w:before="100" w:beforeAutospacing="1" w:after="100" w:afterAutospacing="1"/>
                          <w:jc w:val="center"/>
                          <w:rPr>
                            <w:rFonts w:cs="Arial"/>
                            <w:szCs w:val="20"/>
                          </w:rPr>
                        </w:pPr>
                        <w:r>
                          <w:rPr>
                            <w:b/>
                            <w:sz w:val="18"/>
                            <w:szCs w:val="18"/>
                          </w:rPr>
                          <w:t>Responsable exécutif :</w:t>
                        </w:r>
                      </w:p>
                      <w:p w:rsidR="00061010" w:rsidRPr="00CC62A9" w:rsidRDefault="00061010" w:rsidP="00876F2E">
                        <w:pPr>
                          <w:spacing w:before="100" w:beforeAutospacing="1" w:after="100" w:afterAutospacing="1"/>
                          <w:jc w:val="center"/>
                          <w:rPr>
                            <w:rFonts w:cs="Arial"/>
                            <w:i/>
                            <w:szCs w:val="20"/>
                          </w:rPr>
                        </w:pPr>
                        <w:r>
                          <w:rPr>
                            <w:i/>
                            <w:szCs w:val="20"/>
                          </w:rPr>
                          <w:t>MEDD</w:t>
                        </w:r>
                      </w:p>
                      <w:p w:rsidR="00061010" w:rsidRDefault="00061010" w:rsidP="00876F2E">
                        <w:pPr>
                          <w:jc w:val="center"/>
                          <w:rPr>
                            <w:b/>
                            <w:sz w:val="18"/>
                            <w:szCs w:val="18"/>
                          </w:rPr>
                        </w:pPr>
                      </w:p>
                      <w:p w:rsidR="00061010" w:rsidRPr="00EB563F" w:rsidRDefault="00061010" w:rsidP="00876F2E">
                        <w:pPr>
                          <w:jc w:val="center"/>
                          <w:rPr>
                            <w:b/>
                            <w:szCs w:val="20"/>
                          </w:rPr>
                        </w:pPr>
                      </w:p>
                    </w:txbxContent>
                  </v:textbox>
                </v:rect>
                <v:rect id="Rectangle 346" o:spid="_x0000_s1053"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" fillcolor="#fc0">
                  <v:shadow on="t" color="black" opacity=".5" offset="6pt,6pt"/>
                  <v:textbox>
                    <w:txbxContent>
                      <w:p w:rsidR="00061010" w:rsidRPr="00CA0EEF" w:rsidRDefault="00061010" w:rsidP="00876F2E">
                        <w:pPr>
                          <w:jc w:val="center"/>
                          <w:rPr>
                            <w:b/>
                            <w:bCs/>
                            <w:sz w:val="18"/>
                            <w:szCs w:val="18"/>
                          </w:rPr>
                        </w:pPr>
                        <w:r>
                          <w:rPr>
                            <w:b/>
                            <w:bCs/>
                            <w:sz w:val="18"/>
                            <w:szCs w:val="18"/>
                          </w:rPr>
                          <w:t>Fournisseur principal :</w:t>
                        </w:r>
                      </w:p>
                      <w:p w:rsidR="00061010" w:rsidRPr="001C7E82" w:rsidRDefault="00061010" w:rsidP="00876F2E">
                        <w:pPr>
                          <w:jc w:val="center"/>
                          <w:rPr>
                            <w:i/>
                            <w:sz w:val="18"/>
                            <w:szCs w:val="18"/>
                          </w:rPr>
                        </w:pPr>
                        <w:r>
                          <w:rPr>
                            <w:b/>
                            <w:bCs/>
                            <w:i/>
                            <w:sz w:val="18"/>
                            <w:szCs w:val="18"/>
                          </w:rPr>
                          <w:t>MEDD (DPN et DEFCC), ANACIM, ONG, Pop. locale</w:t>
                        </w:r>
                      </w:p>
                      <w:p w:rsidR="00061010" w:rsidRPr="0008285F" w:rsidRDefault="00061010" w:rsidP="00876F2E">
                        <w:pPr>
                          <w:jc w:val="center"/>
                          <w:rPr>
                            <w:szCs w:val="20"/>
                          </w:rPr>
                        </w:pPr>
                      </w:p>
                    </w:txbxContent>
                  </v:textbox>
                </v:rect>
                <v:shape id="AutoShape 347" o:spid="_x0000_s1054" type="#_x0000_t32" style="position:absolute;left:28575;top:13716;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rect id="Rectangle 348" o:spid="_x0000_s1055" style="position:absolute;left:2286;top:14859;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" fillcolor="#fc0">
                  <v:shadow on="t" color="black" opacity=".5" offset="6pt,6pt"/>
                  <v:textbox>
                    <w:txbxContent>
                      <w:p w:rsidR="00061010" w:rsidRDefault="00061010" w:rsidP="00876F2E">
                        <w:pPr>
                          <w:jc w:val="center"/>
                          <w:rPr>
                            <w:b/>
                            <w:sz w:val="18"/>
                            <w:szCs w:val="18"/>
                          </w:rPr>
                        </w:pPr>
                        <w:r>
                          <w:rPr>
                            <w:b/>
                            <w:sz w:val="18"/>
                            <w:szCs w:val="18"/>
                          </w:rPr>
                          <w:t>Assurance projet</w:t>
                        </w:r>
                      </w:p>
                      <w:p w:rsidR="00061010" w:rsidRPr="001C7E82" w:rsidRDefault="00061010" w:rsidP="00876F2E">
                        <w:pPr>
                          <w:jc w:val="center"/>
                          <w:rPr>
                            <w:i/>
                            <w:sz w:val="18"/>
                            <w:szCs w:val="18"/>
                          </w:rPr>
                        </w:pPr>
                        <w:r>
                          <w:rPr>
                            <w:b/>
                            <w:bCs/>
                            <w:i/>
                            <w:sz w:val="18"/>
                            <w:szCs w:val="18"/>
                          </w:rPr>
                          <w:t>Chargé de programme Bureau de pays du PNUD</w:t>
                        </w:r>
                      </w:p>
                      <w:p w:rsidR="00061010" w:rsidRPr="00EB563F" w:rsidRDefault="00061010" w:rsidP="00876F2E">
                        <w:pPr>
                          <w:pStyle w:val="Corpsdetexte3"/>
                          <w:jc w:val="center"/>
                          <w:rPr>
                            <w:b/>
                            <w:bCs/>
                          </w:rPr>
                        </w:pPr>
                      </w:p>
                    </w:txbxContent>
                  </v:textbox>
                </v:rect>
                <v:rect id="Rectangle 349" o:spid="_x0000_s1056" style="position:absolute;left:38862;top:19431;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" fillcolor="#fc9">
                  <v:shadow on="t" color="black" opacity=".5" offset="6pt,6pt"/>
                  <v:textbox>
                    <w:txbxContent>
                      <w:p w:rsidR="00061010" w:rsidRDefault="00061010" w:rsidP="00876F2E">
                        <w:pPr>
                          <w:jc w:val="center"/>
                          <w:rPr>
                            <w:b/>
                            <w:sz w:val="18"/>
                            <w:szCs w:val="18"/>
                          </w:rPr>
                        </w:pPr>
                        <w:r>
                          <w:rPr>
                            <w:b/>
                            <w:sz w:val="18"/>
                            <w:szCs w:val="18"/>
                          </w:rPr>
                          <w:t>Appui au projet</w:t>
                        </w:r>
                      </w:p>
                      <w:p w:rsidR="00061010" w:rsidRPr="00533EDF" w:rsidRDefault="00061010" w:rsidP="00876F2E">
                        <w:pPr>
                          <w:jc w:val="center"/>
                          <w:rPr>
                            <w:sz w:val="18"/>
                            <w:szCs w:val="18"/>
                          </w:rPr>
                        </w:pPr>
                        <w:r>
                          <w:rPr>
                            <w:sz w:val="18"/>
                            <w:szCs w:val="18"/>
                          </w:rPr>
                          <w:t>Finances et administration, agent M&amp;O, Comm.</w:t>
                        </w:r>
                      </w:p>
                      <w:p w:rsidR="00061010" w:rsidRDefault="00061010" w:rsidP="00876F2E">
                        <w:pPr>
                          <w:spacing w:before="120"/>
                          <w:jc w:val="center"/>
                          <w:rPr>
                            <w:sz w:val="18"/>
                            <w:szCs w:val="18"/>
                          </w:rPr>
                        </w:pPr>
                      </w:p>
                    </w:txbxContent>
                  </v:textbox>
                </v:rect>
                <v:shape id="AutoShape 350" o:spid="_x0000_s1057"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k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L9cCb98IyPo/T8AAAD//wMAUEsBAi0AFAAGAAgAAAAhANvh9svuAAAAhQEAABMAAAAAAAAA&#10;AAAAAAAAAAAAAFtDb250ZW50X1R5cGVzXS54bWxQSwECLQAUAAYACAAAACEAWvQsW78AAAAVAQAA&#10;CwAAAAAAAAAAAAAAAAAfAQAAX3JlbHMvLnJlbHNQSwECLQAUAAYACAAAACEA0Qd7pMYAAADdAAAA&#10;DwAAAAAAAAAAAAAAAAAHAgAAZHJzL2Rvd25yZXYueG1sUEsFBgAAAAADAAMAtwAAAPoCAAAAAA==&#10;"/>
                <v:roundrect id="AutoShape 351" o:spid="_x0000_s1058"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" fillcolor="#9cf">
                  <v:textbox>
                    <w:txbxContent>
                      <w:p w:rsidR="00061010" w:rsidRPr="001D0B24" w:rsidRDefault="00061010" w:rsidP="00876F2E">
                        <w:pPr>
                          <w:spacing w:after="0"/>
                          <w:jc w:val="center"/>
                          <w:rPr>
                            <w:b/>
                            <w:sz w:val="24"/>
                          </w:rPr>
                        </w:pPr>
                        <w:r>
                          <w:rPr>
                            <w:b/>
                            <w:sz w:val="24"/>
                          </w:rPr>
                          <w:t>Structure organisationnelle du projet</w:t>
                        </w:r>
                      </w:p>
                    </w:txbxContent>
                  </v:textbox>
                </v:roundrect>
                <v:rect id="Rectangle 352" o:spid="_x0000_s1059" style="position:absolute;left:-1143;top:2715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" fillcolor="#ff9">
                  <v:shadow on="t" color="black" opacity=".5" offset="6pt,6pt"/>
                  <v:textbox>
                    <w:txbxContent>
                      <w:p w:rsidR="00061010" w:rsidRDefault="00061010" w:rsidP="00876F2E">
                        <w:pPr>
                          <w:jc w:val="center"/>
                          <w:rPr>
                            <w:b/>
                            <w:sz w:val="18"/>
                            <w:szCs w:val="18"/>
                          </w:rPr>
                        </w:pPr>
                        <w:r>
                          <w:rPr>
                            <w:b/>
                            <w:sz w:val="18"/>
                            <w:szCs w:val="18"/>
                          </w:rPr>
                          <w:t>Site de Ferlo</w:t>
                        </w:r>
                      </w:p>
                      <w:p w:rsidR="00061010" w:rsidRDefault="00061010" w:rsidP="00876F2E">
                        <w:pPr>
                          <w:jc w:val="center"/>
                          <w:rPr>
                            <w:sz w:val="18"/>
                            <w:szCs w:val="18"/>
                          </w:rPr>
                        </w:pPr>
                        <w:r>
                          <w:rPr>
                            <w:sz w:val="18"/>
                            <w:szCs w:val="18"/>
                          </w:rPr>
                          <w:t>Un agent basé à Ranérou.</w:t>
                        </w:r>
                      </w:p>
                      <w:p w:rsidR="00061010" w:rsidRDefault="00061010" w:rsidP="00876F2E">
                        <w:pPr>
                          <w:jc w:val="center"/>
                          <w:rPr>
                            <w:sz w:val="18"/>
                            <w:szCs w:val="18"/>
                          </w:rPr>
                        </w:pPr>
                      </w:p>
                    </w:txbxContent>
                  </v:textbox>
                </v:rect>
                <v:rect id="Rectangle 15" o:spid="_x0000_s1060" style="position:absolute;left:32004;top:2715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" fillcolor="#ff9">
                  <v:shadow on="t" color="black" opacity=".5" offset="6pt,6pt"/>
                  <v:textbox>
                    <w:txbxContent>
                      <w:p w:rsidR="00061010" w:rsidRDefault="00061010" w:rsidP="00876F2E">
                        <w:pPr>
                          <w:jc w:val="center"/>
                          <w:rPr>
                            <w:b/>
                            <w:sz w:val="18"/>
                            <w:szCs w:val="18"/>
                          </w:rPr>
                        </w:pPr>
                        <w:r>
                          <w:rPr>
                            <w:b/>
                            <w:sz w:val="18"/>
                            <w:szCs w:val="18"/>
                          </w:rPr>
                          <w:t>Site du Delta du Saloum</w:t>
                        </w:r>
                      </w:p>
                      <w:p w:rsidR="00061010" w:rsidRPr="00483A6B" w:rsidRDefault="00061010" w:rsidP="00876F2E">
                        <w:pPr>
                          <w:jc w:val="center"/>
                          <w:rPr>
                            <w:sz w:val="18"/>
                            <w:szCs w:val="18"/>
                          </w:rPr>
                        </w:pPr>
                        <w:r>
                          <w:rPr>
                            <w:sz w:val="18"/>
                            <w:szCs w:val="18"/>
                          </w:rPr>
                          <w:t>Un agent basé au bureau municipal de Sokone</w:t>
                        </w:r>
                      </w:p>
                      <w:p w:rsidR="00061010" w:rsidRPr="00EB563F" w:rsidRDefault="00061010" w:rsidP="00876F2E">
                        <w:pPr>
                          <w:jc w:val="center"/>
                          <w:rPr>
                            <w:szCs w:val="20"/>
                          </w:rPr>
                        </w:pPr>
                      </w:p>
                    </w:txbxContent>
                  </v:textbox>
                </v:rect>
                <v:shape id="AutoShape 354" o:spid="_x0000_s1061"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" adj="10740"/>
                <v:shape id="AutoShape 17" o:spid="_x0000_s1062" type="#_x0000_t34" style="position:absolute;left:35719;top:18001;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" adj="10740"/>
                <v:rect id="Rectangle 356" o:spid="_x0000_s1063" style="position:absolute;left:14859;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" fillcolor="#ff9">
                  <v:shadow on="t" color="black" opacity=".5" offset="6pt,6pt"/>
                  <v:textbox>
                    <w:txbxContent>
                      <w:p w:rsidR="00061010" w:rsidRDefault="00061010" w:rsidP="00876F2E">
                        <w:pPr>
                          <w:jc w:val="center"/>
                          <w:rPr>
                            <w:b/>
                            <w:sz w:val="18"/>
                            <w:szCs w:val="18"/>
                          </w:rPr>
                        </w:pPr>
                        <w:r>
                          <w:rPr>
                            <w:b/>
                            <w:sz w:val="18"/>
                            <w:szCs w:val="18"/>
                          </w:rPr>
                          <w:t>Site de Niokolokoba</w:t>
                        </w:r>
                      </w:p>
                      <w:p w:rsidR="00061010" w:rsidRPr="00483A6B" w:rsidRDefault="00061010" w:rsidP="00876F2E">
                        <w:pPr>
                          <w:jc w:val="center"/>
                          <w:rPr>
                            <w:sz w:val="18"/>
                            <w:szCs w:val="18"/>
                          </w:rPr>
                        </w:pPr>
                        <w:r>
                          <w:rPr>
                            <w:sz w:val="18"/>
                            <w:szCs w:val="18"/>
                          </w:rPr>
                          <w:t>Un agent basé à 50 % à Tamba et 50 % à Kédougou</w:t>
                        </w:r>
                      </w:p>
                      <w:p w:rsidR="00061010" w:rsidRPr="00EB563F" w:rsidRDefault="00061010" w:rsidP="00876F2E">
                        <w:pPr>
                          <w:jc w:val="center"/>
                          <w:rPr>
                            <w:szCs w:val="20"/>
                          </w:rPr>
                        </w:pPr>
                      </w:p>
                    </w:txbxContent>
                  </v:textbox>
                </v:rect>
                <v:shape id="AutoShape 357" o:spid="_x0000_s1064"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"/>
                <v:shape id="AutoShape 358" o:spid="_x0000_s1065"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"/>
                <w10:anchorlock/>
              </v:group>
            </w:pict>
          </mc:Fallback>
        </mc:AlternateContent>
      </w:r>
      <w:r w:rsidR="00876F2E">
        <w:t xml:space="preserv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AE3BD3" w:rsidRDefault="00876F2E" w:rsidP="00876F2E">
      <w:pPr>
        <w:pStyle w:val="NumberedParas"/>
        <w:numPr>
          <w:ilvl w:val="0"/>
          <w:numId w:val="0"/>
        </w:numPr>
        <w:rPr>
          <w:b/>
          <w:i/>
          <w:sz w:val="22"/>
        </w:rPr>
      </w:pPr>
    </w:p>
    <w:p w:rsidR="00876F2E" w:rsidRPr="007F5D87" w:rsidRDefault="00876F2E" w:rsidP="00876F2E">
      <w:pPr>
        <w:pStyle w:val="NumberedParas"/>
        <w:numPr>
          <w:ilvl w:val="0"/>
          <w:numId w:val="0"/>
        </w:numPr>
        <w:jc w:val="center"/>
        <w:rPr>
          <w:b/>
          <w:i/>
        </w:rPr>
      </w:pPr>
      <w:r>
        <w:rPr>
          <w:b/>
          <w:i/>
          <w:sz w:val="22"/>
        </w:rPr>
        <w:t>Figure</w:t>
      </w:r>
      <w:r w:rsidR="00384043">
        <w:rPr>
          <w:b/>
          <w:i/>
          <w:sz w:val="22"/>
        </w:rPr>
        <w:t> </w:t>
      </w:r>
      <w:r w:rsidR="00DD457B" w:rsidRPr="007F5D87">
        <w:rPr>
          <w:b/>
          <w:i/>
          <w:sz w:val="22"/>
        </w:rPr>
        <w:fldChar w:fldCharType="begin"/>
      </w:r>
      <w:r w:rsidRPr="007F5D87">
        <w:rPr>
          <w:b/>
          <w:i/>
          <w:sz w:val="22"/>
        </w:rPr>
        <w:instrText xml:space="preserve"> SEQ Figure \* ARABIC </w:instrText>
      </w:r>
      <w:r w:rsidR="00DD457B" w:rsidRPr="007F5D87">
        <w:rPr>
          <w:b/>
          <w:i/>
          <w:sz w:val="22"/>
        </w:rPr>
        <w:fldChar w:fldCharType="separate"/>
      </w:r>
      <w:r w:rsidR="009375FA">
        <w:rPr>
          <w:b/>
          <w:i/>
          <w:noProof/>
          <w:sz w:val="22"/>
        </w:rPr>
        <w:t>7</w:t>
      </w:r>
      <w:r w:rsidR="00DD457B" w:rsidRPr="007F5D87">
        <w:rPr>
          <w:b/>
          <w:i/>
          <w:sz w:val="22"/>
        </w:rPr>
        <w:fldChar w:fldCharType="end"/>
      </w:r>
      <w:r w:rsidR="00384043">
        <w:rPr>
          <w:b/>
          <w:i/>
          <w:sz w:val="22"/>
        </w:rPr>
        <w:t> </w:t>
      </w:r>
      <w:r>
        <w:rPr>
          <w:b/>
          <w:i/>
          <w:sz w:val="22"/>
        </w:rPr>
        <w:t>: Organigramme des modalités de gestion du projet financé par le Fonds pour les PMA.</w:t>
      </w:r>
    </w:p>
    <w:p w:rsidR="00876F2E" w:rsidRPr="007F5D87" w:rsidRDefault="00876F2E" w:rsidP="00876F2E">
      <w:pPr>
        <w:pStyle w:val="NumberedParas"/>
        <w:numPr>
          <w:ilvl w:val="0"/>
          <w:numId w:val="0"/>
        </w:numPr>
        <w:rPr>
          <w:noProof/>
          <w:lang w:eastAsia="zh-CN"/>
        </w:rPr>
      </w:pPr>
    </w:p>
    <w:p w:rsidR="00876F2E" w:rsidRPr="007F5D87" w:rsidRDefault="00876F2E" w:rsidP="00876F2E">
      <w:pPr>
        <w:pStyle w:val="NumberedParas"/>
        <w:rPr>
          <w:noProof/>
        </w:rPr>
      </w:pPr>
      <w:r>
        <w:t xml:space="preserve">Les membres éventuels du </w:t>
      </w:r>
      <w:r w:rsidR="00F25222">
        <w:t>C</w:t>
      </w:r>
      <w:r w:rsidR="00E8322C">
        <w:t>P</w:t>
      </w:r>
      <w:r>
        <w:t xml:space="preserve"> voient leur</w:t>
      </w:r>
      <w:r w:rsidR="00AE3BD3">
        <w:t>s</w:t>
      </w:r>
      <w:r>
        <w:t xml:space="preserve"> candidatures examinées et recommandées pour approbation au cours de la réunion. Par exemple, le rôle de responsable exécutif peut être tenu par un représentant de l’agence gouvernementale de coopération ou du PNUD, le rôle de fournisseur principal par un représentant du MEDD et/ou du PNUD, et le rôle de bénéficiaire principal par un représentant du gouvernement ou de la société civile. Des représentants d’autres parties prenantes peuvent être inclus dans le </w:t>
      </w:r>
      <w:r w:rsidR="00F25222">
        <w:t>C</w:t>
      </w:r>
      <w:r w:rsidR="00E8322C">
        <w:t>P</w:t>
      </w:r>
      <w:r>
        <w:t>, s’il y a lieu.</w:t>
      </w:r>
    </w:p>
    <w:p w:rsidR="00876F2E" w:rsidRPr="007F5D87" w:rsidRDefault="00876F2E" w:rsidP="00876F2E">
      <w:pPr>
        <w:pStyle w:val="NumberedParas"/>
        <w:numPr>
          <w:ilvl w:val="0"/>
          <w:numId w:val="0"/>
        </w:numPr>
        <w:rPr>
          <w:noProof/>
          <w:lang w:eastAsia="zh-CN"/>
        </w:rPr>
      </w:pPr>
    </w:p>
    <w:p w:rsidR="00876F2E" w:rsidRPr="007F5D87" w:rsidRDefault="00876F2E" w:rsidP="00876F2E">
      <w:pPr>
        <w:pStyle w:val="NumberedParas"/>
        <w:rPr>
          <w:noProof/>
        </w:rPr>
      </w:pPr>
      <w:r>
        <w:t xml:space="preserve">Les responsabilités particulières du </w:t>
      </w:r>
      <w:r w:rsidR="00F25222">
        <w:t>C</w:t>
      </w:r>
      <w:r w:rsidR="00E8322C">
        <w:t>P</w:t>
      </w:r>
      <w:r>
        <w:t xml:space="preserve"> suivantes</w:t>
      </w:r>
      <w:r w:rsidR="002575A2">
        <w:t> </w:t>
      </w:r>
      <w:r w:rsidR="00C96028">
        <w:t xml:space="preserve">seront précisées par arrêté du Ministre de l’environnement et du développement durable </w:t>
      </w:r>
      <w:r w:rsidR="002575A2">
        <w:t>:</w:t>
      </w:r>
    </w:p>
    <w:p w:rsidR="00876F2E" w:rsidRPr="007F5D87" w:rsidRDefault="00876F2E" w:rsidP="00876F2E">
      <w:pPr>
        <w:pStyle w:val="NumberedParas"/>
        <w:numPr>
          <w:ilvl w:val="0"/>
          <w:numId w:val="0"/>
        </w:numPr>
        <w:rPr>
          <w:noProof/>
        </w:rPr>
      </w:pPr>
    </w:p>
    <w:tbl>
      <w:tblPr>
        <w:tblStyle w:val="Grilledutableau"/>
        <w:tblW w:w="0" w:type="auto"/>
        <w:tblLook w:val="04A0" w:firstRow="1" w:lastRow="0" w:firstColumn="1" w:lastColumn="0" w:noHBand="0" w:noVBand="1"/>
      </w:tblPr>
      <w:tblGrid>
        <w:gridCol w:w="9062"/>
      </w:tblGrid>
      <w:tr w:rsidR="00876F2E" w:rsidRPr="007F5D87" w:rsidTr="00A444DE">
        <w:tc>
          <w:tcPr>
            <w:tcW w:w="9500" w:type="dxa"/>
            <w:shd w:val="clear" w:color="auto" w:fill="D9D9D9" w:themeFill="background1" w:themeFillShade="D9"/>
          </w:tcPr>
          <w:p w:rsidR="00876F2E" w:rsidRPr="007F5D87" w:rsidRDefault="00876F2E" w:rsidP="00A444DE">
            <w:pPr>
              <w:pStyle w:val="NumberedParas"/>
              <w:numPr>
                <w:ilvl w:val="0"/>
                <w:numId w:val="0"/>
              </w:numPr>
              <w:jc w:val="center"/>
              <w:rPr>
                <w:noProof/>
              </w:rPr>
            </w:pPr>
            <w:r>
              <w:rPr>
                <w:u w:val="single"/>
              </w:rPr>
              <w:t>Tableau</w:t>
            </w:r>
            <w:r w:rsidR="002272D3">
              <w:rPr>
                <w:u w:val="single"/>
              </w:rPr>
              <w:t> </w:t>
            </w:r>
            <w:r w:rsidR="00DD457B" w:rsidRPr="007F5D87">
              <w:rPr>
                <w:i/>
                <w:u w:val="single"/>
              </w:rPr>
              <w:fldChar w:fldCharType="begin"/>
            </w:r>
            <w:r w:rsidRPr="007F5D87">
              <w:rPr>
                <w:u w:val="single"/>
              </w:rPr>
              <w:instrText xml:space="preserve"> SEQ Tableau \* ARABIC </w:instrText>
            </w:r>
            <w:r w:rsidR="00DD457B" w:rsidRPr="007F5D87">
              <w:rPr>
                <w:i/>
                <w:u w:val="single"/>
              </w:rPr>
              <w:fldChar w:fldCharType="separate"/>
            </w:r>
            <w:r w:rsidR="009375FA">
              <w:rPr>
                <w:noProof/>
                <w:u w:val="single"/>
              </w:rPr>
              <w:t>2</w:t>
            </w:r>
            <w:r w:rsidR="00DD457B" w:rsidRPr="007F5D87">
              <w:rPr>
                <w:i/>
                <w:u w:val="single"/>
              </w:rPr>
              <w:fldChar w:fldCharType="end"/>
            </w:r>
            <w:r w:rsidR="00384043">
              <w:rPr>
                <w:i/>
                <w:u w:val="single"/>
              </w:rPr>
              <w:t> </w:t>
            </w:r>
            <w:r>
              <w:rPr>
                <w:u w:val="single"/>
              </w:rPr>
              <w:t xml:space="preserve">: </w:t>
            </w:r>
            <w:r>
              <w:t xml:space="preserve">Responsabilités du </w:t>
            </w:r>
            <w:r w:rsidR="00F25222">
              <w:t>C</w:t>
            </w:r>
            <w:r w:rsidR="00E8322C">
              <w:t>P</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Définir un projet</w:t>
            </w:r>
          </w:p>
        </w:tc>
      </w:tr>
      <w:tr w:rsidR="00876F2E" w:rsidRPr="007F5D87" w:rsidTr="00A444DE">
        <w:tc>
          <w:tcPr>
            <w:tcW w:w="9500" w:type="dxa"/>
          </w:tcPr>
          <w:p w:rsidR="00876F2E" w:rsidRPr="007F5D87" w:rsidRDefault="00876F2E" w:rsidP="00771667">
            <w:pPr>
              <w:numPr>
                <w:ilvl w:val="0"/>
                <w:numId w:val="24"/>
              </w:numPr>
              <w:tabs>
                <w:tab w:val="num" w:pos="142"/>
              </w:tabs>
              <w:spacing w:after="0"/>
              <w:ind w:left="1134" w:hanging="1134"/>
              <w:rPr>
                <w:rFonts w:ascii="Times New Roman" w:hAnsi="Times New Roman"/>
                <w:sz w:val="22"/>
                <w:szCs w:val="20"/>
              </w:rPr>
            </w:pPr>
            <w:r>
              <w:rPr>
                <w:rFonts w:ascii="Times New Roman" w:hAnsi="Times New Roman"/>
                <w:sz w:val="22"/>
                <w:szCs w:val="20"/>
              </w:rPr>
              <w:t>Examiner et approuver le plan de lancement (si ce plan était requis et présenté au C</w:t>
            </w:r>
            <w:r w:rsidR="003A50A5">
              <w:rPr>
                <w:rFonts w:ascii="Times New Roman" w:hAnsi="Times New Roman"/>
                <w:sz w:val="22"/>
                <w:szCs w:val="20"/>
              </w:rPr>
              <w:t>L</w:t>
            </w:r>
            <w:r>
              <w:rPr>
                <w:rFonts w:ascii="Times New Roman" w:hAnsi="Times New Roman"/>
                <w:sz w:val="22"/>
                <w:szCs w:val="20"/>
              </w:rPr>
              <w:t>EP).</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Cs w:val="20"/>
              </w:rPr>
            </w:pPr>
            <w:r>
              <w:rPr>
                <w:rFonts w:ascii="Times New Roman" w:hAnsi="Times New Roman"/>
                <w:i/>
                <w:sz w:val="22"/>
                <w:szCs w:val="20"/>
              </w:rPr>
              <w:t>Lancement d’un projet</w:t>
            </w:r>
          </w:p>
        </w:tc>
      </w:tr>
      <w:tr w:rsidR="00876F2E" w:rsidRPr="007F5D87" w:rsidTr="00A444DE">
        <w:tc>
          <w:tcPr>
            <w:tcW w:w="9500" w:type="dxa"/>
          </w:tcPr>
          <w:p w:rsidR="00876F2E" w:rsidRPr="007F5D87" w:rsidRDefault="00876F2E" w:rsidP="00771667">
            <w:pPr>
              <w:numPr>
                <w:ilvl w:val="0"/>
                <w:numId w:val="21"/>
              </w:numPr>
              <w:tabs>
                <w:tab w:val="clear" w:pos="720"/>
                <w:tab w:val="num" w:pos="142"/>
              </w:tabs>
              <w:spacing w:after="0"/>
              <w:ind w:left="0" w:firstLine="0"/>
              <w:rPr>
                <w:rFonts w:ascii="Times New Roman" w:hAnsi="Times New Roman"/>
                <w:sz w:val="22"/>
                <w:szCs w:val="20"/>
              </w:rPr>
            </w:pPr>
            <w:r>
              <w:rPr>
                <w:rFonts w:ascii="Times New Roman" w:hAnsi="Times New Roman"/>
                <w:sz w:val="22"/>
                <w:szCs w:val="20"/>
              </w:rPr>
              <w:t>Convenir des responsabilités du Coordonnateur de projet, ainsi que celles des autres membres de l’unité de coordination du projet (UCP).</w:t>
            </w:r>
          </w:p>
          <w:p w:rsidR="00876F2E" w:rsidRPr="007F5D87" w:rsidRDefault="00876F2E" w:rsidP="00771667">
            <w:pPr>
              <w:numPr>
                <w:ilvl w:val="0"/>
                <w:numId w:val="21"/>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Déléguer toute fonction d’assurance du projet, le cas échéant.</w:t>
            </w:r>
          </w:p>
          <w:p w:rsidR="00876F2E" w:rsidRPr="007F5D87" w:rsidRDefault="00876F2E" w:rsidP="00771667">
            <w:pPr>
              <w:numPr>
                <w:ilvl w:val="0"/>
                <w:numId w:val="21"/>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Examiner le rapport d’étape pour l’étape de lancement (si un plan de lancement était requis).</w:t>
            </w:r>
          </w:p>
          <w:p w:rsidR="00876F2E" w:rsidRPr="007F5D87" w:rsidRDefault="00876F2E" w:rsidP="00771667">
            <w:pPr>
              <w:numPr>
                <w:ilvl w:val="0"/>
                <w:numId w:val="21"/>
              </w:numPr>
              <w:tabs>
                <w:tab w:val="clear" w:pos="720"/>
                <w:tab w:val="num" w:pos="142"/>
              </w:tabs>
              <w:spacing w:after="0"/>
              <w:ind w:left="0" w:firstLine="0"/>
              <w:rPr>
                <w:rFonts w:ascii="Arial" w:hAnsi="Arial" w:cs="Arial"/>
                <w:szCs w:val="20"/>
              </w:rPr>
            </w:pPr>
            <w:r>
              <w:rPr>
                <w:rFonts w:ascii="Times New Roman" w:hAnsi="Times New Roman"/>
                <w:sz w:val="22"/>
                <w:szCs w:val="20"/>
              </w:rPr>
              <w:t>Examiner et évaluer le plan de projet et le plan de travail annuel détaillés, y compris les rapports d’Atlas sur la définition des activités, les critères de qualité, le registre des problèmes, le registre des risques mis à jour et le plan de suivi et de communication.</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Exécution d’un projet</w:t>
            </w:r>
          </w:p>
        </w:tc>
      </w:tr>
      <w:tr w:rsidR="00876F2E" w:rsidRPr="007F5D87" w:rsidTr="00A444DE">
        <w:tc>
          <w:tcPr>
            <w:tcW w:w="9500" w:type="dxa"/>
          </w:tcPr>
          <w:p w:rsidR="00876F2E" w:rsidRPr="007F5D87" w:rsidRDefault="00876F2E" w:rsidP="00771667">
            <w:pPr>
              <w:numPr>
                <w:ilvl w:val="0"/>
                <w:numId w:val="22"/>
              </w:numPr>
              <w:tabs>
                <w:tab w:val="clear" w:pos="720"/>
                <w:tab w:val="num" w:pos="142"/>
              </w:tabs>
              <w:spacing w:after="0"/>
              <w:ind w:left="0" w:firstLine="0"/>
              <w:rPr>
                <w:rFonts w:ascii="Times New Roman" w:hAnsi="Times New Roman"/>
                <w:sz w:val="22"/>
                <w:szCs w:val="20"/>
              </w:rPr>
            </w:pPr>
            <w:r>
              <w:rPr>
                <w:rFonts w:ascii="Times New Roman" w:hAnsi="Times New Roman"/>
                <w:sz w:val="22"/>
                <w:szCs w:val="20"/>
              </w:rPr>
              <w:t>Fournir des suggestions et une orientation générales au projet, en veillant à ce qu’il respecte les contraintes spécifiées.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Apporter des éléments de réponse aux question</w:t>
            </w:r>
            <w:r w:rsidR="003A50A5">
              <w:rPr>
                <w:rFonts w:ascii="Times New Roman" w:hAnsi="Times New Roman"/>
                <w:sz w:val="22"/>
                <w:szCs w:val="20"/>
              </w:rPr>
              <w:t>s posées par le Coordonnateur du</w:t>
            </w:r>
            <w:r>
              <w:rPr>
                <w:rFonts w:ascii="Times New Roman" w:hAnsi="Times New Roman"/>
                <w:sz w:val="22"/>
                <w:szCs w:val="20"/>
              </w:rPr>
              <w:t xml:space="preserve"> projet.</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Donner des conseils et convenir de contre-mesures ou de mesures de gestion possibles pour faire face à des risques particuliers.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Convenir de</w:t>
            </w:r>
            <w:r w:rsidR="003A50A5">
              <w:rPr>
                <w:rFonts w:ascii="Times New Roman" w:hAnsi="Times New Roman"/>
                <w:sz w:val="22"/>
                <w:szCs w:val="20"/>
              </w:rPr>
              <w:t>s tolérances du Coordonnateur du</w:t>
            </w:r>
            <w:r>
              <w:rPr>
                <w:rFonts w:ascii="Times New Roman" w:hAnsi="Times New Roman"/>
                <w:sz w:val="22"/>
                <w:szCs w:val="20"/>
              </w:rPr>
              <w:t xml:space="preserve"> projet dans le plan de travail annuel et les plans trimestriels au besoin.</w:t>
            </w:r>
          </w:p>
          <w:p w:rsidR="00876F2E" w:rsidRPr="007F5D87" w:rsidRDefault="00876F2E" w:rsidP="00771667">
            <w:pPr>
              <w:numPr>
                <w:ilvl w:val="0"/>
                <w:numId w:val="22"/>
              </w:numPr>
              <w:spacing w:after="0"/>
              <w:ind w:left="142" w:hanging="142"/>
              <w:rPr>
                <w:rFonts w:ascii="Times New Roman" w:hAnsi="Times New Roman"/>
                <w:sz w:val="22"/>
                <w:szCs w:val="20"/>
              </w:rPr>
            </w:pPr>
            <w:r>
              <w:rPr>
                <w:rFonts w:ascii="Times New Roman" w:hAnsi="Times New Roman"/>
                <w:sz w:val="22"/>
                <w:szCs w:val="20"/>
              </w:rPr>
              <w:t>Tenir des réunions régulières pour examiner le rapport trimestriel sur l’état d’avancement du projet et fournir des directives et des recommandations afin de s’assurer que les produits livrables convenus sont produits de façon satisfaisante conformément aux plans.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 xml:space="preserve">Examiner les rapports uniques de mise en œuvre avant la certification par le </w:t>
            </w:r>
            <w:r w:rsidR="00F06548">
              <w:rPr>
                <w:rFonts w:ascii="Times New Roman" w:hAnsi="Times New Roman"/>
                <w:sz w:val="22"/>
                <w:szCs w:val="20"/>
              </w:rPr>
              <w:t>Partenaire opérationnel</w:t>
            </w:r>
            <w:r>
              <w:rPr>
                <w:rFonts w:ascii="Times New Roman" w:hAnsi="Times New Roman"/>
                <w:sz w:val="22"/>
                <w:szCs w:val="20"/>
              </w:rPr>
              <w:t>.</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Évaluer le rapport d’examen annuel du projet, formuler des recommandations pour le prochain plan de travail annuel et informer le conseil chargé du suivi des résultats des conclusions de l’examen.</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Examiner et approuver le rapport final du projet, faire des recommandations pour les actions de suivi.</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Donner des directives et des conseils ponctuels dans les situations exceptionnelles lorsque les tolérances du Coordonnateur de projet sont dépassées.</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Évaluer et décider des changements à apporter au projet par le biais de révisions.</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Clôture d’un projet</w:t>
            </w:r>
          </w:p>
        </w:tc>
      </w:tr>
      <w:tr w:rsidR="00876F2E" w:rsidRPr="007F5D87" w:rsidTr="00A444DE">
        <w:tc>
          <w:tcPr>
            <w:tcW w:w="9500" w:type="dxa"/>
          </w:tcPr>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S’assurer que tous les produits livrables du projet ont été produits de façon satisfaisante.</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Examiner et approuver le rapport d’examen final du projet, y compris les enseignements tirés.</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Formuler des recommandations sur les mesures de suivi à soumettre au conseil chargé du suivi des résultats.</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Commanditer une évaluation du projet (seulement lorsque l’accord de partenariat le requière)</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 xml:space="preserve">Informer le conseil chargé du suivi des résultats de l’achèvement opérationnel du projet. </w:t>
            </w:r>
          </w:p>
        </w:tc>
      </w:tr>
    </w:tbl>
    <w:p w:rsidR="00876F2E" w:rsidRPr="007F5D87" w:rsidRDefault="00876F2E" w:rsidP="00876F2E">
      <w:pPr>
        <w:spacing w:after="0"/>
        <w:jc w:val="left"/>
      </w:pPr>
    </w:p>
    <w:p w:rsidR="00876F2E" w:rsidRPr="007F5D87" w:rsidRDefault="00876F2E" w:rsidP="00876F2E">
      <w:pPr>
        <w:pStyle w:val="NumberedParas"/>
        <w:rPr>
          <w:noProof/>
        </w:rPr>
      </w:pPr>
      <w:r>
        <w:t>Le responsable exécutif - MEDD - est responsable en dernier ressort du projet, appuyé par le bénéficiaire principal et le fournisseur principal. Le rôle de l’exécutif est de veiller à ce que le projet soit axé tout au long de son cycle de vie sur l’atteinte de ses objectifs et la réalisation des produits qui contribueront à des résultats d</w:t>
      </w:r>
      <w:r w:rsidR="00845CF0">
        <w:t>'un</w:t>
      </w:r>
      <w:r>
        <w:t xml:space="preserve"> niveau supérieur. L’exécutif doit s’assurer que le projet est rentable, en veillant à ce que son approche soit soucieuse des coûts, en équilibrant les exigences du bénéficiaire et du fournisseur. Les responsabilités particulières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5"/>
        </w:numPr>
        <w:rPr>
          <w:noProof/>
        </w:rPr>
      </w:pPr>
      <w:r>
        <w:t>v</w:t>
      </w:r>
      <w:r w:rsidR="00876F2E">
        <w:t>eiller à ce qu’il y ait une structure d’organisation cohérente du projet et un ensemble logique de plans</w:t>
      </w:r>
      <w:r>
        <w:t> ;</w:t>
      </w:r>
    </w:p>
    <w:p w:rsidR="00876F2E" w:rsidRPr="007F5D87" w:rsidRDefault="001B1D26" w:rsidP="00771667">
      <w:pPr>
        <w:pStyle w:val="NumberedParas"/>
        <w:numPr>
          <w:ilvl w:val="0"/>
          <w:numId w:val="25"/>
        </w:numPr>
        <w:rPr>
          <w:noProof/>
        </w:rPr>
      </w:pPr>
      <w:r>
        <w:t>f</w:t>
      </w:r>
      <w:r w:rsidR="00876F2E">
        <w:t xml:space="preserve">ixer les seuils de tolérances dans le plan de travail annuel et les autres plans, au besoin, </w:t>
      </w:r>
      <w:r>
        <w:t>pour le Coordonnateur de projet ;</w:t>
      </w:r>
    </w:p>
    <w:p w:rsidR="00876F2E" w:rsidRPr="007F5D87" w:rsidRDefault="001B1D26" w:rsidP="00771667">
      <w:pPr>
        <w:pStyle w:val="NumberedParas"/>
        <w:numPr>
          <w:ilvl w:val="0"/>
          <w:numId w:val="25"/>
        </w:numPr>
        <w:rPr>
          <w:noProof/>
        </w:rPr>
      </w:pPr>
      <w:r>
        <w:t>s</w:t>
      </w:r>
      <w:r w:rsidR="00876F2E">
        <w:t>uivre et contrôler l’avancement du</w:t>
      </w:r>
      <w:r>
        <w:t xml:space="preserve"> projet à un niveau stratégique ;</w:t>
      </w:r>
    </w:p>
    <w:p w:rsidR="00876F2E" w:rsidRPr="007F5D87" w:rsidRDefault="001B1D26" w:rsidP="00771667">
      <w:pPr>
        <w:pStyle w:val="NumberedParas"/>
        <w:numPr>
          <w:ilvl w:val="0"/>
          <w:numId w:val="25"/>
        </w:numPr>
        <w:rPr>
          <w:noProof/>
        </w:rPr>
      </w:pPr>
      <w:r>
        <w:t>v</w:t>
      </w:r>
      <w:r w:rsidR="00876F2E">
        <w:t>eiller à ce que les risques soient suivis et atténué</w:t>
      </w:r>
      <w:r>
        <w:t>s le plus efficacement possible ;</w:t>
      </w:r>
    </w:p>
    <w:p w:rsidR="00876F2E" w:rsidRPr="007F5D87" w:rsidRDefault="001B1D26" w:rsidP="00771667">
      <w:pPr>
        <w:pStyle w:val="NumberedParas"/>
        <w:numPr>
          <w:ilvl w:val="0"/>
          <w:numId w:val="25"/>
        </w:numPr>
        <w:rPr>
          <w:noProof/>
        </w:rPr>
      </w:pPr>
      <w:r>
        <w:t>i</w:t>
      </w:r>
      <w:r w:rsidR="00876F2E">
        <w:t xml:space="preserve">nformer le conseil chargé du suivi des résultats, le </w:t>
      </w:r>
      <w:r w:rsidR="00F25222">
        <w:t>C</w:t>
      </w:r>
      <w:r w:rsidR="00E8322C">
        <w:t>P</w:t>
      </w:r>
      <w:r w:rsidR="00876F2E">
        <w:t xml:space="preserve"> et les intervenants pertinents d</w:t>
      </w:r>
      <w:r>
        <w:t>e l’état d’avancement du projet ;</w:t>
      </w:r>
    </w:p>
    <w:p w:rsidR="00876F2E" w:rsidRPr="007F5D87" w:rsidRDefault="001B1D26" w:rsidP="00771667">
      <w:pPr>
        <w:pStyle w:val="NumberedParas"/>
        <w:numPr>
          <w:ilvl w:val="0"/>
          <w:numId w:val="25"/>
        </w:numPr>
        <w:rPr>
          <w:noProof/>
        </w:rPr>
      </w:pPr>
      <w:r>
        <w:t>o</w:t>
      </w:r>
      <w:r w:rsidR="00876F2E">
        <w:t xml:space="preserve">rganiser et présider les réunions du </w:t>
      </w:r>
      <w:r w:rsidR="00F25222">
        <w:t>C</w:t>
      </w:r>
      <w:r w:rsidR="00E8322C">
        <w:t>P</w:t>
      </w:r>
      <w:r w:rsidR="00876F2E">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L’exécutif est responsable de l’assurance globale du projet décrite à la section intitulée « Assurance du projet ». Si le projet le justifie, l’exécutif peut déléguer une partie de la responsabilité des fonctions d’assurance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rPr>
        <w:t>Le bénéficiaire principal</w:t>
      </w:r>
    </w:p>
    <w:p w:rsidR="00876F2E" w:rsidRPr="007F5D87" w:rsidRDefault="00876F2E" w:rsidP="00876F2E">
      <w:pPr>
        <w:pStyle w:val="NumberedParas"/>
        <w:rPr>
          <w:noProof/>
        </w:rPr>
      </w:pPr>
      <w:r>
        <w:t xml:space="preserve">Le bénéficiaire principal est responsable de la validation des besoins et du suivi pour s’assurer que la solution répondra à ces besoins dans le cadre des contraintes du projet. Ce rôle représente les intérêts de tous ceux qui bénéficieront du projet ou pour lesquels les produits livrables résultant des activités permettront d’atteindre des objectifs de produits spécifiques. Le rôle de bénéficiaire principal est de surveiller les progrès par rapport aux objectifs et aux critères de qualité. Ce rôle peut nécessiter plus d’une personne pour couvrir tous les intérêts du bénéficiaire. Pour des raisons d’efficacité, le rôle ne devrait pas être partagé entre trop de personnes. Les responsabilités particulières du bénéficiaire principal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6"/>
        </w:numPr>
        <w:rPr>
          <w:noProof/>
        </w:rPr>
      </w:pPr>
      <w:r>
        <w:t>s</w:t>
      </w:r>
      <w:r w:rsidR="00876F2E">
        <w:t>’assurer que les produits escomptés et les activités conne</w:t>
      </w:r>
      <w:r>
        <w:t>xes du projet sont bien définis ;</w:t>
      </w:r>
    </w:p>
    <w:p w:rsidR="00876F2E" w:rsidRPr="007F5D87" w:rsidRDefault="001B1D26" w:rsidP="00771667">
      <w:pPr>
        <w:pStyle w:val="NumberedParas"/>
        <w:numPr>
          <w:ilvl w:val="0"/>
          <w:numId w:val="26"/>
        </w:numPr>
        <w:rPr>
          <w:noProof/>
        </w:rPr>
      </w:pPr>
      <w:r>
        <w:t>v</w:t>
      </w:r>
      <w:r w:rsidR="00876F2E">
        <w:t>eiller à ce que les progrès réalisés dans l’atteinte des produits escomptés par les bénéficiaires restent</w:t>
      </w:r>
      <w:r>
        <w:t xml:space="preserve"> cohérents de leur point de vue ;</w:t>
      </w:r>
    </w:p>
    <w:p w:rsidR="00876F2E" w:rsidRPr="007F5D87" w:rsidRDefault="001B1D26" w:rsidP="00771667">
      <w:pPr>
        <w:pStyle w:val="NumberedParas"/>
        <w:numPr>
          <w:ilvl w:val="0"/>
          <w:numId w:val="26"/>
        </w:numPr>
        <w:rPr>
          <w:noProof/>
        </w:rPr>
      </w:pPr>
      <w:r>
        <w:t>p</w:t>
      </w:r>
      <w:r w:rsidR="00876F2E">
        <w:t xml:space="preserve">romouvoir et maintenir l’accent sur </w:t>
      </w:r>
      <w:r>
        <w:t>les produits attendus du projet ;</w:t>
      </w:r>
    </w:p>
    <w:p w:rsidR="00876F2E" w:rsidRPr="007F5D87" w:rsidRDefault="001B1D26" w:rsidP="00771667">
      <w:pPr>
        <w:pStyle w:val="NumberedParas"/>
        <w:numPr>
          <w:ilvl w:val="0"/>
          <w:numId w:val="26"/>
        </w:numPr>
        <w:rPr>
          <w:noProof/>
        </w:rPr>
      </w:pPr>
      <w:r>
        <w:t>d</w:t>
      </w:r>
      <w:r w:rsidR="00876F2E">
        <w:t xml:space="preserve">onner la priorité aux avis des bénéficiaires sur les </w:t>
      </w:r>
      <w:r w:rsidR="00876F2E" w:rsidRPr="00B0195E">
        <w:t xml:space="preserve">décisions du </w:t>
      </w:r>
      <w:r w:rsidR="005F48B0" w:rsidRPr="00B0195E">
        <w:t>CSN</w:t>
      </w:r>
      <w:r w:rsidR="00876F2E" w:rsidRPr="00B0195E">
        <w:t xml:space="preserve"> quant</w:t>
      </w:r>
      <w:r w:rsidR="00876F2E">
        <w:t xml:space="preserve"> à la mise en œuvre des recommandations sur les changements pr</w:t>
      </w:r>
      <w:r>
        <w:t>oposés et leur donner leur avis ;</w:t>
      </w:r>
    </w:p>
    <w:p w:rsidR="00876F2E" w:rsidRPr="007F5D87" w:rsidRDefault="001B1D26" w:rsidP="00771667">
      <w:pPr>
        <w:pStyle w:val="NumberedParas"/>
        <w:numPr>
          <w:ilvl w:val="0"/>
          <w:numId w:val="26"/>
        </w:numPr>
        <w:rPr>
          <w:noProof/>
        </w:rPr>
      </w:pPr>
      <w:r>
        <w:t>r</w:t>
      </w:r>
      <w:r w:rsidR="00876F2E">
        <w:t>ésoudre les conflits de priorité.</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Les responsabilités du bénéficiaire principal en matière d’assurance sont de vérifier que</w:t>
      </w:r>
      <w:r w:rsidR="002575A2">
        <w:t> :</w:t>
      </w:r>
    </w:p>
    <w:p w:rsidR="00876F2E" w:rsidRPr="007F5D87" w:rsidRDefault="001B1D26" w:rsidP="00771667">
      <w:pPr>
        <w:pStyle w:val="NumberedParas"/>
        <w:numPr>
          <w:ilvl w:val="0"/>
          <w:numId w:val="27"/>
        </w:numPr>
        <w:rPr>
          <w:noProof/>
        </w:rPr>
      </w:pPr>
      <w:r>
        <w:t>l</w:t>
      </w:r>
      <w:r w:rsidR="00876F2E">
        <w:t>a spécification des besoins du bénéficiaire est préc</w:t>
      </w:r>
      <w:r>
        <w:t>ise, complète et sans ambiguïté ;</w:t>
      </w:r>
    </w:p>
    <w:p w:rsidR="00876F2E" w:rsidRPr="007F5D87" w:rsidRDefault="001B1D26" w:rsidP="00771667">
      <w:pPr>
        <w:pStyle w:val="NumberedParas"/>
        <w:numPr>
          <w:ilvl w:val="0"/>
          <w:numId w:val="27"/>
        </w:numPr>
        <w:rPr>
          <w:noProof/>
        </w:rPr>
      </w:pPr>
      <w:r>
        <w:t>l</w:t>
      </w:r>
      <w:r w:rsidR="00876F2E">
        <w:t>a mise en œuvre des activités à tous les stades est contrôlée afin de s’assurer qu’elles répondent aux besoins du bénéficiaire et qu’elle</w:t>
      </w:r>
      <w:r>
        <w:t>s progressent vers cet objectif ;</w:t>
      </w:r>
    </w:p>
    <w:p w:rsidR="00876F2E" w:rsidRPr="007F5D87" w:rsidRDefault="001B1D26" w:rsidP="00771667">
      <w:pPr>
        <w:pStyle w:val="NumberedParas"/>
        <w:numPr>
          <w:ilvl w:val="0"/>
          <w:numId w:val="27"/>
        </w:numPr>
        <w:rPr>
          <w:noProof/>
        </w:rPr>
      </w:pPr>
      <w:r>
        <w:t>l</w:t>
      </w:r>
      <w:r w:rsidR="00876F2E">
        <w:t xml:space="preserve">’impact des changements potentiels est évalué </w:t>
      </w:r>
      <w:r>
        <w:t>du point de vue du bénéficiaire ;</w:t>
      </w:r>
    </w:p>
    <w:p w:rsidR="00876F2E" w:rsidRPr="007F5D87" w:rsidRDefault="001B1D26" w:rsidP="00771667">
      <w:pPr>
        <w:pStyle w:val="NumberedParas"/>
        <w:numPr>
          <w:ilvl w:val="0"/>
          <w:numId w:val="27"/>
        </w:numPr>
        <w:rPr>
          <w:noProof/>
        </w:rPr>
      </w:pPr>
      <w:r>
        <w:t>l</w:t>
      </w:r>
      <w:r w:rsidR="00876F2E">
        <w:t>es risques pour les bénéficiaires font l’objet d’un suivi régulier.</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Lorsque la taille, la complexité ou l’importance du projet le justifient, le bénéficiaire principal peut déléguer la responsabilité et l’autorité de certaines des responsabilités en matière d’assurance (voir la section intitulée « Assurance du projet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rPr>
        <w:t>Le fournisseur principal</w:t>
      </w:r>
    </w:p>
    <w:p w:rsidR="00876F2E" w:rsidRPr="007F5D87" w:rsidRDefault="00876F2E" w:rsidP="00876F2E">
      <w:pPr>
        <w:pStyle w:val="NumberedParas"/>
        <w:rPr>
          <w:noProof/>
        </w:rPr>
      </w:pPr>
      <w:r>
        <w:t xml:space="preserve">Le fournisseur principal représente les intérêts des parties qui fournissent le financement et/ou l’expertise technique au projet (conception, développement, facilitation, approvisionnement, mise en œuvre). La principale fonction du fournisseur principal au sein du </w:t>
      </w:r>
      <w:r w:rsidR="00E8322C">
        <w:t>CDP</w:t>
      </w:r>
      <w:r>
        <w:t xml:space="preserve"> est de fournir des conseils sur la faisabilité technique du projet. Le rôle de fournisseur principal doit avoir le pouvoir d’engager ou d’acquérir les ressources nécessaires. Si nécessaire, plus d’une personne peut être requise pour ce rôle. En règle générale, le </w:t>
      </w:r>
      <w:r w:rsidR="00F06548">
        <w:t>Partenaire opérationnel</w:t>
      </w:r>
      <w:r>
        <w:t xml:space="preserve">, le PNUD et/ou le(s) donateur(s) seraient représentés au titre de ce rôle. Les responsabilités particulières du fournisseur principal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8"/>
        </w:numPr>
        <w:rPr>
          <w:noProof/>
        </w:rPr>
      </w:pPr>
      <w:r>
        <w:t>v</w:t>
      </w:r>
      <w:r w:rsidR="00876F2E">
        <w:t>eiller à ce que les progrès vers la réalisation des produits restent cohérents</w:t>
      </w:r>
      <w:r>
        <w:t xml:space="preserve"> du point de vue du fournisseur ;</w:t>
      </w:r>
    </w:p>
    <w:p w:rsidR="00876F2E" w:rsidRPr="007F5D87" w:rsidRDefault="001B1D26" w:rsidP="00771667">
      <w:pPr>
        <w:pStyle w:val="NumberedParas"/>
        <w:numPr>
          <w:ilvl w:val="0"/>
          <w:numId w:val="28"/>
        </w:numPr>
        <w:rPr>
          <w:noProof/>
        </w:rPr>
      </w:pPr>
      <w:r>
        <w:t>p</w:t>
      </w:r>
      <w:r w:rsidR="00876F2E">
        <w:t>romouvoir et maintenir l’accent sur les produits escomptés du projet du point de v</w:t>
      </w:r>
      <w:r>
        <w:t>ue de la gestion du fournisseur ;</w:t>
      </w:r>
    </w:p>
    <w:p w:rsidR="00876F2E" w:rsidRPr="007F5D87" w:rsidRDefault="001B1D26" w:rsidP="00771667">
      <w:pPr>
        <w:pStyle w:val="NumberedParas"/>
        <w:numPr>
          <w:ilvl w:val="0"/>
          <w:numId w:val="28"/>
        </w:numPr>
        <w:rPr>
          <w:noProof/>
        </w:rPr>
      </w:pPr>
      <w:r>
        <w:t>s</w:t>
      </w:r>
      <w:r w:rsidR="00876F2E">
        <w:t>’assurer que les ressources du fournisseur nécessa</w:t>
      </w:r>
      <w:r>
        <w:t>ires au projet sont disponibles ;</w:t>
      </w:r>
    </w:p>
    <w:p w:rsidR="00876F2E" w:rsidRPr="007F5D87" w:rsidRDefault="001B1D26" w:rsidP="00771667">
      <w:pPr>
        <w:pStyle w:val="NumberedParas"/>
        <w:numPr>
          <w:ilvl w:val="0"/>
          <w:numId w:val="28"/>
        </w:numPr>
        <w:rPr>
          <w:noProof/>
        </w:rPr>
      </w:pPr>
      <w:r>
        <w:t>c</w:t>
      </w:r>
      <w:r w:rsidR="00876F2E">
        <w:t>omm</w:t>
      </w:r>
      <w:r w:rsidR="00AE3BD3">
        <w:t>uniquer des avis du fournisseur</w:t>
      </w:r>
      <w:r w:rsidR="00876F2E">
        <w:t xml:space="preserve"> sur les décisions </w:t>
      </w:r>
      <w:r w:rsidR="00876F2E" w:rsidRPr="00B26A00">
        <w:t xml:space="preserve">du </w:t>
      </w:r>
      <w:r w:rsidR="005F48B0" w:rsidRPr="00B26A00">
        <w:t>CSN</w:t>
      </w:r>
      <w:r w:rsidR="00876F2E">
        <w:t xml:space="preserve"> quant à la mise en œuvre des recommandatio</w:t>
      </w:r>
      <w:r>
        <w:t>ns sur les changements proposés ;</w:t>
      </w:r>
    </w:p>
    <w:p w:rsidR="00876F2E" w:rsidRPr="007F5D87" w:rsidRDefault="001B1D26" w:rsidP="00771667">
      <w:pPr>
        <w:pStyle w:val="NumberedParas"/>
        <w:numPr>
          <w:ilvl w:val="0"/>
          <w:numId w:val="28"/>
        </w:numPr>
        <w:rPr>
          <w:noProof/>
        </w:rPr>
      </w:pPr>
      <w:r>
        <w:t>a</w:t>
      </w:r>
      <w:r w:rsidR="00876F2E">
        <w:t>rbitrer et assurer la résolution des conflits de priorité ou de ressources entre les fournisseurs.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Les responsabilités du rôle d’assurance du fournisseur principal sont les suivantes</w:t>
      </w:r>
      <w:r w:rsidR="002575A2">
        <w:t> :</w:t>
      </w:r>
    </w:p>
    <w:p w:rsidR="00876F2E" w:rsidRPr="007F5D87" w:rsidRDefault="001B1D26" w:rsidP="00771667">
      <w:pPr>
        <w:pStyle w:val="NumberedParas"/>
        <w:numPr>
          <w:ilvl w:val="0"/>
          <w:numId w:val="29"/>
        </w:numPr>
        <w:rPr>
          <w:noProof/>
        </w:rPr>
      </w:pPr>
      <w:r>
        <w:t>c</w:t>
      </w:r>
      <w:r w:rsidR="00876F2E">
        <w:t>onseiller sur le choix de la stratégie, la conception et les méthodes pour mener</w:t>
      </w:r>
      <w:r>
        <w:t xml:space="preserve"> à bien les activités du projet ;</w:t>
      </w:r>
    </w:p>
    <w:p w:rsidR="00876F2E" w:rsidRPr="007F5D87" w:rsidRDefault="001B1D26" w:rsidP="00771667">
      <w:pPr>
        <w:pStyle w:val="NumberedParas"/>
        <w:numPr>
          <w:ilvl w:val="0"/>
          <w:numId w:val="29"/>
        </w:numPr>
        <w:rPr>
          <w:noProof/>
        </w:rPr>
      </w:pPr>
      <w:r>
        <w:t>s</w:t>
      </w:r>
      <w:r w:rsidR="00876F2E">
        <w:t>’assurer que toutes les normes définies pour le projet sont respec</w:t>
      </w:r>
      <w:r>
        <w:t>tées et utilisées à bon escient ;</w:t>
      </w:r>
    </w:p>
    <w:p w:rsidR="00876F2E" w:rsidRPr="007F5D87" w:rsidRDefault="001B1D26" w:rsidP="00771667">
      <w:pPr>
        <w:pStyle w:val="NumberedParas"/>
        <w:numPr>
          <w:ilvl w:val="0"/>
          <w:numId w:val="29"/>
        </w:numPr>
        <w:rPr>
          <w:noProof/>
        </w:rPr>
      </w:pPr>
      <w:r>
        <w:t>s</w:t>
      </w:r>
      <w:r w:rsidR="00876F2E">
        <w:t>urveiller les changements potentiels et leur impact sur la qualité des produits livrables</w:t>
      </w:r>
      <w:r>
        <w:t xml:space="preserve"> du point de vue du fournisseur ;</w:t>
      </w:r>
    </w:p>
    <w:p w:rsidR="00876F2E" w:rsidRPr="007F5D87" w:rsidRDefault="001B1D26" w:rsidP="00771667">
      <w:pPr>
        <w:pStyle w:val="NumberedParas"/>
        <w:numPr>
          <w:ilvl w:val="0"/>
          <w:numId w:val="29"/>
        </w:numPr>
        <w:rPr>
          <w:noProof/>
        </w:rPr>
      </w:pPr>
      <w:r>
        <w:t>s</w:t>
      </w:r>
      <w:r w:rsidR="00876F2E">
        <w:t>urveiller les risques liés à la mise en œuvre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Si cela est justifié, une partie de cette responsabilité d’assurance peut être déléguée (voir la section intitulée « Assurance du projet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b/>
          <w:noProof/>
        </w:rPr>
      </w:pPr>
      <w:r>
        <w:rPr>
          <w:b/>
        </w:rPr>
        <w:t>Coordonnateur de projet</w:t>
      </w:r>
      <w:r w:rsidR="002575A2">
        <w:rPr>
          <w:b/>
        </w:rPr>
        <w:t> :</w:t>
      </w:r>
    </w:p>
    <w:p w:rsidR="00876F2E" w:rsidRPr="007F5D87" w:rsidRDefault="00876F2E" w:rsidP="00876F2E">
      <w:pPr>
        <w:pStyle w:val="NumberedParas"/>
        <w:rPr>
          <w:noProof/>
        </w:rPr>
      </w:pPr>
      <w:r>
        <w:rPr>
          <w:b/>
          <w:szCs w:val="20"/>
        </w:rPr>
        <w:t>Responsabilités générales</w:t>
      </w:r>
      <w:r w:rsidR="001B1D26">
        <w:rPr>
          <w:b/>
          <w:szCs w:val="20"/>
        </w:rPr>
        <w:t>.</w:t>
      </w:r>
      <w:r>
        <w:rPr>
          <w:b/>
          <w:szCs w:val="20"/>
        </w:rPr>
        <w:t xml:space="preserve"> </w:t>
      </w:r>
      <w:r>
        <w:t xml:space="preserve">Le Coordonnateur de projet a l’autorité de gérer le projet au quotidien pour le compte du </w:t>
      </w:r>
      <w:r w:rsidR="00F25222">
        <w:t>C</w:t>
      </w:r>
      <w:r w:rsidR="00E8322C">
        <w:t>P</w:t>
      </w:r>
      <w:r>
        <w:t xml:space="preserve"> dans les limites fixées par le comité. Il est responsable de la gestion quotidienne et de la prise de décision pour le projet. Sa principale responsabilité est de s’assurer que le projet produit les résultats spécifiés dans son descriptif, conformément aux normes de qualité requises et dans les limites de temps et de coûts spécifiées.</w:t>
      </w:r>
    </w:p>
    <w:p w:rsidR="00876F2E" w:rsidRPr="007F5D87" w:rsidRDefault="00876F2E" w:rsidP="00876F2E">
      <w:pPr>
        <w:pStyle w:val="NumberedParas"/>
        <w:numPr>
          <w:ilvl w:val="0"/>
          <w:numId w:val="0"/>
        </w:numPr>
        <w:rPr>
          <w:noProof/>
        </w:rPr>
      </w:pPr>
    </w:p>
    <w:p w:rsidR="00876F2E" w:rsidRPr="00C96028" w:rsidRDefault="00876F2E" w:rsidP="00C96028">
      <w:pPr>
        <w:pStyle w:val="NumberedParas"/>
        <w:rPr>
          <w:noProof/>
        </w:rPr>
      </w:pPr>
      <w:r>
        <w:t xml:space="preserve">Le </w:t>
      </w:r>
      <w:r w:rsidR="00F06548">
        <w:t>Partenaire opérationnel</w:t>
      </w:r>
      <w:r>
        <w:t xml:space="preserve">, le MEDD, </w:t>
      </w:r>
      <w:r w:rsidR="00796C09">
        <w:t xml:space="preserve">signe le contrat du Coordonnateur </w:t>
      </w:r>
      <w:r>
        <w:t xml:space="preserve">de projet, qui </w:t>
      </w:r>
      <w:r w:rsidR="00796C09">
        <w:t xml:space="preserve">est </w:t>
      </w:r>
      <w:r>
        <w:t xml:space="preserve">différent du représentant du </w:t>
      </w:r>
      <w:r w:rsidR="00F06548">
        <w:t>Partenaire opérationnel</w:t>
      </w:r>
      <w:r>
        <w:t xml:space="preserve"> au conseil pour le suivi des résultats</w:t>
      </w:r>
      <w:r w:rsidR="00796C09">
        <w:t xml:space="preserve"> qui est le Directeur du projet</w:t>
      </w:r>
      <w:r>
        <w:t xml:space="preserve">. </w:t>
      </w:r>
      <w:r w:rsidR="00C96028">
        <w:t xml:space="preserve">Ses </w:t>
      </w:r>
      <w:r>
        <w:rPr>
          <w:b/>
        </w:rPr>
        <w:t>responsabilités spécifiques</w:t>
      </w:r>
      <w:r>
        <w:t xml:space="preserve"> </w:t>
      </w:r>
      <w:r w:rsidR="00C96028">
        <w:t xml:space="preserve">sont décrites à l’annexe 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 fonction de Coordonnateur de projet prendra fin lorsque le rapport final d’évaluation du projet et les autres documents requis par le FEM et le PNUD auront été achevés et soumis au PNUD (y compris la clôture opérationnelle du projet).</w:t>
      </w:r>
    </w:p>
    <w:p w:rsidR="00876F2E" w:rsidRPr="007F5D87" w:rsidRDefault="00876F2E" w:rsidP="00876F2E">
      <w:pPr>
        <w:pStyle w:val="NumberedParas"/>
        <w:numPr>
          <w:ilvl w:val="0"/>
          <w:numId w:val="0"/>
        </w:numPr>
        <w:rPr>
          <w:noProof/>
          <w:szCs w:val="20"/>
          <w:lang w:eastAsia="zh-CN"/>
        </w:rPr>
      </w:pPr>
    </w:p>
    <w:p w:rsidR="00876F2E" w:rsidRPr="007F5D87" w:rsidRDefault="00876F2E" w:rsidP="00876F2E">
      <w:pPr>
        <w:pStyle w:val="NumberedParas"/>
        <w:numPr>
          <w:ilvl w:val="0"/>
          <w:numId w:val="0"/>
        </w:numPr>
        <w:rPr>
          <w:b/>
          <w:noProof/>
        </w:rPr>
      </w:pPr>
      <w:r>
        <w:rPr>
          <w:b/>
          <w:szCs w:val="20"/>
        </w:rPr>
        <w:t xml:space="preserve">Assurance </w:t>
      </w:r>
      <w:r w:rsidR="00F100D6">
        <w:rPr>
          <w:b/>
          <w:szCs w:val="20"/>
        </w:rPr>
        <w:t xml:space="preserve">du </w:t>
      </w:r>
      <w:r>
        <w:rPr>
          <w:b/>
          <w:szCs w:val="20"/>
        </w:rPr>
        <w:t>projet</w:t>
      </w:r>
    </w:p>
    <w:p w:rsidR="00876F2E" w:rsidRPr="007F5D87" w:rsidRDefault="00876F2E" w:rsidP="00876F2E">
      <w:pPr>
        <w:pStyle w:val="NumberedParas"/>
        <w:rPr>
          <w:noProof/>
        </w:rPr>
      </w:pPr>
      <w:r>
        <w:t>Responsabilité générale</w:t>
      </w:r>
      <w:r w:rsidR="001B1D26">
        <w:t>.</w:t>
      </w:r>
      <w:r>
        <w:t xml:space="preserve"> L’assurance du projet est la responsabilité de chaque membre du </w:t>
      </w:r>
      <w:r w:rsidR="00E8322C">
        <w:t>CDP</w:t>
      </w:r>
      <w:r>
        <w:t xml:space="preserve">, mais le rôle peut être délégué. Le rôle d’assurance du projet appuie le </w:t>
      </w:r>
      <w:r w:rsidR="00F25222">
        <w:t>C</w:t>
      </w:r>
      <w:r w:rsidR="00E8322C">
        <w:t>P</w:t>
      </w:r>
      <w:r>
        <w:t xml:space="preserve"> en exerçant des fonctions de surveillance et de contrôle objectifs et indépendants du projet. Ce rôle permet de s’assurer que les jalons appropriés de la gestion du projet sont gérés et réalisés.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L’assurance du projet doit être indépendante du Coordonnateur de projet</w:t>
      </w:r>
      <w:r w:rsidR="00D2405E">
        <w:t> ;</w:t>
      </w:r>
      <w:r>
        <w:t xml:space="preserve"> par conséquent, le </w:t>
      </w:r>
      <w:r w:rsidR="00F25222">
        <w:t>C</w:t>
      </w:r>
      <w:r w:rsidR="00E8322C">
        <w:t>P</w:t>
      </w:r>
      <w:r>
        <w:t xml:space="preserve"> ne peut lui déléguer aucune de ses responsabilités en matière d’assurance. Un administrateur de programme du PNUD est généralement chargé de l’assurance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 mise en œuvre des responsabilités en matière de certification doit répondre à la question « que faut-il garantir ? » La liste suivante comprend les principaux aspects suggérés qui doivent être vérifiés par l’assurance du projet tout au long de son cycle de vie afin de s’assurer qu’ils demeurent pertinents, qu’ils suivent les plans approuvés et qu’ils continuent d’atteindre les objectifs prévus avec qualité.</w:t>
      </w:r>
    </w:p>
    <w:p w:rsidR="00876F2E" w:rsidRPr="007F5D87" w:rsidRDefault="00876F2E" w:rsidP="00771667">
      <w:pPr>
        <w:pStyle w:val="NumberedParas"/>
        <w:numPr>
          <w:ilvl w:val="0"/>
          <w:numId w:val="32"/>
        </w:numPr>
        <w:rPr>
          <w:noProof/>
        </w:rPr>
      </w:pPr>
      <w:r>
        <w:t xml:space="preserve">Maintien d’une liaison étroite tout au long du projet entre les membres du </w:t>
      </w:r>
      <w:r w:rsidR="00F25222">
        <w:t>C</w:t>
      </w:r>
      <w:r w:rsidR="00E8322C">
        <w:t>P</w:t>
      </w:r>
      <w:r>
        <w:t>.</w:t>
      </w:r>
    </w:p>
    <w:p w:rsidR="00876F2E" w:rsidRPr="007F5D87" w:rsidRDefault="00876F2E" w:rsidP="00771667">
      <w:pPr>
        <w:pStyle w:val="NumberedParas"/>
        <w:numPr>
          <w:ilvl w:val="0"/>
          <w:numId w:val="32"/>
        </w:numPr>
        <w:rPr>
          <w:noProof/>
        </w:rPr>
      </w:pPr>
      <w:r>
        <w:t>Les besoins et les attentes des bénéficiaires sont satisfaits ou gérés.</w:t>
      </w:r>
    </w:p>
    <w:p w:rsidR="00876F2E" w:rsidRPr="007F5D87" w:rsidRDefault="00876F2E" w:rsidP="00771667">
      <w:pPr>
        <w:pStyle w:val="NumberedParas"/>
        <w:numPr>
          <w:ilvl w:val="0"/>
          <w:numId w:val="32"/>
        </w:numPr>
        <w:rPr>
          <w:noProof/>
        </w:rPr>
      </w:pPr>
      <w:r>
        <w:t>Les risques sont maîtrisés.</w:t>
      </w:r>
    </w:p>
    <w:p w:rsidR="00876F2E" w:rsidRPr="007F5D87" w:rsidRDefault="00876F2E" w:rsidP="00771667">
      <w:pPr>
        <w:pStyle w:val="NumberedParas"/>
        <w:numPr>
          <w:ilvl w:val="0"/>
          <w:numId w:val="32"/>
        </w:numPr>
        <w:rPr>
          <w:noProof/>
        </w:rPr>
      </w:pPr>
      <w:r>
        <w:t>Respect de la justification du projet (analyse de rentabilisation).</w:t>
      </w:r>
    </w:p>
    <w:p w:rsidR="00876F2E" w:rsidRPr="007F5D87" w:rsidRDefault="00876F2E" w:rsidP="00771667">
      <w:pPr>
        <w:pStyle w:val="NumberedParas"/>
        <w:numPr>
          <w:ilvl w:val="0"/>
          <w:numId w:val="32"/>
        </w:numPr>
        <w:rPr>
          <w:noProof/>
        </w:rPr>
      </w:pPr>
      <w:r>
        <w:t>Les projets cadrent avec l’ensemble du programme de pays.</w:t>
      </w:r>
    </w:p>
    <w:p w:rsidR="00876F2E" w:rsidRPr="007F5D87" w:rsidRDefault="00876F2E" w:rsidP="00771667">
      <w:pPr>
        <w:pStyle w:val="NumberedParas"/>
        <w:numPr>
          <w:ilvl w:val="0"/>
          <w:numId w:val="32"/>
        </w:numPr>
        <w:rPr>
          <w:noProof/>
        </w:rPr>
      </w:pPr>
      <w:r>
        <w:t>Les bonnes personnes sont impliquées.</w:t>
      </w:r>
    </w:p>
    <w:p w:rsidR="00876F2E" w:rsidRPr="007F5D87" w:rsidRDefault="00876F2E" w:rsidP="00771667">
      <w:pPr>
        <w:pStyle w:val="NumberedParas"/>
        <w:numPr>
          <w:ilvl w:val="0"/>
          <w:numId w:val="32"/>
        </w:numPr>
        <w:rPr>
          <w:noProof/>
        </w:rPr>
      </w:pPr>
      <w:r>
        <w:t>Une solution acceptable est en cours d’élaboration.</w:t>
      </w:r>
    </w:p>
    <w:p w:rsidR="00876F2E" w:rsidRPr="007F5D87" w:rsidRDefault="00876F2E" w:rsidP="00771667">
      <w:pPr>
        <w:pStyle w:val="NumberedParas"/>
        <w:numPr>
          <w:ilvl w:val="0"/>
          <w:numId w:val="32"/>
        </w:numPr>
        <w:rPr>
          <w:noProof/>
        </w:rPr>
      </w:pPr>
      <w:r>
        <w:t>Le projet reste viable.</w:t>
      </w:r>
    </w:p>
    <w:p w:rsidR="00876F2E" w:rsidRPr="007F5D87" w:rsidRDefault="00876F2E" w:rsidP="00771667">
      <w:pPr>
        <w:pStyle w:val="NumberedParas"/>
        <w:numPr>
          <w:ilvl w:val="0"/>
          <w:numId w:val="32"/>
        </w:numPr>
        <w:rPr>
          <w:noProof/>
        </w:rPr>
      </w:pPr>
      <w:r>
        <w:t>La portée du projet ne « s’élargit pas » de manière insidieuse.</w:t>
      </w:r>
    </w:p>
    <w:p w:rsidR="00876F2E" w:rsidRPr="007F5D87" w:rsidRDefault="00876F2E" w:rsidP="00771667">
      <w:pPr>
        <w:pStyle w:val="NumberedParas"/>
        <w:numPr>
          <w:ilvl w:val="0"/>
          <w:numId w:val="32"/>
        </w:numPr>
        <w:rPr>
          <w:noProof/>
        </w:rPr>
      </w:pPr>
      <w:r>
        <w:t>Les communications internes et externes fonctionnent.</w:t>
      </w:r>
    </w:p>
    <w:p w:rsidR="00876F2E" w:rsidRPr="007F5D87" w:rsidRDefault="00876F2E" w:rsidP="00771667">
      <w:pPr>
        <w:pStyle w:val="NumberedParas"/>
        <w:numPr>
          <w:ilvl w:val="0"/>
          <w:numId w:val="32"/>
        </w:numPr>
        <w:rPr>
          <w:noProof/>
        </w:rPr>
      </w:pPr>
      <w:r>
        <w:t>Les règles et règlements applicables du PNUD sont respectés.</w:t>
      </w:r>
    </w:p>
    <w:p w:rsidR="00876F2E" w:rsidRPr="007F5D87" w:rsidRDefault="00876F2E" w:rsidP="00771667">
      <w:pPr>
        <w:pStyle w:val="NumberedParas"/>
        <w:numPr>
          <w:ilvl w:val="0"/>
          <w:numId w:val="32"/>
        </w:numPr>
        <w:rPr>
          <w:noProof/>
        </w:rPr>
      </w:pPr>
      <w:r>
        <w:t>Toutes les contraintes législatives sont respectées.</w:t>
      </w:r>
    </w:p>
    <w:p w:rsidR="00876F2E" w:rsidRPr="007F5D87" w:rsidRDefault="00876F2E" w:rsidP="00771667">
      <w:pPr>
        <w:pStyle w:val="NumberedParas"/>
        <w:numPr>
          <w:ilvl w:val="0"/>
          <w:numId w:val="32"/>
        </w:numPr>
        <w:rPr>
          <w:noProof/>
        </w:rPr>
      </w:pPr>
      <w:r>
        <w:t>Respect des exigences et des normes de surveillance et de production de rapports du RMG.</w:t>
      </w:r>
    </w:p>
    <w:p w:rsidR="00876F2E" w:rsidRPr="007F5D87" w:rsidRDefault="00876F2E" w:rsidP="00771667">
      <w:pPr>
        <w:pStyle w:val="NumberedParas"/>
        <w:numPr>
          <w:ilvl w:val="0"/>
          <w:numId w:val="32"/>
        </w:numPr>
        <w:rPr>
          <w:noProof/>
        </w:rPr>
      </w:pPr>
      <w:r>
        <w:t>Les procédures de gestion de la qualité sont correctement suivies.</w:t>
      </w:r>
    </w:p>
    <w:p w:rsidR="00876F2E" w:rsidRPr="007F5D87" w:rsidRDefault="00876F2E" w:rsidP="00771667">
      <w:pPr>
        <w:pStyle w:val="NumberedParas"/>
        <w:numPr>
          <w:ilvl w:val="0"/>
          <w:numId w:val="32"/>
        </w:numPr>
        <w:rPr>
          <w:noProof/>
        </w:rPr>
      </w:pPr>
      <w:r>
        <w:t xml:space="preserve">Les décisions du </w:t>
      </w:r>
      <w:r w:rsidR="00F25222">
        <w:t>C</w:t>
      </w:r>
      <w:r w:rsidR="00E8322C">
        <w:t>P</w:t>
      </w:r>
      <w:r>
        <w:t xml:space="preserve"> sont suivies et les révisions sont gérées conformément aux procédures requises.</w:t>
      </w:r>
    </w:p>
    <w:p w:rsidR="00876F2E" w:rsidRPr="007F5D87" w:rsidRDefault="00876F2E" w:rsidP="00876F2E">
      <w:pPr>
        <w:pStyle w:val="NumberedParas"/>
        <w:numPr>
          <w:ilvl w:val="0"/>
          <w:numId w:val="0"/>
        </w:numPr>
        <w:ind w:left="360"/>
        <w:rPr>
          <w:noProof/>
        </w:rPr>
      </w:pPr>
    </w:p>
    <w:p w:rsidR="00876F2E" w:rsidRPr="007F5D87" w:rsidRDefault="00876F2E" w:rsidP="00876F2E">
      <w:pPr>
        <w:pStyle w:val="NumberedParas"/>
        <w:rPr>
          <w:noProof/>
        </w:rPr>
      </w:pPr>
      <w:r>
        <w:t xml:space="preserve">Les </w:t>
      </w:r>
      <w:r>
        <w:rPr>
          <w:b/>
        </w:rPr>
        <w:t>responsabilités spécifiques</w:t>
      </w:r>
      <w:r>
        <w:t xml:space="preserve"> </w:t>
      </w:r>
      <w:r w:rsidR="001B1D26">
        <w:t>comprennent les éléments suivants</w:t>
      </w:r>
      <w:r w:rsidR="002575A2">
        <w:t> :</w:t>
      </w:r>
    </w:p>
    <w:p w:rsidR="00876F2E" w:rsidRPr="007F5D87" w:rsidRDefault="00876F2E" w:rsidP="00876F2E">
      <w:pPr>
        <w:pStyle w:val="NumberedParas"/>
        <w:numPr>
          <w:ilvl w:val="0"/>
          <w:numId w:val="0"/>
        </w:numPr>
        <w:rPr>
          <w:szCs w:val="20"/>
        </w:rPr>
      </w:pPr>
    </w:p>
    <w:tbl>
      <w:tblPr>
        <w:tblStyle w:val="Grilledutableau"/>
        <w:tblW w:w="0" w:type="auto"/>
        <w:tblLook w:val="04A0" w:firstRow="1" w:lastRow="0" w:firstColumn="1" w:lastColumn="0" w:noHBand="0" w:noVBand="1"/>
      </w:tblPr>
      <w:tblGrid>
        <w:gridCol w:w="9062"/>
      </w:tblGrid>
      <w:tr w:rsidR="00876F2E" w:rsidRPr="007F5D87" w:rsidTr="00A444DE">
        <w:tc>
          <w:tcPr>
            <w:tcW w:w="9500" w:type="dxa"/>
            <w:shd w:val="clear" w:color="auto" w:fill="D9D9D9" w:themeFill="background1" w:themeFillShade="D9"/>
          </w:tcPr>
          <w:p w:rsidR="00876F2E" w:rsidRPr="007F5D87" w:rsidRDefault="00876F2E" w:rsidP="00A444DE">
            <w:pPr>
              <w:pStyle w:val="NumberedParas"/>
              <w:numPr>
                <w:ilvl w:val="0"/>
                <w:numId w:val="0"/>
              </w:numPr>
              <w:jc w:val="center"/>
              <w:rPr>
                <w:noProof/>
              </w:rPr>
            </w:pPr>
            <w:r>
              <w:rPr>
                <w:u w:val="single"/>
              </w:rPr>
              <w:t xml:space="preserve">Tableau </w:t>
            </w:r>
            <w:r w:rsidR="00DD457B" w:rsidRPr="007F5D87">
              <w:rPr>
                <w:i/>
                <w:u w:val="single"/>
              </w:rPr>
              <w:fldChar w:fldCharType="begin"/>
            </w:r>
            <w:r w:rsidRPr="007F5D87">
              <w:rPr>
                <w:u w:val="single"/>
              </w:rPr>
              <w:instrText xml:space="preserve"> SEQ Tableau \* ARABIC </w:instrText>
            </w:r>
            <w:r w:rsidR="00DD457B" w:rsidRPr="007F5D87">
              <w:rPr>
                <w:i/>
                <w:u w:val="single"/>
              </w:rPr>
              <w:fldChar w:fldCharType="separate"/>
            </w:r>
            <w:r w:rsidR="009375FA">
              <w:rPr>
                <w:noProof/>
                <w:u w:val="single"/>
              </w:rPr>
              <w:t>3</w:t>
            </w:r>
            <w:r w:rsidR="00DD457B" w:rsidRPr="007F5D87">
              <w:rPr>
                <w:i/>
                <w:u w:val="single"/>
              </w:rPr>
              <w:fldChar w:fldCharType="end"/>
            </w:r>
            <w:r w:rsidR="00384043">
              <w:rPr>
                <w:i/>
                <w:u w:val="single"/>
              </w:rPr>
              <w:t> </w:t>
            </w:r>
            <w:r>
              <w:rPr>
                <w:u w:val="single"/>
              </w:rPr>
              <w:t xml:space="preserve">: </w:t>
            </w:r>
            <w:r>
              <w:t>Responsabilités de l’assurance du projet</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Lancement d’un projet</w:t>
            </w:r>
          </w:p>
        </w:tc>
      </w:tr>
      <w:tr w:rsidR="00876F2E" w:rsidRPr="007F5D87" w:rsidTr="00A444DE">
        <w:tc>
          <w:tcPr>
            <w:tcW w:w="9500" w:type="dxa"/>
          </w:tcPr>
          <w:p w:rsidR="00876F2E" w:rsidRPr="007F5D87" w:rsidRDefault="00876F2E" w:rsidP="00771667">
            <w:pPr>
              <w:pStyle w:val="Paragraphedeliste"/>
              <w:numPr>
                <w:ilvl w:val="0"/>
                <w:numId w:val="33"/>
              </w:numPr>
              <w:ind w:left="142" w:hanging="142"/>
              <w:rPr>
                <w:sz w:val="22"/>
                <w:szCs w:val="20"/>
              </w:rPr>
            </w:pPr>
            <w:r>
              <w:rPr>
                <w:sz w:val="22"/>
                <w:szCs w:val="20"/>
              </w:rPr>
              <w:t>Veiller à ce que les définitions des produits du projet et la définition des activités, y compris la description et les critères de qualité, aient été correctement consignées dans le module de gestion du projet Atlas afin de faciliter le suivi et l’établissement des rapports.</w:t>
            </w:r>
          </w:p>
          <w:p w:rsidR="00876F2E" w:rsidRPr="007F5D87" w:rsidRDefault="00876F2E" w:rsidP="00771667">
            <w:pPr>
              <w:pStyle w:val="Paragraphedeliste"/>
              <w:numPr>
                <w:ilvl w:val="0"/>
                <w:numId w:val="33"/>
              </w:numPr>
              <w:ind w:left="142" w:hanging="142"/>
              <w:rPr>
                <w:sz w:val="22"/>
                <w:szCs w:val="20"/>
              </w:rPr>
            </w:pPr>
            <w:r>
              <w:rPr>
                <w:sz w:val="22"/>
                <w:szCs w:val="20"/>
              </w:rPr>
              <w:t>Veiller à ce que les personnes concernées soient pleinement informées du projet.</w:t>
            </w:r>
          </w:p>
          <w:p w:rsidR="00876F2E" w:rsidRPr="007F5D87" w:rsidRDefault="00876F2E" w:rsidP="00771667">
            <w:pPr>
              <w:pStyle w:val="Paragraphedeliste"/>
              <w:numPr>
                <w:ilvl w:val="0"/>
                <w:numId w:val="33"/>
              </w:numPr>
              <w:ind w:left="142" w:hanging="142"/>
              <w:rPr>
                <w:sz w:val="22"/>
                <w:szCs w:val="20"/>
              </w:rPr>
            </w:pPr>
            <w:r>
              <w:rPr>
                <w:sz w:val="22"/>
                <w:szCs w:val="20"/>
              </w:rPr>
              <w:t>Veiller à ce que toutes les activités préparatoires, y compris la formation du personnel du projet et le soutien logistique, soient menées à bien en temps opportun.</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Exécution d’un projet</w:t>
            </w:r>
          </w:p>
        </w:tc>
      </w:tr>
      <w:tr w:rsidR="00876F2E" w:rsidRPr="007F5D87" w:rsidTr="00A444DE">
        <w:tc>
          <w:tcPr>
            <w:tcW w:w="9500" w:type="dxa"/>
          </w:tcPr>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des fonds soient mis à la disposition du projet.</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risques et les problèmes soient gérés correctement et à ce que les registres soient régulièrement mis à jour dans Atlas.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informations critiques du projet soient suivies et mises à jour dans Atlas, en utilisant notamment le journal de bord de la qualité des activités.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rapports trimestriels sur l’état d’avancement du projet soient préparés et présentés dans les délais et conformément aux normes de présentation et de qualité du contenu.</w:t>
            </w:r>
          </w:p>
          <w:p w:rsidR="00876F2E" w:rsidRPr="007F5D87" w:rsidRDefault="005F48B0" w:rsidP="00771667">
            <w:pPr>
              <w:pStyle w:val="Paragraphedeliste"/>
              <w:numPr>
                <w:ilvl w:val="0"/>
                <w:numId w:val="31"/>
              </w:numPr>
              <w:tabs>
                <w:tab w:val="clear" w:pos="720"/>
                <w:tab w:val="num" w:pos="142"/>
              </w:tabs>
              <w:ind w:left="0" w:firstLine="0"/>
              <w:rPr>
                <w:sz w:val="22"/>
                <w:szCs w:val="20"/>
              </w:rPr>
            </w:pPr>
            <w:r>
              <w:rPr>
                <w:sz w:val="22"/>
                <w:szCs w:val="20"/>
              </w:rPr>
              <w:t>Veiller à ce que le</w:t>
            </w:r>
            <w:r w:rsidR="00876F2E">
              <w:rPr>
                <w:sz w:val="22"/>
                <w:szCs w:val="20"/>
              </w:rPr>
              <w:t xml:space="preserve"> </w:t>
            </w:r>
            <w:r>
              <w:rPr>
                <w:sz w:val="22"/>
                <w:szCs w:val="20"/>
              </w:rPr>
              <w:t>REC et l’AFOD</w:t>
            </w:r>
            <w:r w:rsidR="00876F2E">
              <w:rPr>
                <w:sz w:val="22"/>
                <w:szCs w:val="20"/>
              </w:rPr>
              <w:t xml:space="preserve"> soient préparés et </w:t>
            </w:r>
            <w:r w:rsidR="00876F2E" w:rsidRPr="00B26A00">
              <w:rPr>
                <w:sz w:val="22"/>
                <w:szCs w:val="20"/>
              </w:rPr>
              <w:t xml:space="preserve">soumis au </w:t>
            </w:r>
            <w:r w:rsidRPr="00B26A00">
              <w:rPr>
                <w:sz w:val="22"/>
                <w:szCs w:val="20"/>
              </w:rPr>
              <w:t>CSN</w:t>
            </w:r>
            <w:r w:rsidR="00876F2E" w:rsidRPr="00B26A00">
              <w:rPr>
                <w:sz w:val="22"/>
                <w:szCs w:val="20"/>
              </w:rPr>
              <w:t xml:space="preserve"> et</w:t>
            </w:r>
            <w:r w:rsidR="00876F2E">
              <w:rPr>
                <w:sz w:val="22"/>
                <w:szCs w:val="20"/>
              </w:rPr>
              <w:t xml:space="preserve"> au conseil chargé du suivi des résultats.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Effectuer des activités de surveillance, telles que des visites de contrôle périodiques et des « vérifications ponctuelles »</w:t>
            </w:r>
          </w:p>
          <w:p w:rsidR="00876F2E" w:rsidRPr="007F5D87" w:rsidRDefault="00876F2E" w:rsidP="00771667">
            <w:pPr>
              <w:pStyle w:val="Paragraphedeliste"/>
              <w:numPr>
                <w:ilvl w:val="0"/>
                <w:numId w:val="31"/>
              </w:numPr>
              <w:tabs>
                <w:tab w:val="clear" w:pos="720"/>
                <w:tab w:val="num" w:pos="142"/>
              </w:tabs>
              <w:ind w:left="0" w:firstLine="0"/>
              <w:rPr>
                <w:rFonts w:ascii="Arial" w:hAnsi="Arial" w:cs="Arial"/>
                <w:sz w:val="20"/>
                <w:szCs w:val="20"/>
              </w:rPr>
            </w:pPr>
            <w:r>
              <w:rPr>
                <w:sz w:val="22"/>
                <w:szCs w:val="20"/>
              </w:rPr>
              <w:t>Veille</w:t>
            </w:r>
            <w:r w:rsidR="00845CF0">
              <w:rPr>
                <w:sz w:val="22"/>
                <w:szCs w:val="20"/>
              </w:rPr>
              <w:t>r</w:t>
            </w:r>
            <w:r>
              <w:rPr>
                <w:sz w:val="22"/>
                <w:szCs w:val="20"/>
              </w:rPr>
              <w:t xml:space="preserve"> à ce que le tableau de bord de la qualité des données du projet reste « vert ».</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Clôture d’un projet</w:t>
            </w:r>
          </w:p>
        </w:tc>
      </w:tr>
      <w:tr w:rsidR="00876F2E" w:rsidRPr="007F5D87" w:rsidTr="00A444DE">
        <w:tc>
          <w:tcPr>
            <w:tcW w:w="9500" w:type="dxa"/>
          </w:tcPr>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S’assurer que le projet est clôturé dans le plan opérationnel dans Atlas.</w:t>
            </w:r>
          </w:p>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S’assurer que toutes les transactions financières sont présentées dans Atlas en fonction de la comptabilisation finale des dépenses.</w:t>
            </w:r>
          </w:p>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Veiller à ce que les comptes des projets soient clôturés et à ce que l’état d’avancement soit défini dans Atlas en conséquence.</w:t>
            </w:r>
          </w:p>
        </w:tc>
      </w:tr>
    </w:tbl>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b/>
          <w:noProof/>
        </w:rPr>
      </w:pPr>
      <w:r>
        <w:rPr>
          <w:b/>
        </w:rPr>
        <w:t>Appui au projet</w:t>
      </w:r>
    </w:p>
    <w:p w:rsidR="00876F2E" w:rsidRPr="007F5D87" w:rsidRDefault="00876F2E" w:rsidP="00876F2E">
      <w:pPr>
        <w:pStyle w:val="NumberedParas"/>
        <w:rPr>
          <w:noProof/>
        </w:rPr>
      </w:pPr>
      <w:r>
        <w:t>Responsabilités générales</w:t>
      </w:r>
      <w:r w:rsidR="002575A2">
        <w:t> :</w:t>
      </w:r>
      <w:r>
        <w:t xml:space="preserve"> Le rôle d’appui au projet consiste à fournir au Coordonnateur de projet le soutien administratif, à la gestion et technique au projet, selon les besoins de ce dernier ou de chaque projet. La fourniture de tout appui au projet sur une base formelle est facultative.</w:t>
      </w:r>
      <w:r w:rsidR="004533D6">
        <w:t xml:space="preserve"> </w:t>
      </w:r>
      <w:r>
        <w:t>Il est nécessaire de séparer les rôles d’appui au projet et de l’assurance de projet afin de maintenir l’</w:t>
      </w:r>
      <w:r w:rsidR="001B1D26">
        <w:t>indépendance de cette dernière.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Responsabilités spécifiques</w:t>
      </w:r>
      <w:r w:rsidR="001B1D26">
        <w:t>.</w:t>
      </w:r>
      <w:r>
        <w:t xml:space="preserve"> Certaines tâches spécifiques de l’appui au projet incluraient</w:t>
      </w:r>
      <w:r w:rsidR="002575A2">
        <w:t> :</w:t>
      </w:r>
    </w:p>
    <w:p w:rsidR="00876F2E" w:rsidRPr="007F5D87" w:rsidRDefault="001B1D26" w:rsidP="00876F2E">
      <w:pPr>
        <w:pStyle w:val="NumberedParas"/>
        <w:numPr>
          <w:ilvl w:val="0"/>
          <w:numId w:val="0"/>
        </w:numPr>
        <w:rPr>
          <w:i/>
          <w:noProof/>
        </w:rPr>
      </w:pPr>
      <w:r>
        <w:rPr>
          <w:i/>
        </w:rPr>
        <w:t>une p</w:t>
      </w:r>
      <w:r w:rsidR="00876F2E">
        <w:rPr>
          <w:i/>
        </w:rPr>
        <w:t>restation de services administratifs</w:t>
      </w:r>
      <w:r>
        <w:rPr>
          <w:i/>
        </w:rPr>
        <w:t>.</w:t>
      </w:r>
    </w:p>
    <w:p w:rsidR="00876F2E" w:rsidRPr="007F5D87" w:rsidRDefault="00876F2E" w:rsidP="00771667">
      <w:pPr>
        <w:pStyle w:val="NumberedParas"/>
        <w:numPr>
          <w:ilvl w:val="0"/>
          <w:numId w:val="34"/>
        </w:numPr>
        <w:rPr>
          <w:noProof/>
        </w:rPr>
      </w:pPr>
      <w:r>
        <w:t>Concevoir et conserver les fichiers de projet.</w:t>
      </w:r>
    </w:p>
    <w:p w:rsidR="00876F2E" w:rsidRPr="007F5D87" w:rsidRDefault="00876F2E" w:rsidP="00771667">
      <w:pPr>
        <w:pStyle w:val="NumberedParas"/>
        <w:numPr>
          <w:ilvl w:val="0"/>
          <w:numId w:val="34"/>
        </w:numPr>
        <w:rPr>
          <w:noProof/>
        </w:rPr>
      </w:pPr>
      <w:r>
        <w:t>Recueillir les données relatives au projet.</w:t>
      </w:r>
    </w:p>
    <w:p w:rsidR="00876F2E" w:rsidRPr="007F5D87" w:rsidRDefault="00876F2E" w:rsidP="00771667">
      <w:pPr>
        <w:pStyle w:val="NumberedParas"/>
        <w:numPr>
          <w:ilvl w:val="0"/>
          <w:numId w:val="34"/>
        </w:numPr>
        <w:rPr>
          <w:noProof/>
        </w:rPr>
      </w:pPr>
      <w:r>
        <w:t>Mettre à jour les plans.</w:t>
      </w:r>
    </w:p>
    <w:p w:rsidR="00876F2E" w:rsidRPr="007F5D87" w:rsidRDefault="00876F2E" w:rsidP="00771667">
      <w:pPr>
        <w:pStyle w:val="NumberedParas"/>
        <w:numPr>
          <w:ilvl w:val="0"/>
          <w:numId w:val="34"/>
        </w:numPr>
        <w:rPr>
          <w:noProof/>
        </w:rPr>
      </w:pPr>
      <w:r>
        <w:t>Administrer le processus d’examen de la qualité.</w:t>
      </w:r>
    </w:p>
    <w:p w:rsidR="00876F2E" w:rsidRPr="00B26A00" w:rsidRDefault="00876F2E" w:rsidP="00771667">
      <w:pPr>
        <w:pStyle w:val="NumberedParas"/>
        <w:numPr>
          <w:ilvl w:val="0"/>
          <w:numId w:val="34"/>
        </w:numPr>
        <w:rPr>
          <w:noProof/>
        </w:rPr>
      </w:pPr>
      <w:r>
        <w:t xml:space="preserve">Administrer les </w:t>
      </w:r>
      <w:r w:rsidRPr="00B26A00">
        <w:t xml:space="preserve">réunions du </w:t>
      </w:r>
      <w:r w:rsidR="005F48B0" w:rsidRPr="00B26A00">
        <w:t>CSN</w:t>
      </w:r>
      <w:r w:rsidRPr="00B26A00">
        <w:t>.</w:t>
      </w:r>
    </w:p>
    <w:p w:rsidR="00876F2E" w:rsidRPr="007F5D87" w:rsidRDefault="00876F2E" w:rsidP="00876F2E">
      <w:pPr>
        <w:pStyle w:val="NumberedParas"/>
        <w:numPr>
          <w:ilvl w:val="0"/>
          <w:numId w:val="0"/>
        </w:numPr>
        <w:rPr>
          <w:noProof/>
        </w:rPr>
      </w:pPr>
    </w:p>
    <w:p w:rsidR="00876F2E" w:rsidRPr="007F5D87" w:rsidRDefault="001B1D26" w:rsidP="00876F2E">
      <w:pPr>
        <w:pStyle w:val="NumberedParas"/>
        <w:numPr>
          <w:ilvl w:val="0"/>
          <w:numId w:val="0"/>
        </w:numPr>
        <w:rPr>
          <w:i/>
          <w:noProof/>
        </w:rPr>
      </w:pPr>
      <w:r>
        <w:rPr>
          <w:i/>
        </w:rPr>
        <w:t>une g</w:t>
      </w:r>
      <w:r w:rsidR="00876F2E">
        <w:rPr>
          <w:i/>
        </w:rPr>
        <w:t>estion de la documentation du projet</w:t>
      </w:r>
      <w:r>
        <w:rPr>
          <w:i/>
        </w:rPr>
        <w:t>.</w:t>
      </w:r>
    </w:p>
    <w:p w:rsidR="00876F2E" w:rsidRPr="007F5D87" w:rsidRDefault="00876F2E" w:rsidP="00771667">
      <w:pPr>
        <w:pStyle w:val="NumberedParas"/>
        <w:numPr>
          <w:ilvl w:val="0"/>
          <w:numId w:val="35"/>
        </w:numPr>
        <w:rPr>
          <w:noProof/>
        </w:rPr>
      </w:pPr>
      <w:r>
        <w:t>Administrer le contrôle de la révision du projet.</w:t>
      </w:r>
    </w:p>
    <w:p w:rsidR="00876F2E" w:rsidRPr="007F5D87" w:rsidRDefault="00876F2E" w:rsidP="00771667">
      <w:pPr>
        <w:pStyle w:val="NumberedParas"/>
        <w:numPr>
          <w:ilvl w:val="0"/>
          <w:numId w:val="35"/>
        </w:numPr>
        <w:rPr>
          <w:noProof/>
        </w:rPr>
      </w:pPr>
      <w:r>
        <w:t>Établir des procédures de contrôle des documents.</w:t>
      </w:r>
    </w:p>
    <w:p w:rsidR="00876F2E" w:rsidRPr="007F5D87" w:rsidRDefault="00876F2E" w:rsidP="00771667">
      <w:pPr>
        <w:pStyle w:val="NumberedParas"/>
        <w:numPr>
          <w:ilvl w:val="0"/>
          <w:numId w:val="35"/>
        </w:numPr>
        <w:rPr>
          <w:noProof/>
        </w:rPr>
      </w:pPr>
      <w:r>
        <w:t>Collecter, copier et distribuer tous les rapports de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i/>
          <w:noProof/>
        </w:rPr>
      </w:pPr>
      <w:r>
        <w:rPr>
          <w:i/>
        </w:rPr>
        <w:t>Gestion financière, suivi et rapports</w:t>
      </w:r>
      <w:r w:rsidR="001B1D26">
        <w:rPr>
          <w:i/>
        </w:rPr>
        <w:t>.</w:t>
      </w:r>
    </w:p>
    <w:p w:rsidR="00876F2E" w:rsidRPr="007F5D87" w:rsidRDefault="00876F2E" w:rsidP="00771667">
      <w:pPr>
        <w:pStyle w:val="NumberedParas"/>
        <w:numPr>
          <w:ilvl w:val="0"/>
          <w:numId w:val="36"/>
        </w:numPr>
        <w:rPr>
          <w:noProof/>
        </w:rPr>
      </w:pPr>
      <w:r>
        <w:t>Aider à la gestion financière sous la responsabilité du gestionnaire de projet.</w:t>
      </w:r>
    </w:p>
    <w:p w:rsidR="00876F2E" w:rsidRPr="007F5D87" w:rsidRDefault="00876F2E" w:rsidP="00771667">
      <w:pPr>
        <w:pStyle w:val="NumberedParas"/>
        <w:numPr>
          <w:ilvl w:val="0"/>
          <w:numId w:val="36"/>
        </w:numPr>
        <w:rPr>
          <w:noProof/>
        </w:rPr>
      </w:pPr>
      <w:r>
        <w:t>Apporter un soutien à l’utilisation d’Atlas pour le suivi et la production de rapports.</w:t>
      </w:r>
    </w:p>
    <w:p w:rsidR="00876F2E" w:rsidRPr="007F5D87" w:rsidRDefault="00876F2E" w:rsidP="00876F2E">
      <w:pPr>
        <w:pStyle w:val="NumberedParas"/>
        <w:numPr>
          <w:ilvl w:val="0"/>
          <w:numId w:val="0"/>
        </w:numPr>
        <w:rPr>
          <w:noProof/>
        </w:rPr>
      </w:pPr>
    </w:p>
    <w:p w:rsidR="00876F2E" w:rsidRPr="007F5D87" w:rsidRDefault="001B1D26" w:rsidP="00876F2E">
      <w:pPr>
        <w:pStyle w:val="NumberedParas"/>
        <w:numPr>
          <w:ilvl w:val="0"/>
          <w:numId w:val="0"/>
        </w:numPr>
        <w:rPr>
          <w:i/>
          <w:noProof/>
        </w:rPr>
      </w:pPr>
      <w:r>
        <w:rPr>
          <w:i/>
        </w:rPr>
        <w:t>une p</w:t>
      </w:r>
      <w:r w:rsidR="00876F2E">
        <w:rPr>
          <w:i/>
        </w:rPr>
        <w:t>restati</w:t>
      </w:r>
      <w:r>
        <w:rPr>
          <w:i/>
        </w:rPr>
        <w:t>on de services d’appui technique.</w:t>
      </w:r>
    </w:p>
    <w:p w:rsidR="00876F2E" w:rsidRPr="007F5D87" w:rsidRDefault="00876F2E" w:rsidP="00771667">
      <w:pPr>
        <w:pStyle w:val="NumberedParas"/>
        <w:numPr>
          <w:ilvl w:val="0"/>
          <w:numId w:val="37"/>
        </w:numPr>
        <w:rPr>
          <w:noProof/>
        </w:rPr>
      </w:pPr>
      <w:r>
        <w:t>Fournir des conseils techniques.</w:t>
      </w:r>
    </w:p>
    <w:p w:rsidR="00876F2E" w:rsidRPr="007F5D87" w:rsidRDefault="00876F2E" w:rsidP="00771667">
      <w:pPr>
        <w:pStyle w:val="NumberedParas"/>
        <w:numPr>
          <w:ilvl w:val="0"/>
          <w:numId w:val="37"/>
        </w:numPr>
        <w:rPr>
          <w:noProof/>
        </w:rPr>
      </w:pPr>
      <w:r>
        <w:t>Examiner les rapports techniques.</w:t>
      </w:r>
    </w:p>
    <w:p w:rsidR="00876F2E" w:rsidRPr="007F5D87" w:rsidRDefault="00876F2E" w:rsidP="00771667">
      <w:pPr>
        <w:pStyle w:val="NumberedParas"/>
        <w:numPr>
          <w:ilvl w:val="0"/>
          <w:numId w:val="37"/>
        </w:numPr>
        <w:rPr>
          <w:noProof/>
        </w:rPr>
      </w:pPr>
      <w:r>
        <w:t>Surveiller les activités techniques menées par les parties responsables.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szCs w:val="20"/>
          <w:u w:val="single"/>
        </w:rPr>
        <w:t>Accord sur les droits de propriété intellectuelle et l’utilisation du logo sur les livrables du projet et la divulgation de l’information</w:t>
      </w:r>
      <w:r w:rsidR="002575A2">
        <w:rPr>
          <w:szCs w:val="20"/>
          <w:u w:val="single"/>
        </w:rPr>
        <w:t> :</w:t>
      </w:r>
      <w:r w:rsidR="00AE3BD3">
        <w:rPr>
          <w:b/>
          <w:szCs w:val="20"/>
        </w:rPr>
        <w:t xml:space="preserve"> </w:t>
      </w:r>
      <w:r w:rsidR="00AE3BD3" w:rsidRPr="00AE3BD3">
        <w:rPr>
          <w:szCs w:val="20"/>
        </w:rPr>
        <w:t>Afin</w:t>
      </w:r>
      <w:r>
        <w:t xml:space="preserve"> d’accorder la reconnaissance voulue au FEM pour avoir octroyé des subventions, son logo apparaîtra au côté de celui du PNUD sur tous les documents promotionnels, d’autres supports écrits tels que les publications élaborées par le projet et le matériel du projet. Toute référence aux publications concernant des projets financés par le FEM devra également être dûment citée. Les informations seront divulguées conformément aux politiques pertinentes, notamment la politique en matière de communication de l’information du PNUD et la politique sur la participation du public aux projets financés par le FEM.</w:t>
      </w:r>
    </w:p>
    <w:p w:rsidR="00876F2E" w:rsidRPr="007F5D87" w:rsidRDefault="00876F2E" w:rsidP="00876F2E">
      <w:pPr>
        <w:pStyle w:val="NumberedParas"/>
        <w:numPr>
          <w:ilvl w:val="0"/>
          <w:numId w:val="0"/>
        </w:numPr>
        <w:rPr>
          <w:noProof/>
        </w:rPr>
      </w:pPr>
    </w:p>
    <w:p w:rsidR="00876F2E" w:rsidRDefault="00876F2E" w:rsidP="00876F2E">
      <w:pPr>
        <w:pStyle w:val="NumberedParas"/>
        <w:rPr>
          <w:noProof/>
        </w:rPr>
      </w:pPr>
      <w:r>
        <w:rPr>
          <w:szCs w:val="20"/>
          <w:u w:val="single"/>
        </w:rPr>
        <w:t>Gestion de projet</w:t>
      </w:r>
      <w:r w:rsidR="002575A2">
        <w:rPr>
          <w:szCs w:val="20"/>
          <w:u w:val="single"/>
        </w:rPr>
        <w:t> :</w:t>
      </w:r>
      <w:r>
        <w:rPr>
          <w:szCs w:val="20"/>
          <w:u w:val="single"/>
        </w:rPr>
        <w:t xml:space="preserve"> </w:t>
      </w:r>
      <w:r w:rsidR="001B1D26">
        <w:t>l</w:t>
      </w:r>
      <w:r>
        <w:t>’unité de gestion du projet sera logée au bureau du MEDD. En ce qui concerne les agents locaux, ils seront basés dans les lieux ci-après</w:t>
      </w:r>
      <w:r w:rsidR="002575A2">
        <w:t> :</w:t>
      </w:r>
    </w:p>
    <w:p w:rsidR="00381096" w:rsidRPr="007F5D87" w:rsidRDefault="001B1D26" w:rsidP="00771667">
      <w:pPr>
        <w:pStyle w:val="NumberedParas"/>
        <w:numPr>
          <w:ilvl w:val="0"/>
          <w:numId w:val="60"/>
        </w:numPr>
        <w:ind w:left="709"/>
        <w:rPr>
          <w:noProof/>
        </w:rPr>
      </w:pPr>
      <w:r>
        <w:t>s</w:t>
      </w:r>
      <w:r w:rsidR="00381096">
        <w:t xml:space="preserve">ite du </w:t>
      </w:r>
      <w:r w:rsidR="00E82CB3">
        <w:t>delta du Saloum</w:t>
      </w:r>
      <w:r>
        <w:t>. L</w:t>
      </w:r>
      <w:r w:rsidR="00381096">
        <w:t>e personnel du projet sera basé dans la mairie de Sokone, le maire s’étant engagé à offrir un bureau dans le cadre du cofinancement.</w:t>
      </w:r>
    </w:p>
    <w:p w:rsidR="00381096" w:rsidRPr="007F5D87" w:rsidRDefault="001B1D26" w:rsidP="00771667">
      <w:pPr>
        <w:pStyle w:val="NumberedParas"/>
        <w:numPr>
          <w:ilvl w:val="0"/>
          <w:numId w:val="60"/>
        </w:numPr>
        <w:ind w:left="709"/>
        <w:rPr>
          <w:noProof/>
        </w:rPr>
      </w:pPr>
      <w:r>
        <w:t>s</w:t>
      </w:r>
      <w:r w:rsidR="00E82CB3">
        <w:t>ite du d</w:t>
      </w:r>
      <w:r w:rsidR="00381096">
        <w:t>elta du fleuve Sénégal</w:t>
      </w:r>
      <w:r>
        <w:t>. Le</w:t>
      </w:r>
      <w:r w:rsidR="00381096">
        <w:t xml:space="preserve"> personnel du projet sera basé dans les locaux de l’ARD, le directeur de cette agence à Saint Louis ayant pris l’engagement de s’associer et d’offrir un bureau dans le cadre du cofinancement.</w:t>
      </w:r>
    </w:p>
    <w:p w:rsidR="00381096" w:rsidRPr="007F5D87" w:rsidRDefault="001B1D26" w:rsidP="00771667">
      <w:pPr>
        <w:pStyle w:val="NumberedParas"/>
        <w:numPr>
          <w:ilvl w:val="0"/>
          <w:numId w:val="60"/>
        </w:numPr>
        <w:ind w:left="709"/>
        <w:rPr>
          <w:noProof/>
        </w:rPr>
      </w:pPr>
      <w:r>
        <w:t>s</w:t>
      </w:r>
      <w:r w:rsidR="00381096">
        <w:t>ite de Ferlo</w:t>
      </w:r>
      <w:r>
        <w:t>. L</w:t>
      </w:r>
      <w:r w:rsidR="00381096">
        <w:t xml:space="preserve">e personnel du projet sera basé au centre environnemental de </w:t>
      </w:r>
      <w:r w:rsidR="00384043">
        <w:t>Ranérou</w:t>
      </w:r>
      <w:r w:rsidR="00381096">
        <w:t>, le Ministère de l’environnement s’étant engagé à offrir un bureau dans le cadre du cofinancement.</w:t>
      </w:r>
    </w:p>
    <w:p w:rsidR="00381096" w:rsidRDefault="008712CB" w:rsidP="00771667">
      <w:pPr>
        <w:pStyle w:val="NumberedParas"/>
        <w:numPr>
          <w:ilvl w:val="0"/>
          <w:numId w:val="60"/>
        </w:numPr>
        <w:ind w:left="709"/>
      </w:pPr>
      <w:r>
        <w:t>Niokolo-Koba</w:t>
      </w:r>
      <w:r w:rsidR="001B1D26">
        <w:t>. L</w:t>
      </w:r>
      <w:r w:rsidR="00381096">
        <w:t>e personnel du projet sera basé à Tambacounda et à Kédougou, dans le cadre de la recherche de synergies avec le personnel de l’ANEV/MEDD déjà en poste dans la région.</w:t>
      </w:r>
    </w:p>
    <w:p w:rsidR="00381096" w:rsidRDefault="00381096" w:rsidP="00381096">
      <w:pPr>
        <w:pStyle w:val="NumberedParas"/>
        <w:numPr>
          <w:ilvl w:val="0"/>
          <w:numId w:val="0"/>
        </w:numPr>
        <w:ind w:left="360"/>
        <w:rPr>
          <w:noProof/>
        </w:rPr>
      </w:pPr>
    </w:p>
    <w:p w:rsidR="00381096" w:rsidRDefault="00381096" w:rsidP="00381096">
      <w:pPr>
        <w:pStyle w:val="NumberedParas"/>
        <w:numPr>
          <w:ilvl w:val="0"/>
          <w:numId w:val="0"/>
        </w:numPr>
        <w:ind w:left="360"/>
        <w:rPr>
          <w:noProof/>
        </w:rPr>
      </w:pPr>
    </w:p>
    <w:p w:rsidR="00381096" w:rsidRDefault="00381096" w:rsidP="00381096">
      <w:pPr>
        <w:pStyle w:val="NumberedParas"/>
        <w:numPr>
          <w:ilvl w:val="0"/>
          <w:numId w:val="0"/>
        </w:numPr>
        <w:ind w:left="360"/>
        <w:rPr>
          <w:noProof/>
        </w:rPr>
      </w:pPr>
    </w:p>
    <w:p w:rsidR="00381096" w:rsidRDefault="00381096">
      <w:pPr>
        <w:spacing w:after="160" w:line="259" w:lineRule="auto"/>
        <w:jc w:val="left"/>
        <w:rPr>
          <w:rFonts w:ascii="Times New Roman" w:eastAsia="Times New Roman" w:hAnsi="Times New Roman"/>
          <w:noProof/>
          <w:sz w:val="24"/>
          <w:szCs w:val="22"/>
        </w:rPr>
      </w:pPr>
      <w:r>
        <w:rPr>
          <w:noProof/>
        </w:rPr>
        <w:br w:type="page"/>
      </w:r>
    </w:p>
    <w:p w:rsidR="00381096" w:rsidRPr="007F5D87" w:rsidRDefault="00381096" w:rsidP="00381096">
      <w:pPr>
        <w:pStyle w:val="Titre1"/>
        <w:spacing w:before="0" w:after="60"/>
        <w:rPr>
          <w:rFonts w:ascii="Calibri" w:hAnsi="Calibri"/>
          <w:sz w:val="32"/>
          <w:szCs w:val="28"/>
        </w:rPr>
      </w:pPr>
      <w:bookmarkStart w:id="39" w:name="_Toc496886560"/>
      <w:bookmarkStart w:id="40" w:name="_Toc498638397"/>
      <w:r>
        <w:rPr>
          <w:rFonts w:ascii="Calibri" w:hAnsi="Calibri"/>
          <w:sz w:val="32"/>
          <w:szCs w:val="28"/>
        </w:rPr>
        <w:t>Plan de financement et gestion</w:t>
      </w:r>
      <w:bookmarkEnd w:id="39"/>
      <w:bookmarkEnd w:id="40"/>
    </w:p>
    <w:p w:rsidR="00381096" w:rsidRDefault="00381096" w:rsidP="00381096">
      <w:pPr>
        <w:pStyle w:val="NumberedParas"/>
        <w:numPr>
          <w:ilvl w:val="0"/>
          <w:numId w:val="0"/>
        </w:numPr>
        <w:rPr>
          <w:noProof/>
        </w:rPr>
      </w:pPr>
    </w:p>
    <w:p w:rsidR="00381096" w:rsidRPr="00922D95" w:rsidRDefault="00381096" w:rsidP="00381096">
      <w:pPr>
        <w:pStyle w:val="NumberedParas"/>
        <w:ind w:left="0" w:firstLine="0"/>
        <w:rPr>
          <w:noProof/>
          <w:lang w:eastAsia="fr-FR" w:bidi="fr-FR"/>
        </w:rPr>
      </w:pPr>
      <w:r w:rsidRPr="00922D95">
        <w:rPr>
          <w:lang w:eastAsia="fr-FR" w:bidi="fr-FR"/>
        </w:rPr>
        <w:t>Le c</w:t>
      </w:r>
      <w:r w:rsidR="003B7D35">
        <w:rPr>
          <w:lang w:eastAsia="fr-FR" w:bidi="fr-FR"/>
        </w:rPr>
        <w:t xml:space="preserve">oût total des projets est de </w:t>
      </w:r>
      <w:r w:rsidR="003B7D35" w:rsidRPr="001F31A4">
        <w:rPr>
          <w:lang w:eastAsia="fr-FR" w:bidi="fr-FR"/>
        </w:rPr>
        <w:t>39 301 </w:t>
      </w:r>
      <w:r w:rsidRPr="001F31A4">
        <w:rPr>
          <w:lang w:eastAsia="fr-FR" w:bidi="fr-FR"/>
        </w:rPr>
        <w:t>169 USD</w:t>
      </w:r>
      <w:r w:rsidRPr="00922D95">
        <w:rPr>
          <w:lang w:eastAsia="fr-FR" w:bidi="fr-FR"/>
        </w:rPr>
        <w:t>.</w:t>
      </w:r>
      <w:r w:rsidRPr="00922D95">
        <w:rPr>
          <w:i/>
          <w:lang w:eastAsia="fr-FR" w:bidi="fr-FR"/>
        </w:rPr>
        <w:t xml:space="preserve"> </w:t>
      </w:r>
      <w:r w:rsidRPr="00922D95">
        <w:rPr>
          <w:lang w:eastAsia="fr-FR" w:bidi="fr-FR"/>
        </w:rPr>
        <w:t>Leur financement provient des subventions FPMA de 5</w:t>
      </w:r>
      <w:r w:rsidR="003B7D35">
        <w:rPr>
          <w:lang w:eastAsia="fr-FR" w:bidi="fr-FR"/>
        </w:rPr>
        <w:t> 460 </w:t>
      </w:r>
      <w:r w:rsidRPr="00922D95">
        <w:rPr>
          <w:lang w:eastAsia="fr-FR" w:bidi="fr-FR"/>
        </w:rPr>
        <w:t>000 USD, d'un cofinancement de 500.000 USD en espèces qui seront administrés par</w:t>
      </w:r>
      <w:r w:rsidR="003B7D35">
        <w:rPr>
          <w:lang w:eastAsia="fr-FR" w:bidi="fr-FR"/>
        </w:rPr>
        <w:t xml:space="preserve"> le PNUD</w:t>
      </w:r>
      <w:r w:rsidR="008A14B7">
        <w:rPr>
          <w:lang w:eastAsia="fr-FR" w:bidi="fr-FR"/>
        </w:rPr>
        <w:t>, d’un cofinancement en espèce de 1 000 000 USD du Gouvernement du Sénégal</w:t>
      </w:r>
      <w:r w:rsidR="003B7D35">
        <w:rPr>
          <w:lang w:eastAsia="fr-FR" w:bidi="fr-FR"/>
        </w:rPr>
        <w:t xml:space="preserve"> et d'un cofinancement </w:t>
      </w:r>
      <w:r w:rsidRPr="00922D95">
        <w:rPr>
          <w:lang w:eastAsia="fr-FR" w:bidi="fr-FR"/>
        </w:rPr>
        <w:t xml:space="preserve">parallèle de </w:t>
      </w:r>
      <w:r w:rsidRPr="001F31A4">
        <w:rPr>
          <w:lang w:eastAsia="fr-FR" w:bidi="fr-FR"/>
        </w:rPr>
        <w:t>3</w:t>
      </w:r>
      <w:r w:rsidR="001F31A4" w:rsidRPr="009B3C60">
        <w:rPr>
          <w:lang w:eastAsia="fr-FR" w:bidi="fr-FR"/>
        </w:rPr>
        <w:t>2</w:t>
      </w:r>
      <w:r w:rsidR="009E23E7" w:rsidRPr="001F31A4">
        <w:rPr>
          <w:lang w:eastAsia="fr-FR" w:bidi="fr-FR"/>
        </w:rPr>
        <w:t> 341 </w:t>
      </w:r>
      <w:r w:rsidR="003B7D35" w:rsidRPr="001F31A4">
        <w:rPr>
          <w:lang w:eastAsia="fr-FR" w:bidi="fr-FR"/>
        </w:rPr>
        <w:t>169 USD</w:t>
      </w:r>
      <w:r w:rsidRPr="00922D95">
        <w:rPr>
          <w:lang w:eastAsia="fr-FR" w:bidi="fr-FR"/>
        </w:rPr>
        <w:t>. Le PNUD, agissant comme l'agence en charge de la mise en œuvre du FEM, est responsable des ressources du FEM et du cofinancement en espèces transféré uniquement à son compte bancaire.</w:t>
      </w:r>
      <w:r w:rsidR="004F6759">
        <w:rPr>
          <w:lang w:eastAsia="fr-FR" w:bidi="fr-FR"/>
        </w:rPr>
        <w:t xml:space="preserve"> </w:t>
      </w:r>
      <w:r w:rsidR="004F6759" w:rsidRPr="00155862">
        <w:rPr>
          <w:rFonts w:cs="Calibri"/>
        </w:rPr>
        <w:t xml:space="preserve">Le Ministère en charge des Finances ouvrira </w:t>
      </w:r>
      <w:r w:rsidR="004F6759">
        <w:rPr>
          <w:rFonts w:cs="Calibri"/>
        </w:rPr>
        <w:t>à la demande du MEDD, un compte bancaire</w:t>
      </w:r>
      <w:r w:rsidR="004F6759" w:rsidRPr="00155862">
        <w:rPr>
          <w:rFonts w:cs="Calibri"/>
        </w:rPr>
        <w:t xml:space="preserve"> pour chaque source de financement, au nom du projet avec deux cosignataires (le Coordonnateur </w:t>
      </w:r>
      <w:r w:rsidR="00796C09">
        <w:rPr>
          <w:rFonts w:cs="Calibri"/>
        </w:rPr>
        <w:t>ou</w:t>
      </w:r>
      <w:r w:rsidR="00796C09" w:rsidRPr="00155862">
        <w:rPr>
          <w:rFonts w:cs="Calibri"/>
        </w:rPr>
        <w:t xml:space="preserve"> </w:t>
      </w:r>
      <w:r w:rsidR="00796C09">
        <w:rPr>
          <w:rFonts w:cs="Calibri"/>
        </w:rPr>
        <w:t xml:space="preserve">son suppléant </w:t>
      </w:r>
      <w:r w:rsidR="007364B9" w:rsidRPr="00155862">
        <w:rPr>
          <w:rFonts w:cs="Calibri"/>
        </w:rPr>
        <w:t>et l’Assistant</w:t>
      </w:r>
      <w:r w:rsidR="004F6759" w:rsidRPr="00155862">
        <w:rPr>
          <w:rFonts w:cs="Calibri"/>
        </w:rPr>
        <w:t xml:space="preserve"> Administratif et Financier).</w:t>
      </w:r>
      <w:r w:rsidR="004F6759">
        <w:rPr>
          <w:lang w:eastAsia="fr-FR" w:bidi="fr-FR"/>
        </w:rPr>
        <w:t xml:space="preserve"> </w:t>
      </w:r>
    </w:p>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noProof/>
          <w:lang w:eastAsia="fr-FR" w:bidi="fr-FR"/>
        </w:rPr>
      </w:pPr>
      <w:r w:rsidRPr="00922D95">
        <w:rPr>
          <w:u w:val="single"/>
          <w:lang w:eastAsia="fr-FR" w:bidi="fr-FR"/>
        </w:rPr>
        <w:t>Cofinancement parallèle</w:t>
      </w:r>
      <w:r w:rsidR="003B7D35">
        <w:rPr>
          <w:lang w:eastAsia="fr-FR" w:bidi="fr-FR"/>
        </w:rPr>
        <w:t>. L</w:t>
      </w:r>
      <w:r w:rsidRPr="00922D95">
        <w:rPr>
          <w:lang w:eastAsia="fr-FR" w:bidi="fr-FR"/>
        </w:rPr>
        <w:t>a réalisation effective du cofinancement du projet sera contrôlée à la fois pendant l'examen à mi-parcours et le processus d'évaluation finale et sera présentée au FEM. Le cofinancement parallèle prévu sera utilisé comme suit</w:t>
      </w:r>
      <w:r w:rsidR="002575A2">
        <w:rPr>
          <w:lang w:eastAsia="fr-FR" w:bidi="fr-FR"/>
        </w:rPr>
        <w:t> :</w:t>
      </w:r>
    </w:p>
    <w:p w:rsidR="00381096" w:rsidRPr="00922D95" w:rsidRDefault="00381096" w:rsidP="00381096">
      <w:pPr>
        <w:spacing w:after="0"/>
        <w:rPr>
          <w:rFonts w:ascii="Times New Roman" w:eastAsia="Times New Roman" w:hAnsi="Times New Roman"/>
          <w:noProof/>
          <w:sz w:val="24"/>
          <w:szCs w:val="22"/>
          <w:lang w:eastAsia="fr-FR" w:bidi="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4"/>
        <w:gridCol w:w="1564"/>
        <w:gridCol w:w="1866"/>
        <w:gridCol w:w="939"/>
        <w:gridCol w:w="1564"/>
      </w:tblGrid>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Source de cofinancement</w:t>
            </w:r>
          </w:p>
        </w:tc>
        <w:tc>
          <w:tcPr>
            <w:tcW w:w="1213"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Type de cofinancement</w:t>
            </w:r>
          </w:p>
        </w:tc>
        <w:tc>
          <w:tcPr>
            <w:tcW w:w="1206"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Montant du cofinancement</w:t>
            </w:r>
          </w:p>
        </w:tc>
        <w:tc>
          <w:tcPr>
            <w:tcW w:w="2377" w:type="dxa"/>
            <w:shd w:val="clear" w:color="auto" w:fill="auto"/>
          </w:tcPr>
          <w:p w:rsidR="00381096" w:rsidRPr="00922D95" w:rsidRDefault="00381096" w:rsidP="005A43F3">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Activités/</w:t>
            </w:r>
            <w:r w:rsidR="005A43F3">
              <w:rPr>
                <w:rFonts w:ascii="Times New Roman" w:hAnsi="Times New Roman"/>
                <w:b/>
                <w:color w:val="000000"/>
                <w:sz w:val="22"/>
                <w:lang w:eastAsia="fr-FR" w:bidi="fr-FR"/>
              </w:rPr>
              <w:t>produit</w:t>
            </w:r>
            <w:r w:rsidRPr="00922D95">
              <w:rPr>
                <w:rFonts w:ascii="Times New Roman" w:hAnsi="Times New Roman"/>
                <w:b/>
                <w:color w:val="000000"/>
                <w:sz w:val="22"/>
                <w:lang w:eastAsia="fr-FR" w:bidi="fr-FR"/>
              </w:rPr>
              <w:t>s prévu(e)s</w:t>
            </w:r>
          </w:p>
        </w:tc>
        <w:tc>
          <w:tcPr>
            <w:tcW w:w="1446"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Risques</w:t>
            </w:r>
          </w:p>
        </w:tc>
        <w:tc>
          <w:tcPr>
            <w:tcW w:w="1482"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Mesures d'atténuation des risques</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Gouvernement</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1B1A0B"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9 </w:t>
            </w:r>
            <w:r w:rsidR="009E23E7">
              <w:rPr>
                <w:rFonts w:ascii="Times New Roman" w:hAnsi="Times New Roman"/>
                <w:color w:val="000000"/>
                <w:sz w:val="22"/>
                <w:lang w:eastAsia="fr-FR" w:bidi="fr-FR"/>
              </w:rPr>
              <w:t>400 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Salaires du personnel, espace de bureaux, développement d'infrastructures, etc.)</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Engagement du MEDD</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PNUD</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6 000 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Promouvoir les initiatives locales mise</w:t>
            </w:r>
            <w:r w:rsidR="00845CF0">
              <w:rPr>
                <w:rFonts w:ascii="Times New Roman" w:hAnsi="Times New Roman"/>
                <w:color w:val="000000"/>
                <w:sz w:val="22"/>
                <w:lang w:eastAsia="fr-FR" w:bidi="fr-FR"/>
              </w:rPr>
              <w:t xml:space="preserve">s </w:t>
            </w:r>
            <w:r w:rsidRPr="00922D95">
              <w:rPr>
                <w:rFonts w:ascii="Times New Roman" w:hAnsi="Times New Roman"/>
                <w:color w:val="000000"/>
                <w:sz w:val="22"/>
                <w:lang w:eastAsia="fr-FR" w:bidi="fr-FR"/>
              </w:rPr>
              <w:t>en œuvre par les femmes et les jeunes pour le développement de leurs terres et pour la création d'emplois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Maintenir le dialogue avec l'équipe de gestion du Programme d'urgence de développement communautaire (PUDC)</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ANACIM</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2 500 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Construction, réhabilitation et entretien de stations météorologiques</w:t>
            </w:r>
            <w:r w:rsidR="00D2405E">
              <w:rPr>
                <w:rFonts w:ascii="Times New Roman" w:hAnsi="Times New Roman"/>
                <w:color w:val="000000"/>
                <w:sz w:val="22"/>
                <w:lang w:eastAsia="fr-FR" w:bidi="fr-FR"/>
              </w:rPr>
              <w:t xml:space="preserve"> ; </w:t>
            </w:r>
            <w:r w:rsidRPr="00922D95">
              <w:rPr>
                <w:rFonts w:ascii="Times New Roman" w:hAnsi="Times New Roman"/>
                <w:color w:val="000000"/>
                <w:sz w:val="22"/>
                <w:lang w:eastAsia="fr-FR" w:bidi="fr-FR"/>
              </w:rPr>
              <w:t>formation des agriculteurs et du personnel communal</w:t>
            </w:r>
            <w:r w:rsidR="00D2405E">
              <w:rPr>
                <w:rFonts w:ascii="Times New Roman" w:hAnsi="Times New Roman"/>
                <w:color w:val="000000"/>
                <w:sz w:val="22"/>
                <w:lang w:eastAsia="fr-FR" w:bidi="fr-FR"/>
              </w:rPr>
              <w:t> ;</w:t>
            </w:r>
            <w:r w:rsidRPr="00922D95">
              <w:rPr>
                <w:rFonts w:ascii="Times New Roman" w:hAnsi="Times New Roman"/>
                <w:color w:val="000000"/>
                <w:sz w:val="22"/>
                <w:lang w:eastAsia="fr-FR" w:bidi="fr-FR"/>
              </w:rPr>
              <w:t xml:space="preserve"> diffusion d'informations climatiques.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PNUD et l'ANACIM</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PADAER</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2 741 </w:t>
            </w:r>
            <w:r w:rsidR="00381096" w:rsidRPr="00922D95">
              <w:rPr>
                <w:rFonts w:ascii="Times New Roman" w:hAnsi="Times New Roman"/>
                <w:color w:val="000000"/>
                <w:sz w:val="22"/>
                <w:lang w:eastAsia="fr-FR" w:bidi="fr-FR"/>
              </w:rPr>
              <w:t>894</w:t>
            </w:r>
          </w:p>
        </w:tc>
        <w:tc>
          <w:tcPr>
            <w:tcW w:w="2377" w:type="dxa"/>
            <w:shd w:val="clear" w:color="auto" w:fill="auto"/>
          </w:tcPr>
          <w:p w:rsidR="00381096" w:rsidRPr="00922D95" w:rsidRDefault="00D2405E" w:rsidP="00D2405E">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Réhabilitation de 18 UP ;</w:t>
            </w:r>
            <w:r w:rsidR="00381096" w:rsidRPr="00922D95">
              <w:rPr>
                <w:rFonts w:ascii="Times New Roman" w:hAnsi="Times New Roman"/>
                <w:color w:val="000000"/>
                <w:sz w:val="22"/>
                <w:lang w:eastAsia="fr-FR" w:bidi="fr-FR"/>
              </w:rPr>
              <w:t xml:space="preserve"> mise en place de 18 UP</w:t>
            </w:r>
            <w:r w:rsidR="008712CB">
              <w:rPr>
                <w:rFonts w:ascii="Times New Roman" w:hAnsi="Times New Roman"/>
                <w:color w:val="000000"/>
                <w:sz w:val="22"/>
                <w:lang w:eastAsia="fr-FR" w:bidi="fr-FR"/>
              </w:rPr>
              <w:t xml:space="preserve"> </w:t>
            </w:r>
            <w:r w:rsidR="00381096" w:rsidRPr="00922D95">
              <w:rPr>
                <w:rFonts w:ascii="Times New Roman" w:hAnsi="Times New Roman"/>
                <w:color w:val="000000"/>
                <w:sz w:val="22"/>
                <w:lang w:eastAsia="fr-FR" w:bidi="fr-FR"/>
              </w:rPr>
              <w:t>et de 20 km de coupe-feux ; renforcement des capacités des villageois.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MEDD et le PADAER</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PASA Loumakaf</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10 879 </w:t>
            </w:r>
            <w:r w:rsidR="00381096" w:rsidRPr="00922D95">
              <w:rPr>
                <w:rFonts w:ascii="Times New Roman" w:hAnsi="Times New Roman"/>
                <w:color w:val="000000"/>
                <w:sz w:val="22"/>
                <w:lang w:eastAsia="fr-FR" w:bidi="fr-FR"/>
              </w:rPr>
              <w:t>741</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Bassins, accès à l'eau, équipements, coupe-feux, renforcement des capacités, adaptation des méthodes d'élevage.</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MEDD et le PASA Loumakaf.</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Communes concernées par le projet</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819 </w:t>
            </w:r>
            <w:r w:rsidR="00381096" w:rsidRPr="00922D95">
              <w:rPr>
                <w:rFonts w:ascii="Times New Roman" w:hAnsi="Times New Roman"/>
                <w:color w:val="000000"/>
                <w:sz w:val="22"/>
                <w:lang w:eastAsia="fr-FR" w:bidi="fr-FR"/>
              </w:rPr>
              <w:t>534</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Personnel, bureaux, infrastructures et terres.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Toutes les communes sont fortement impliquées dans ce projet.</w:t>
            </w:r>
          </w:p>
        </w:tc>
      </w:tr>
    </w:tbl>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noProof/>
          <w:lang w:eastAsia="fr-FR" w:bidi="fr-FR"/>
        </w:rPr>
      </w:pPr>
      <w:r w:rsidRPr="00922D95">
        <w:rPr>
          <w:u w:val="single"/>
          <w:lang w:eastAsia="fr-FR" w:bidi="fr-FR"/>
        </w:rPr>
        <w:t>Révision du budget et tolérance budgétaire</w:t>
      </w:r>
      <w:r w:rsidR="002575A2">
        <w:rPr>
          <w:lang w:eastAsia="fr-FR" w:bidi="fr-FR"/>
        </w:rPr>
        <w:t> :</w:t>
      </w:r>
      <w:r w:rsidR="001B1D26">
        <w:rPr>
          <w:lang w:eastAsia="fr-FR" w:bidi="fr-FR"/>
        </w:rPr>
        <w:t xml:space="preserve"> c</w:t>
      </w:r>
      <w:r w:rsidRPr="00922D95">
        <w:rPr>
          <w:lang w:eastAsia="fr-FR" w:bidi="fr-FR"/>
        </w:rPr>
        <w:t>onformément aux exi</w:t>
      </w:r>
      <w:r w:rsidR="00BD0C63">
        <w:rPr>
          <w:lang w:eastAsia="fr-FR" w:bidi="fr-FR"/>
        </w:rPr>
        <w:t>gences du PNUD énoncées dans ses</w:t>
      </w:r>
      <w:r w:rsidRPr="00922D95">
        <w:rPr>
          <w:lang w:eastAsia="fr-FR" w:bidi="fr-FR"/>
        </w:rPr>
        <w:t xml:space="preserve"> PPOP, le Conseil d'administration du projet conviendra d'un niveau de tolérance budgétaire pour chaque plan au titre du Plan de travail annuel global, ce qui permettra au directeur du projet de dépasser le niveau de tolérance au-delà du montant annuel approuvé du budget de ce projet sans qu'une révision par son CDP/Conseil d'administration soit nécessaire. Si les écarts suivants se produisent, le Directeur de projet et le </w:t>
      </w:r>
      <w:r w:rsidR="001476CF">
        <w:rPr>
          <w:lang w:eastAsia="fr-FR" w:bidi="fr-FR"/>
        </w:rPr>
        <w:t>b</w:t>
      </w:r>
      <w:r w:rsidRPr="00922D95">
        <w:rPr>
          <w:lang w:eastAsia="fr-FR" w:bidi="fr-FR"/>
        </w:rPr>
        <w:t>ureau de pays du PNUD demanderont l'approbation de l'équipe PNUD-FEM étant donné que ces écarts sont considérés comme des modifications majeures par le FEM. En outre, ces amendements majeurs sont soumis à une nouvelle demande au FEM</w:t>
      </w:r>
      <w:r w:rsidR="002575A2">
        <w:rPr>
          <w:lang w:eastAsia="fr-FR" w:bidi="fr-FR"/>
        </w:rPr>
        <w:t> :</w:t>
      </w:r>
      <w:r w:rsidRPr="00922D95">
        <w:rPr>
          <w:lang w:eastAsia="fr-FR" w:bidi="fr-FR"/>
        </w:rPr>
        <w:t xml:space="preserve"> a) réorganisation des allocations budgétaires pour les composantes du projet avec des montants représentant 10 % ou plus de l'ensemble des subventions du projet ; b) mise en place de nouveaux postes budgétaires ou de nouvelles composantes du budget dépassant 5 % de l'allocation initiale du FEM.</w:t>
      </w:r>
    </w:p>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u w:val="single"/>
          <w:lang w:eastAsia="fr-FR" w:bidi="fr-FR"/>
        </w:rPr>
      </w:pPr>
      <w:r w:rsidRPr="00922D95">
        <w:rPr>
          <w:lang w:eastAsia="fr-FR" w:bidi="fr-FR"/>
        </w:rPr>
        <w:t>Toute dépense supérieure au montant des subventions du FEM sera absorbée par des ressources autres que celles du FEM (par exemple, le MCARB du PNUD ou le cofinancement en espèces).</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Fermeture du projet</w:t>
      </w:r>
      <w:r w:rsidR="002575A2">
        <w:rPr>
          <w:u w:val="single"/>
          <w:lang w:eastAsia="fr-FR" w:bidi="fr-FR"/>
        </w:rPr>
        <w:t> :</w:t>
      </w:r>
      <w:r w:rsidRPr="00922D95">
        <w:rPr>
          <w:u w:val="single"/>
          <w:lang w:eastAsia="fr-FR" w:bidi="fr-FR"/>
        </w:rPr>
        <w:t xml:space="preserve"> </w:t>
      </w:r>
      <w:r w:rsidR="001B1D26">
        <w:rPr>
          <w:lang w:eastAsia="fr-FR" w:bidi="fr-FR"/>
        </w:rPr>
        <w:t>l</w:t>
      </w:r>
      <w:r w:rsidRPr="00922D95">
        <w:rPr>
          <w:lang w:eastAsia="fr-FR" w:bidi="fr-FR"/>
        </w:rPr>
        <w:t>a fermeture du projet sera exécutée conformément aux exigences du PNUD énoncées dans l</w:t>
      </w:r>
      <w:r w:rsidR="00BD0C63">
        <w:rPr>
          <w:lang w:eastAsia="fr-FR" w:bidi="fr-FR"/>
        </w:rPr>
        <w:t>es</w:t>
      </w:r>
      <w:r w:rsidR="004533D6">
        <w:rPr>
          <w:lang w:eastAsia="fr-FR" w:bidi="fr-FR"/>
        </w:rPr>
        <w:t xml:space="preserve"> PPOP du PNUD.</w:t>
      </w:r>
      <w:r w:rsidRPr="00922D95">
        <w:rPr>
          <w:lang w:eastAsia="fr-FR" w:bidi="fr-FR"/>
        </w:rPr>
        <w:t xml:space="preserve"> À titre exceptionnel seulement, une prolongation de la durée initiale du projet sera demandée, sans frais, aux collègues du PNUD établis dans le pays, puis au Coordonnateur exécutif du PNUD-FEM.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Achèvement des activités opérationnelles</w:t>
      </w:r>
      <w:r w:rsidR="002575A2">
        <w:rPr>
          <w:u w:val="single"/>
          <w:lang w:eastAsia="fr-FR" w:bidi="fr-FR"/>
        </w:rPr>
        <w:t> :</w:t>
      </w:r>
      <w:r w:rsidRPr="004533D6">
        <w:rPr>
          <w:lang w:eastAsia="fr-FR" w:bidi="fr-FR"/>
        </w:rPr>
        <w:t xml:space="preserve"> </w:t>
      </w:r>
      <w:r w:rsidR="001B1D26">
        <w:rPr>
          <w:lang w:eastAsia="fr-FR" w:bidi="fr-FR"/>
        </w:rPr>
        <w:t>l</w:t>
      </w:r>
      <w:r w:rsidRPr="00922D95">
        <w:rPr>
          <w:lang w:eastAsia="fr-FR" w:bidi="fr-FR"/>
        </w:rPr>
        <w:t>e projet sera terminé sur le plan opérationnel lorsque les dernières contributions financières du PNUD auront été fournies et que les activités correspondantes auront été menées à bien. Ce projet se terminera notamment après l'approbation finale du Rapport final d'évaluation (qui sera disponible en anglais), après la réponse de l'administration à cette évaluation et après la réunion du CDP consacrée à l'examen de fin de projet. Le Partenaire opérationnel, par le biais d'une décision prise au sein du CDP, informera le Bureau extérieur du PNUD de l'achèvement des activités opérationnelles une fois que cette dernière aura eu lieu. À ce moment-là, les parties concernées se seront déjà mises d'accord et auront déjà confirmé par écrit les dispositions prises pour la cession de tout matériel qui demeure la propriété du PNUD.</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Achèvement financier</w:t>
      </w:r>
      <w:r w:rsidR="002575A2">
        <w:rPr>
          <w:u w:val="single"/>
          <w:lang w:eastAsia="fr-FR" w:bidi="fr-FR"/>
        </w:rPr>
        <w:t> :</w:t>
      </w:r>
      <w:r w:rsidR="001B1D26">
        <w:rPr>
          <w:lang w:eastAsia="fr-FR" w:bidi="fr-FR"/>
        </w:rPr>
        <w:t xml:space="preserve"> l</w:t>
      </w:r>
      <w:r w:rsidRPr="00922D95">
        <w:rPr>
          <w:lang w:eastAsia="fr-FR" w:bidi="fr-FR"/>
        </w:rPr>
        <w:t>a clôture financière de ce projet aura lieu lorsque les conditions suivantes seront remplies</w:t>
      </w:r>
      <w:r w:rsidR="002575A2">
        <w:rPr>
          <w:lang w:eastAsia="fr-FR" w:bidi="fr-FR"/>
        </w:rPr>
        <w:t> :</w:t>
      </w:r>
      <w:r w:rsidRPr="00922D95">
        <w:rPr>
          <w:lang w:eastAsia="fr-FR" w:bidi="fr-FR"/>
        </w:rPr>
        <w:t xml:space="preserve"> a) le projet est achevé ou a été annulé ; b) le Partenaire opérationnel a signalé toutes les transactions financières au PNUD ; c) le PNUD a clôturé les comptes du projet ; d) le PNUD et le Partenaire opérationnel ont certifié un rapport d'exécution conjoint final (qui sert de révision finale du budget).</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lang w:eastAsia="fr-FR" w:bidi="fr-FR"/>
        </w:rPr>
      </w:pPr>
    </w:p>
    <w:p w:rsidR="00381096" w:rsidRPr="00922D95" w:rsidRDefault="00381096" w:rsidP="00381096">
      <w:pPr>
        <w:pStyle w:val="NumberedParas"/>
        <w:ind w:left="0" w:firstLine="0"/>
        <w:rPr>
          <w:u w:val="single"/>
          <w:lang w:eastAsia="fr-FR" w:bidi="fr-FR"/>
        </w:rPr>
      </w:pPr>
      <w:r w:rsidRPr="00922D95">
        <w:rPr>
          <w:lang w:eastAsia="fr-FR" w:bidi="fr-FR"/>
        </w:rPr>
        <w:t xml:space="preserve">Le projet sera achevé financièrement dans les 12 mois à compter de l'achèvement des activités opérationnelles ou après la date d'annulation. Entre l'achèvement des activités opérationnelles et l'achèvement financier, le Partenaire opérationnel identifiera et règlera toutes les obligations financières. Il rédigera également un </w:t>
      </w:r>
      <w:r w:rsidR="001476CF">
        <w:rPr>
          <w:lang w:eastAsia="fr-FR" w:bidi="fr-FR"/>
        </w:rPr>
        <w:t>rapport final des dépenses. Le b</w:t>
      </w:r>
      <w:r w:rsidRPr="00922D95">
        <w:rPr>
          <w:lang w:eastAsia="fr-FR" w:bidi="fr-FR"/>
        </w:rPr>
        <w:t xml:space="preserve">ureau de pays du PNUD enverra les documents de clôture finals signés, y compris la confirmation des dépenses cumulées finales et du solde non dépensé, au Groupe PNUD </w:t>
      </w:r>
      <w:r w:rsidRPr="00B0195E">
        <w:rPr>
          <w:lang w:eastAsia="fr-FR" w:bidi="fr-FR"/>
        </w:rPr>
        <w:t>chargé du FEM pour confirmation avant que le projet ne soit clôturé financièrement et répertorié dans l'Atlas par ses</w:t>
      </w:r>
      <w:r w:rsidRPr="00922D95">
        <w:rPr>
          <w:lang w:eastAsia="fr-FR" w:bidi="fr-FR"/>
        </w:rPr>
        <w:t xml:space="preserve"> soins.</w:t>
      </w:r>
    </w:p>
    <w:p w:rsidR="00381096" w:rsidRDefault="00381096" w:rsidP="00381096">
      <w:pPr>
        <w:pStyle w:val="NumberedParas"/>
        <w:numPr>
          <w:ilvl w:val="0"/>
          <w:numId w:val="0"/>
        </w:numPr>
        <w:ind w:left="360" w:hanging="360"/>
        <w:rPr>
          <w:noProof/>
        </w:rPr>
      </w:pPr>
    </w:p>
    <w:p w:rsidR="00381096" w:rsidRDefault="00381096" w:rsidP="00381096">
      <w:pPr>
        <w:pStyle w:val="NumberedParas"/>
        <w:numPr>
          <w:ilvl w:val="0"/>
          <w:numId w:val="0"/>
        </w:numPr>
        <w:ind w:left="720"/>
        <w:rPr>
          <w:noProof/>
        </w:rPr>
      </w:pPr>
    </w:p>
    <w:p w:rsidR="00381096" w:rsidRDefault="00381096" w:rsidP="00381096">
      <w:pPr>
        <w:pStyle w:val="NumberedParas"/>
        <w:numPr>
          <w:ilvl w:val="0"/>
          <w:numId w:val="0"/>
        </w:numPr>
        <w:ind w:left="720"/>
        <w:rPr>
          <w:noProof/>
        </w:rPr>
      </w:pPr>
    </w:p>
    <w:p w:rsidR="00866EB6" w:rsidRDefault="00922D95">
      <w:pPr>
        <w:spacing w:after="160" w:line="259" w:lineRule="auto"/>
        <w:jc w:val="left"/>
        <w:sectPr w:rsidR="00866EB6" w:rsidSect="003F2B50">
          <w:pgSz w:w="11906" w:h="16838"/>
          <w:pgMar w:top="1417" w:right="1417" w:bottom="1417" w:left="1417" w:header="708" w:footer="708" w:gutter="0"/>
          <w:cols w:space="708"/>
          <w:docGrid w:linePitch="360"/>
        </w:sectPr>
      </w:pPr>
      <w:r>
        <w:br w:type="page"/>
      </w:r>
    </w:p>
    <w:p w:rsidR="00866EB6" w:rsidRPr="007F5D87" w:rsidRDefault="00866EB6" w:rsidP="00866EB6">
      <w:pPr>
        <w:pStyle w:val="Titre1"/>
        <w:spacing w:before="0" w:after="60"/>
        <w:rPr>
          <w:rFonts w:ascii="Calibri" w:hAnsi="Calibri"/>
          <w:szCs w:val="28"/>
        </w:rPr>
      </w:pPr>
      <w:bookmarkStart w:id="41" w:name="_Toc443050762"/>
      <w:bookmarkStart w:id="42" w:name="_Toc338707274"/>
      <w:bookmarkStart w:id="43" w:name="_Toc338708190"/>
      <w:bookmarkStart w:id="44" w:name="_Toc339725219"/>
      <w:bookmarkStart w:id="45" w:name="_Toc496886561"/>
      <w:bookmarkStart w:id="46" w:name="_Toc498638398"/>
      <w:r>
        <w:rPr>
          <w:rFonts w:ascii="Calibri" w:hAnsi="Calibri"/>
          <w:szCs w:val="28"/>
        </w:rPr>
        <w:t>Budget total et plan de travail</w:t>
      </w:r>
      <w:bookmarkEnd w:id="41"/>
      <w:bookmarkEnd w:id="42"/>
      <w:bookmarkEnd w:id="43"/>
      <w:bookmarkEnd w:id="44"/>
      <w:bookmarkEnd w:id="45"/>
      <w:bookmarkEnd w:id="46"/>
    </w:p>
    <w:p w:rsidR="00866EB6" w:rsidRPr="007F5D87" w:rsidRDefault="00866EB6" w:rsidP="00866EB6">
      <w:pPr>
        <w:rPr>
          <w:rFonts w:ascii="Arial" w:hAnsi="Arial" w:cs="Arial"/>
          <w:b/>
          <w:sz w:val="24"/>
        </w:rPr>
      </w:pPr>
    </w:p>
    <w:p w:rsidR="00866EB6" w:rsidRPr="007F5D87" w:rsidRDefault="00866EB6" w:rsidP="00866EB6">
      <w:pPr>
        <w:rPr>
          <w:rFonts w:ascii="Arial" w:hAnsi="Arial" w:cs="Arial"/>
          <w:b/>
          <w:sz w:val="24"/>
        </w:rPr>
      </w:pPr>
      <w:r>
        <w:rPr>
          <w:u w:val="single"/>
        </w:rPr>
        <w:t>Tableau 8</w:t>
      </w:r>
      <w:r w:rsidR="002575A2">
        <w:rPr>
          <w:u w:val="single"/>
        </w:rPr>
        <w:t> :</w:t>
      </w:r>
      <w:r>
        <w:rPr>
          <w:u w:val="single"/>
        </w:rPr>
        <w:t xml:space="preserve"> </w:t>
      </w:r>
      <w:r>
        <w:t>Budget total et plan de travail</w:t>
      </w:r>
    </w:p>
    <w:p w:rsidR="00866EB6" w:rsidRPr="007F5D87" w:rsidRDefault="00866EB6" w:rsidP="00866EB6">
      <w:pPr>
        <w:pStyle w:val="Lgende"/>
        <w:jc w:val="both"/>
        <w:rPr>
          <w:sz w:val="20"/>
          <w:szCs w:val="20"/>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3965"/>
        <w:gridCol w:w="300"/>
        <w:gridCol w:w="2698"/>
        <w:gridCol w:w="6146"/>
      </w:tblGrid>
      <w:tr w:rsidR="00BF5225" w:rsidRPr="007F5D87" w:rsidTr="00E42C74">
        <w:trPr>
          <w:cantSplit/>
          <w:trHeight w:val="249"/>
        </w:trPr>
        <w:tc>
          <w:tcPr>
            <w:tcW w:w="1657" w:type="dxa"/>
            <w:shd w:val="clear" w:color="auto" w:fill="DDD9C3"/>
            <w:noWrap/>
          </w:tcPr>
          <w:p w:rsidR="00BF5225" w:rsidRPr="005A4040" w:rsidRDefault="00BF5225" w:rsidP="00BF5225">
            <w:pPr>
              <w:spacing w:after="240"/>
              <w:jc w:val="left"/>
              <w:rPr>
                <w:rFonts w:cs="Arial"/>
                <w:szCs w:val="20"/>
                <w:lang w:val="en-GB" w:eastAsia="fr-FR" w:bidi="fr-FR"/>
              </w:rPr>
            </w:pPr>
            <w:r w:rsidRPr="005A4040">
              <w:rPr>
                <w:rFonts w:cs="Arial"/>
                <w:b/>
                <w:szCs w:val="20"/>
                <w:lang w:val="en-GB"/>
              </w:rPr>
              <w:t xml:space="preserve">Atlas </w:t>
            </w:r>
            <w:r w:rsidRPr="005A4040">
              <w:rPr>
                <w:rFonts w:cs="Arial"/>
                <w:b/>
                <w:szCs w:val="20"/>
                <w:lang w:val="en-GB" w:eastAsia="zh-CN"/>
              </w:rPr>
              <w:t>Project ID/</w:t>
            </w:r>
            <w:r w:rsidRPr="005A4040">
              <w:rPr>
                <w:rFonts w:cs="Arial"/>
                <w:b/>
                <w:szCs w:val="20"/>
                <w:lang w:val="en-GB"/>
              </w:rPr>
              <w:t>Award ID number:</w:t>
            </w:r>
          </w:p>
        </w:tc>
        <w:tc>
          <w:tcPr>
            <w:tcW w:w="3965" w:type="dxa"/>
            <w:shd w:val="clear" w:color="auto" w:fill="auto"/>
            <w:vAlign w:val="center"/>
          </w:tcPr>
          <w:p w:rsidR="00BF5225" w:rsidRPr="007F5D87" w:rsidRDefault="00BF5225" w:rsidP="006A75D0">
            <w:pPr>
              <w:jc w:val="center"/>
              <w:rPr>
                <w:rFonts w:ascii="Times New Roman" w:hAnsi="Times New Roman"/>
                <w:bCs/>
                <w:szCs w:val="20"/>
              </w:rPr>
            </w:pPr>
            <w:r>
              <w:rPr>
                <w:rFonts w:ascii="Times New Roman" w:hAnsi="Times New Roman"/>
                <w:bCs/>
                <w:szCs w:val="20"/>
              </w:rPr>
              <w:t>00103749</w:t>
            </w:r>
          </w:p>
        </w:tc>
        <w:tc>
          <w:tcPr>
            <w:tcW w:w="300" w:type="dxa"/>
            <w:tcBorders>
              <w:top w:val="nil"/>
              <w:bottom w:val="nil"/>
            </w:tcBorders>
            <w:vAlign w:val="center"/>
          </w:tcPr>
          <w:p w:rsidR="00BF5225" w:rsidRPr="007F5D87" w:rsidRDefault="00BF5225" w:rsidP="006A75D0">
            <w:pPr>
              <w:rPr>
                <w:rFonts w:ascii="Times New Roman" w:hAnsi="Times New Roman"/>
                <w:b/>
                <w:bCs/>
                <w:szCs w:val="20"/>
              </w:rPr>
            </w:pPr>
          </w:p>
        </w:tc>
        <w:tc>
          <w:tcPr>
            <w:tcW w:w="2698" w:type="dxa"/>
            <w:shd w:val="clear" w:color="auto" w:fill="DDD9C3"/>
            <w:vAlign w:val="center"/>
          </w:tcPr>
          <w:p w:rsidR="00BF5225" w:rsidRPr="007F5D87" w:rsidRDefault="00BF5225" w:rsidP="00BF5225">
            <w:pPr>
              <w:rPr>
                <w:rFonts w:ascii="Times New Roman" w:hAnsi="Times New Roman"/>
                <w:b/>
                <w:bCs/>
                <w:szCs w:val="20"/>
              </w:rPr>
            </w:pPr>
            <w:r w:rsidRPr="00BF5225">
              <w:rPr>
                <w:rFonts w:ascii="Times New Roman" w:hAnsi="Times New Roman"/>
                <w:b/>
                <w:bCs/>
                <w:szCs w:val="20"/>
              </w:rPr>
              <w:t>Unité opérationnelle :</w:t>
            </w:r>
          </w:p>
        </w:tc>
        <w:tc>
          <w:tcPr>
            <w:tcW w:w="6146" w:type="dxa"/>
            <w:vAlign w:val="center"/>
          </w:tcPr>
          <w:p w:rsidR="00BF5225" w:rsidRPr="007F5D87" w:rsidRDefault="00BF5225" w:rsidP="006A75D0">
            <w:pPr>
              <w:jc w:val="center"/>
              <w:rPr>
                <w:rFonts w:ascii="Times New Roman" w:hAnsi="Times New Roman"/>
                <w:szCs w:val="20"/>
              </w:rPr>
            </w:pPr>
            <w:r>
              <w:rPr>
                <w:rFonts w:ascii="Times New Roman" w:hAnsi="Times New Roman"/>
                <w:szCs w:val="20"/>
              </w:rPr>
              <w:t>SEN10</w:t>
            </w:r>
          </w:p>
        </w:tc>
      </w:tr>
      <w:tr w:rsidR="00BF5225" w:rsidRPr="007F5D87" w:rsidTr="006A75D0">
        <w:trPr>
          <w:cantSplit/>
          <w:trHeight w:val="232"/>
        </w:trPr>
        <w:tc>
          <w:tcPr>
            <w:tcW w:w="1657" w:type="dxa"/>
            <w:shd w:val="clear" w:color="auto" w:fill="DDD9C3"/>
            <w:noWrap/>
            <w:vAlign w:val="center"/>
          </w:tcPr>
          <w:p w:rsidR="00BF5225" w:rsidRPr="00BF5225" w:rsidRDefault="00BF5225" w:rsidP="006A75D0">
            <w:pPr>
              <w:keepNext/>
              <w:keepLines/>
              <w:rPr>
                <w:rFonts w:ascii="Times New Roman" w:hAnsi="Times New Roman"/>
                <w:b/>
                <w:szCs w:val="20"/>
                <w:lang w:val="en-GB"/>
              </w:rPr>
            </w:pPr>
            <w:r w:rsidRPr="005A4040">
              <w:rPr>
                <w:rFonts w:cs="Arial"/>
                <w:b/>
                <w:szCs w:val="20"/>
                <w:lang w:val="en-GB"/>
              </w:rPr>
              <w:t>Atlas O</w:t>
            </w:r>
            <w:r w:rsidRPr="005A4040">
              <w:rPr>
                <w:rFonts w:cs="Arial"/>
                <w:b/>
                <w:szCs w:val="20"/>
                <w:lang w:val="en-GB" w:eastAsia="zh-CN"/>
              </w:rPr>
              <w:t>utput ID/</w:t>
            </w:r>
            <w:r w:rsidRPr="005A4040">
              <w:rPr>
                <w:rFonts w:cs="Arial"/>
                <w:b/>
                <w:szCs w:val="20"/>
                <w:lang w:val="en-GB"/>
              </w:rPr>
              <w:t>Project ID number</w:t>
            </w:r>
            <w:r w:rsidRPr="00BF5225">
              <w:rPr>
                <w:rFonts w:ascii="Times New Roman" w:hAnsi="Times New Roman"/>
                <w:b/>
                <w:szCs w:val="20"/>
                <w:lang w:val="en-GB"/>
              </w:rPr>
              <w:t>:</w:t>
            </w:r>
          </w:p>
        </w:tc>
        <w:tc>
          <w:tcPr>
            <w:tcW w:w="3965" w:type="dxa"/>
            <w:shd w:val="clear" w:color="auto" w:fill="auto"/>
            <w:noWrap/>
            <w:vAlign w:val="center"/>
          </w:tcPr>
          <w:p w:rsidR="00BF5225" w:rsidRPr="007F5D87" w:rsidRDefault="00BF5225" w:rsidP="006A75D0">
            <w:pPr>
              <w:jc w:val="center"/>
              <w:rPr>
                <w:rFonts w:ascii="Times New Roman" w:hAnsi="Times New Roman"/>
                <w:szCs w:val="20"/>
              </w:rPr>
            </w:pPr>
            <w:r>
              <w:rPr>
                <w:rFonts w:ascii="Times New Roman" w:hAnsi="Times New Roman"/>
                <w:bCs/>
                <w:szCs w:val="20"/>
              </w:rPr>
              <w:t>00105641</w:t>
            </w:r>
          </w:p>
        </w:tc>
        <w:tc>
          <w:tcPr>
            <w:tcW w:w="300" w:type="dxa"/>
            <w:tcBorders>
              <w:top w:val="nil"/>
              <w:bottom w:val="nil"/>
            </w:tcBorders>
            <w:vAlign w:val="center"/>
          </w:tcPr>
          <w:p w:rsidR="00BF5225" w:rsidRPr="007F5D87" w:rsidRDefault="00BF5225" w:rsidP="006A75D0">
            <w:pPr>
              <w:rPr>
                <w:rFonts w:ascii="Times New Roman" w:hAnsi="Times New Roman"/>
                <w:b/>
                <w:szCs w:val="20"/>
              </w:rPr>
            </w:pPr>
          </w:p>
        </w:tc>
        <w:tc>
          <w:tcPr>
            <w:tcW w:w="2698" w:type="dxa"/>
            <w:shd w:val="clear" w:color="auto" w:fill="DDD9C3"/>
            <w:vAlign w:val="center"/>
          </w:tcPr>
          <w:p w:rsidR="00BF5225" w:rsidRPr="007F5D87" w:rsidRDefault="00BF5225" w:rsidP="006A75D0">
            <w:pPr>
              <w:rPr>
                <w:rFonts w:ascii="Times New Roman" w:hAnsi="Times New Roman"/>
                <w:b/>
                <w:bCs/>
                <w:szCs w:val="20"/>
              </w:rPr>
            </w:pPr>
            <w:r>
              <w:rPr>
                <w:rFonts w:ascii="Times New Roman" w:hAnsi="Times New Roman"/>
                <w:b/>
                <w:szCs w:val="20"/>
              </w:rPr>
              <w:t>Titre du projet :</w:t>
            </w:r>
          </w:p>
        </w:tc>
        <w:tc>
          <w:tcPr>
            <w:tcW w:w="6146" w:type="dxa"/>
            <w:vAlign w:val="center"/>
          </w:tcPr>
          <w:p w:rsidR="00BF5225" w:rsidRPr="007F5D87" w:rsidRDefault="00BF5225" w:rsidP="002575A2">
            <w:pPr>
              <w:jc w:val="center"/>
              <w:rPr>
                <w:rFonts w:ascii="Times New Roman" w:hAnsi="Times New Roman"/>
                <w:color w:val="000000"/>
                <w:szCs w:val="20"/>
              </w:rPr>
            </w:pPr>
            <w:r>
              <w:rPr>
                <w:rFonts w:ascii="Times New Roman" w:hAnsi="Times New Roman"/>
                <w:bCs/>
                <w:color w:val="000000"/>
                <w:szCs w:val="20"/>
              </w:rPr>
              <w:t>Promouvoir la finance novatrice et l’adaptation communautaire dans les communes autour des réserves naturelles communautaires (Ferlo, Niokolo-Koba, Bas delta du fleuve Sénégal et Delta du Saloum)</w:t>
            </w:r>
          </w:p>
        </w:tc>
      </w:tr>
      <w:tr w:rsidR="00BF5225" w:rsidRPr="007F5D87" w:rsidTr="006A75D0">
        <w:trPr>
          <w:cantSplit/>
          <w:trHeight w:val="303"/>
        </w:trPr>
        <w:tc>
          <w:tcPr>
            <w:tcW w:w="1657" w:type="dxa"/>
            <w:shd w:val="clear" w:color="auto" w:fill="DDD9C3"/>
            <w:noWrap/>
            <w:vAlign w:val="center"/>
          </w:tcPr>
          <w:p w:rsidR="00BF5225" w:rsidRPr="007F5D87" w:rsidRDefault="00BF5225" w:rsidP="006A75D0">
            <w:pPr>
              <w:keepNext/>
              <w:keepLines/>
              <w:rPr>
                <w:rFonts w:ascii="Times New Roman" w:hAnsi="Times New Roman"/>
                <w:szCs w:val="20"/>
              </w:rPr>
            </w:pPr>
            <w:r>
              <w:rPr>
                <w:rFonts w:ascii="Times New Roman" w:hAnsi="Times New Roman"/>
                <w:b/>
                <w:szCs w:val="20"/>
              </w:rPr>
              <w:t>N° SGIP PNUD-FEM :</w:t>
            </w:r>
          </w:p>
        </w:tc>
        <w:tc>
          <w:tcPr>
            <w:tcW w:w="3965" w:type="dxa"/>
            <w:shd w:val="clear" w:color="auto" w:fill="auto"/>
            <w:noWrap/>
            <w:vAlign w:val="center"/>
          </w:tcPr>
          <w:p w:rsidR="00BF5225" w:rsidRPr="007F5D87" w:rsidRDefault="00BF5225" w:rsidP="006A75D0">
            <w:pPr>
              <w:jc w:val="center"/>
              <w:rPr>
                <w:rFonts w:ascii="Times New Roman" w:hAnsi="Times New Roman"/>
                <w:b/>
                <w:bCs/>
                <w:caps/>
                <w:szCs w:val="20"/>
              </w:rPr>
            </w:pPr>
            <w:r>
              <w:rPr>
                <w:rFonts w:ascii="Times New Roman" w:hAnsi="Times New Roman"/>
                <w:szCs w:val="20"/>
              </w:rPr>
              <w:t>PIMS 5401</w:t>
            </w:r>
          </w:p>
        </w:tc>
        <w:tc>
          <w:tcPr>
            <w:tcW w:w="300" w:type="dxa"/>
            <w:tcBorders>
              <w:top w:val="nil"/>
              <w:bottom w:val="nil"/>
            </w:tcBorders>
            <w:vAlign w:val="center"/>
          </w:tcPr>
          <w:p w:rsidR="00BF5225" w:rsidRPr="007F5D87" w:rsidRDefault="00BF5225" w:rsidP="006A75D0">
            <w:pPr>
              <w:rPr>
                <w:rFonts w:ascii="Times New Roman" w:hAnsi="Times New Roman"/>
              </w:rPr>
            </w:pPr>
          </w:p>
        </w:tc>
        <w:tc>
          <w:tcPr>
            <w:tcW w:w="2698" w:type="dxa"/>
            <w:shd w:val="clear" w:color="auto" w:fill="DDD9C3"/>
            <w:vAlign w:val="center"/>
          </w:tcPr>
          <w:p w:rsidR="00BF5225" w:rsidRPr="007F5D87" w:rsidRDefault="00BF5225" w:rsidP="006A75D0">
            <w:pPr>
              <w:rPr>
                <w:rFonts w:ascii="Times New Roman" w:hAnsi="Times New Roman"/>
                <w:szCs w:val="20"/>
              </w:rPr>
            </w:pPr>
            <w:r>
              <w:rPr>
                <w:rFonts w:ascii="Times New Roman" w:hAnsi="Times New Roman"/>
                <w:b/>
                <w:szCs w:val="20"/>
              </w:rPr>
              <w:t>Partenaire opérationnel :</w:t>
            </w:r>
          </w:p>
        </w:tc>
        <w:tc>
          <w:tcPr>
            <w:tcW w:w="6146" w:type="dxa"/>
            <w:vAlign w:val="center"/>
          </w:tcPr>
          <w:p w:rsidR="00BF5225" w:rsidRPr="007F5D87" w:rsidRDefault="00BF5225" w:rsidP="006A75D0">
            <w:pPr>
              <w:jc w:val="center"/>
              <w:rPr>
                <w:rFonts w:ascii="Times New Roman" w:hAnsi="Times New Roman"/>
                <w:szCs w:val="20"/>
              </w:rPr>
            </w:pPr>
            <w:r>
              <w:rPr>
                <w:rFonts w:ascii="Times New Roman" w:hAnsi="Times New Roman"/>
                <w:szCs w:val="20"/>
              </w:rPr>
              <w:t>Ministère de l’environnement et du développement durable – MDEDD</w:t>
            </w:r>
          </w:p>
        </w:tc>
      </w:tr>
    </w:tbl>
    <w:p w:rsidR="00866EB6" w:rsidRPr="007F5D87" w:rsidRDefault="00866EB6" w:rsidP="00866EB6">
      <w:pPr>
        <w:rPr>
          <w:rFonts w:ascii="Times New Roman" w:hAnsi="Times New Roman"/>
          <w:sz w:val="24"/>
        </w:rPr>
      </w:pPr>
    </w:p>
    <w:tbl>
      <w:tblPr>
        <w:tblW w:w="1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952"/>
        <w:gridCol w:w="702"/>
        <w:gridCol w:w="1838"/>
        <w:gridCol w:w="861"/>
        <w:gridCol w:w="2574"/>
        <w:gridCol w:w="986"/>
        <w:gridCol w:w="986"/>
        <w:gridCol w:w="986"/>
        <w:gridCol w:w="986"/>
        <w:gridCol w:w="923"/>
        <w:gridCol w:w="636"/>
      </w:tblGrid>
      <w:tr w:rsidR="00866EB6" w:rsidRPr="007F5D87" w:rsidTr="006A75D0">
        <w:trPr>
          <w:trHeight w:val="140"/>
          <w:tblHeader/>
        </w:trPr>
        <w:tc>
          <w:tcPr>
            <w:tcW w:w="1458" w:type="dxa"/>
            <w:shd w:val="clear" w:color="000000" w:fill="DDD9C3"/>
            <w:noWrap/>
            <w:vAlign w:val="center"/>
            <w:hideMark/>
          </w:tcPr>
          <w:p w:rsidR="00866EB6" w:rsidRPr="007F5D87" w:rsidRDefault="00866EB6" w:rsidP="006A75D0">
            <w:pPr>
              <w:jc w:val="left"/>
              <w:rPr>
                <w:b/>
                <w:bCs/>
                <w:sz w:val="16"/>
                <w:szCs w:val="16"/>
              </w:rPr>
            </w:pPr>
            <w:r>
              <w:rPr>
                <w:b/>
                <w:bCs/>
                <w:sz w:val="16"/>
                <w:szCs w:val="16"/>
              </w:rPr>
              <w:t>Résultat FEM/activité Atlas</w:t>
            </w:r>
          </w:p>
        </w:tc>
        <w:tc>
          <w:tcPr>
            <w:tcW w:w="952" w:type="dxa"/>
            <w:shd w:val="clear" w:color="000000" w:fill="DDD9C3"/>
            <w:vAlign w:val="center"/>
            <w:hideMark/>
          </w:tcPr>
          <w:p w:rsidR="00866EB6" w:rsidRPr="007F5D87" w:rsidRDefault="00866EB6" w:rsidP="006A75D0">
            <w:pPr>
              <w:jc w:val="center"/>
              <w:rPr>
                <w:b/>
                <w:bCs/>
                <w:sz w:val="16"/>
                <w:szCs w:val="16"/>
              </w:rPr>
            </w:pPr>
            <w:r>
              <w:rPr>
                <w:b/>
                <w:bCs/>
                <w:sz w:val="16"/>
                <w:szCs w:val="16"/>
              </w:rPr>
              <w:t>Resp. Partie/agent d’exécution</w:t>
            </w:r>
          </w:p>
        </w:tc>
        <w:tc>
          <w:tcPr>
            <w:tcW w:w="702" w:type="dxa"/>
            <w:shd w:val="clear" w:color="000000" w:fill="DDD9C3"/>
            <w:vAlign w:val="center"/>
            <w:hideMark/>
          </w:tcPr>
          <w:p w:rsidR="00866EB6" w:rsidRPr="007F5D87" w:rsidRDefault="00866EB6" w:rsidP="006A75D0">
            <w:pPr>
              <w:jc w:val="center"/>
              <w:rPr>
                <w:b/>
                <w:bCs/>
                <w:sz w:val="16"/>
                <w:szCs w:val="16"/>
              </w:rPr>
            </w:pPr>
            <w:r>
              <w:rPr>
                <w:b/>
                <w:bCs/>
                <w:sz w:val="16"/>
                <w:szCs w:val="16"/>
              </w:rPr>
              <w:t>ID de fonds</w:t>
            </w:r>
          </w:p>
        </w:tc>
        <w:tc>
          <w:tcPr>
            <w:tcW w:w="1838" w:type="dxa"/>
            <w:shd w:val="clear" w:color="000000" w:fill="DDD9C3"/>
            <w:vAlign w:val="center"/>
            <w:hideMark/>
          </w:tcPr>
          <w:p w:rsidR="00866EB6" w:rsidRPr="007F5D87" w:rsidRDefault="00866EB6" w:rsidP="006A75D0">
            <w:pPr>
              <w:jc w:val="center"/>
              <w:rPr>
                <w:b/>
                <w:bCs/>
                <w:sz w:val="16"/>
                <w:szCs w:val="16"/>
              </w:rPr>
            </w:pPr>
            <w:r>
              <w:rPr>
                <w:b/>
                <w:bCs/>
                <w:sz w:val="16"/>
                <w:szCs w:val="16"/>
              </w:rPr>
              <w:t>Nom du donateur</w:t>
            </w:r>
          </w:p>
        </w:tc>
        <w:tc>
          <w:tcPr>
            <w:tcW w:w="861" w:type="dxa"/>
            <w:shd w:val="clear" w:color="000000" w:fill="DDD9C3"/>
            <w:vAlign w:val="center"/>
            <w:hideMark/>
          </w:tcPr>
          <w:p w:rsidR="00866EB6" w:rsidRPr="007F5D87" w:rsidRDefault="00866EB6" w:rsidP="006A75D0">
            <w:pPr>
              <w:jc w:val="center"/>
              <w:rPr>
                <w:b/>
                <w:bCs/>
                <w:sz w:val="16"/>
                <w:szCs w:val="16"/>
              </w:rPr>
            </w:pPr>
            <w:r>
              <w:rPr>
                <w:b/>
                <w:bCs/>
                <w:sz w:val="16"/>
                <w:szCs w:val="16"/>
              </w:rPr>
              <w:t>Code budget Atlas</w:t>
            </w:r>
          </w:p>
        </w:tc>
        <w:tc>
          <w:tcPr>
            <w:tcW w:w="2574" w:type="dxa"/>
            <w:shd w:val="clear" w:color="000000" w:fill="DDD9C3"/>
            <w:vAlign w:val="center"/>
            <w:hideMark/>
          </w:tcPr>
          <w:p w:rsidR="00866EB6" w:rsidRPr="007F5D87" w:rsidRDefault="00866EB6" w:rsidP="006A75D0">
            <w:pPr>
              <w:jc w:val="center"/>
              <w:rPr>
                <w:b/>
                <w:bCs/>
                <w:sz w:val="16"/>
                <w:szCs w:val="16"/>
              </w:rPr>
            </w:pPr>
            <w:r>
              <w:rPr>
                <w:b/>
                <w:bCs/>
                <w:sz w:val="16"/>
                <w:szCs w:val="16"/>
              </w:rPr>
              <w:t>Description budget Atlas</w:t>
            </w:r>
          </w:p>
        </w:tc>
        <w:tc>
          <w:tcPr>
            <w:tcW w:w="986" w:type="dxa"/>
            <w:shd w:val="clear" w:color="000000" w:fill="DDD9C3"/>
            <w:vAlign w:val="center"/>
            <w:hideMark/>
          </w:tcPr>
          <w:p w:rsidR="00866EB6" w:rsidRPr="007F5D87" w:rsidRDefault="00866EB6" w:rsidP="006A75D0">
            <w:pPr>
              <w:jc w:val="center"/>
              <w:rPr>
                <w:b/>
                <w:bCs/>
                <w:sz w:val="16"/>
                <w:szCs w:val="16"/>
              </w:rPr>
            </w:pPr>
            <w:r>
              <w:rPr>
                <w:b/>
                <w:bCs/>
                <w:sz w:val="16"/>
                <w:szCs w:val="16"/>
              </w:rPr>
              <w:t>Montant total (USD)</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1</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2</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3</w:t>
            </w:r>
          </w:p>
        </w:tc>
        <w:tc>
          <w:tcPr>
            <w:tcW w:w="923" w:type="dxa"/>
            <w:shd w:val="clear" w:color="000000" w:fill="DDD9C3"/>
            <w:vAlign w:val="center"/>
            <w:hideMark/>
          </w:tcPr>
          <w:p w:rsidR="00866EB6" w:rsidRPr="007F5D87" w:rsidRDefault="00866EB6" w:rsidP="006A75D0">
            <w:pPr>
              <w:jc w:val="right"/>
              <w:rPr>
                <w:b/>
                <w:bCs/>
                <w:sz w:val="16"/>
                <w:szCs w:val="16"/>
              </w:rPr>
            </w:pPr>
            <w:r>
              <w:rPr>
                <w:b/>
                <w:bCs/>
                <w:sz w:val="16"/>
                <w:szCs w:val="16"/>
              </w:rPr>
              <w:t>Année 4</w:t>
            </w:r>
          </w:p>
        </w:tc>
        <w:tc>
          <w:tcPr>
            <w:tcW w:w="636" w:type="dxa"/>
            <w:shd w:val="clear" w:color="000000" w:fill="DDD9C3"/>
            <w:vAlign w:val="center"/>
            <w:hideMark/>
          </w:tcPr>
          <w:p w:rsidR="00866EB6" w:rsidRPr="007F5D87" w:rsidRDefault="00866EB6" w:rsidP="006A75D0">
            <w:pPr>
              <w:jc w:val="center"/>
              <w:rPr>
                <w:b/>
                <w:bCs/>
                <w:sz w:val="16"/>
                <w:szCs w:val="16"/>
              </w:rPr>
            </w:pPr>
            <w:r>
              <w:rPr>
                <w:b/>
                <w:bCs/>
                <w:sz w:val="16"/>
                <w:szCs w:val="16"/>
              </w:rPr>
              <w:t>Note budgétaire</w:t>
            </w:r>
          </w:p>
        </w:tc>
      </w:tr>
      <w:tr w:rsidR="00866EB6" w:rsidRPr="007F5D87" w:rsidTr="006A75D0">
        <w:trPr>
          <w:trHeight w:val="140"/>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 xml:space="preserve">1. </w:t>
            </w:r>
            <w:r>
              <w:rPr>
                <w:b/>
                <w:sz w:val="16"/>
                <w:szCs w:val="16"/>
              </w:rPr>
              <w:t xml:space="preserve">Financement local </w:t>
            </w:r>
            <w:r w:rsidR="00311A1A">
              <w:rPr>
                <w:b/>
                <w:sz w:val="16"/>
                <w:szCs w:val="16"/>
              </w:rPr>
              <w:t>novateur</w:t>
            </w:r>
            <w:r>
              <w:rPr>
                <w:b/>
                <w:sz w:val="16"/>
                <w:szCs w:val="16"/>
              </w:rPr>
              <w:t xml:space="preserve"> pour les activités d’</w:t>
            </w:r>
            <w:r w:rsidR="00537B55">
              <w:rPr>
                <w:b/>
                <w:sz w:val="16"/>
                <w:szCs w:val="16"/>
              </w:rPr>
              <w:t>adaptation aux changements climatiques</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209 980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80 120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60 620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41 120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28 120 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a</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165 000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95 000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60 000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10 000 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b</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223 000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90 000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23 000</w:t>
            </w: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c</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48 020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21 000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19 500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6 520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1 000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d</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280 000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150 000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70 000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55 000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color w:val="17365D"/>
                <w:sz w:val="16"/>
                <w:szCs w:val="16"/>
              </w:rPr>
            </w:pPr>
            <w:r>
              <w:rPr>
                <w:i/>
                <w:iCs/>
                <w:color w:val="17365D"/>
                <w:sz w:val="16"/>
                <w:szCs w:val="18"/>
              </w:rPr>
              <w:t>e</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34 000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12 000 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f</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75700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Formation, ateliers et conf.</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15 500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10 500</w:t>
            </w: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g</w:t>
            </w:r>
          </w:p>
        </w:tc>
      </w:tr>
      <w:tr w:rsidR="004B21A2" w:rsidRPr="007F5D87" w:rsidTr="00695AC0">
        <w:trPr>
          <w:trHeight w:val="140"/>
        </w:trPr>
        <w:tc>
          <w:tcPr>
            <w:tcW w:w="1458" w:type="dxa"/>
            <w:vMerge/>
            <w:shd w:val="clear" w:color="auto" w:fill="EBEEBE"/>
            <w:noWrap/>
            <w:vAlign w:val="center"/>
          </w:tcPr>
          <w:p w:rsidR="004B21A2" w:rsidRPr="007F5D87" w:rsidRDefault="004B21A2" w:rsidP="006A75D0">
            <w:pPr>
              <w:jc w:val="left"/>
              <w:rPr>
                <w:b/>
                <w:bCs/>
                <w:sz w:val="16"/>
                <w:szCs w:val="16"/>
                <w:lang w:eastAsia="en-GB"/>
              </w:rPr>
            </w:pPr>
          </w:p>
        </w:tc>
        <w:tc>
          <w:tcPr>
            <w:tcW w:w="6927" w:type="dxa"/>
            <w:gridSpan w:val="5"/>
            <w:shd w:val="clear" w:color="auto" w:fill="EBEEBE"/>
            <w:noWrap/>
            <w:vAlign w:val="center"/>
          </w:tcPr>
          <w:p w:rsidR="004B21A2" w:rsidRDefault="004B21A2" w:rsidP="006A75D0">
            <w:pPr>
              <w:jc w:val="left"/>
              <w:rPr>
                <w:sz w:val="16"/>
                <w:szCs w:val="16"/>
              </w:rPr>
            </w:pPr>
            <w:r>
              <w:rPr>
                <w:b/>
                <w:bCs/>
                <w:sz w:val="16"/>
                <w:szCs w:val="16"/>
              </w:rPr>
              <w:t>Sous-total résultat 1 Atlas FEM</w:t>
            </w:r>
          </w:p>
        </w:tc>
        <w:tc>
          <w:tcPr>
            <w:tcW w:w="986" w:type="dxa"/>
            <w:shd w:val="clear" w:color="auto" w:fill="EBEEBE"/>
            <w:noWrap/>
            <w:vAlign w:val="center"/>
          </w:tcPr>
          <w:p w:rsidR="004B21A2" w:rsidRPr="004B21A2" w:rsidRDefault="004B21A2" w:rsidP="006A75D0">
            <w:pPr>
              <w:jc w:val="right"/>
              <w:rPr>
                <w:b/>
                <w:sz w:val="16"/>
                <w:szCs w:val="17"/>
              </w:rPr>
            </w:pPr>
            <w:r w:rsidRPr="004B21A2">
              <w:rPr>
                <w:b/>
                <w:sz w:val="16"/>
                <w:szCs w:val="17"/>
              </w:rPr>
              <w:t>1 000 000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493 620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326 120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146 140</w:t>
            </w:r>
          </w:p>
        </w:tc>
        <w:tc>
          <w:tcPr>
            <w:tcW w:w="923" w:type="dxa"/>
            <w:shd w:val="clear" w:color="auto" w:fill="EBEEBE"/>
            <w:noWrap/>
            <w:vAlign w:val="center"/>
          </w:tcPr>
          <w:p w:rsidR="004B21A2" w:rsidRPr="004B21A2" w:rsidRDefault="004B21A2" w:rsidP="006A75D0">
            <w:pPr>
              <w:jc w:val="right"/>
              <w:rPr>
                <w:b/>
                <w:sz w:val="16"/>
                <w:szCs w:val="16"/>
                <w:lang w:eastAsia="en-GB"/>
              </w:rPr>
            </w:pPr>
            <w:r w:rsidRPr="004B21A2">
              <w:rPr>
                <w:b/>
                <w:sz w:val="16"/>
                <w:szCs w:val="17"/>
              </w:rPr>
              <w:t>34 120</w:t>
            </w:r>
          </w:p>
        </w:tc>
        <w:tc>
          <w:tcPr>
            <w:tcW w:w="636" w:type="dxa"/>
            <w:shd w:val="clear" w:color="auto" w:fill="EBEEBE"/>
            <w:noWrap/>
            <w:vAlign w:val="center"/>
          </w:tcPr>
          <w:p w:rsidR="004B21A2" w:rsidRDefault="004B21A2"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Ouvrages</w:t>
            </w:r>
            <w:r w:rsidR="00693A93" w:rsidRPr="00693A93">
              <w:rPr>
                <w:sz w:val="16"/>
                <w:szCs w:val="16"/>
              </w:rPr>
              <w:t xml:space="preserve"> et infrastructures</w:t>
            </w:r>
          </w:p>
        </w:tc>
        <w:tc>
          <w:tcPr>
            <w:tcW w:w="986" w:type="dxa"/>
            <w:shd w:val="clear" w:color="000000" w:fill="FFFFCC"/>
            <w:noWrap/>
            <w:vAlign w:val="center"/>
          </w:tcPr>
          <w:p w:rsidR="00693A93" w:rsidRDefault="00693A93" w:rsidP="006A75D0">
            <w:pPr>
              <w:jc w:val="right"/>
              <w:rPr>
                <w:sz w:val="16"/>
                <w:szCs w:val="17"/>
              </w:rPr>
            </w:pPr>
            <w:r>
              <w:rPr>
                <w:sz w:val="16"/>
                <w:szCs w:val="17"/>
              </w:rPr>
              <w:t>120000</w:t>
            </w:r>
          </w:p>
        </w:tc>
        <w:tc>
          <w:tcPr>
            <w:tcW w:w="986" w:type="dxa"/>
            <w:shd w:val="clear" w:color="auto" w:fill="auto"/>
            <w:noWrap/>
            <w:vAlign w:val="center"/>
          </w:tcPr>
          <w:p w:rsidR="00693A93" w:rsidRDefault="00693A93" w:rsidP="006A75D0">
            <w:pPr>
              <w:jc w:val="right"/>
              <w:rPr>
                <w:sz w:val="16"/>
                <w:szCs w:val="16"/>
              </w:rPr>
            </w:pPr>
            <w:r>
              <w:rPr>
                <w:sz w:val="16"/>
                <w:szCs w:val="16"/>
              </w:rPr>
              <w:t>60000</w:t>
            </w:r>
          </w:p>
        </w:tc>
        <w:tc>
          <w:tcPr>
            <w:tcW w:w="986" w:type="dxa"/>
            <w:shd w:val="clear" w:color="auto" w:fill="auto"/>
            <w:noWrap/>
            <w:vAlign w:val="center"/>
          </w:tcPr>
          <w:p w:rsidR="00693A93" w:rsidRDefault="00693A93" w:rsidP="006A75D0">
            <w:pPr>
              <w:jc w:val="right"/>
              <w:rPr>
                <w:sz w:val="16"/>
                <w:szCs w:val="16"/>
              </w:rPr>
            </w:pPr>
            <w:r>
              <w:rPr>
                <w:sz w:val="16"/>
                <w:szCs w:val="16"/>
              </w:rPr>
              <w:t>40000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10000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40000</w:t>
            </w:r>
          </w:p>
        </w:tc>
        <w:tc>
          <w:tcPr>
            <w:tcW w:w="986" w:type="dxa"/>
            <w:shd w:val="clear" w:color="auto" w:fill="auto"/>
            <w:noWrap/>
            <w:vAlign w:val="center"/>
          </w:tcPr>
          <w:p w:rsidR="00693A93" w:rsidRDefault="00693A93" w:rsidP="006A75D0">
            <w:pPr>
              <w:jc w:val="right"/>
              <w:rPr>
                <w:sz w:val="16"/>
                <w:szCs w:val="16"/>
              </w:rPr>
            </w:pPr>
            <w:r>
              <w:rPr>
                <w:sz w:val="16"/>
                <w:szCs w:val="16"/>
              </w:rPr>
              <w:t>20000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86" w:type="dxa"/>
            <w:shd w:val="clear" w:color="auto" w:fill="auto"/>
            <w:noWrap/>
            <w:vAlign w:val="center"/>
          </w:tcPr>
          <w:p w:rsidR="00693A93" w:rsidRDefault="00693A93" w:rsidP="006A75D0">
            <w:pPr>
              <w:jc w:val="right"/>
              <w:rPr>
                <w:sz w:val="16"/>
                <w:szCs w:val="16"/>
              </w:rPr>
            </w:pPr>
            <w:r>
              <w:rPr>
                <w:sz w:val="16"/>
                <w:szCs w:val="16"/>
              </w:rPr>
              <w:t>5000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5000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40000</w:t>
            </w:r>
          </w:p>
        </w:tc>
        <w:tc>
          <w:tcPr>
            <w:tcW w:w="986" w:type="dxa"/>
            <w:shd w:val="clear" w:color="auto" w:fill="auto"/>
            <w:noWrap/>
            <w:vAlign w:val="center"/>
          </w:tcPr>
          <w:p w:rsidR="00693A93" w:rsidRDefault="00693A93" w:rsidP="006A75D0">
            <w:pPr>
              <w:jc w:val="right"/>
              <w:rPr>
                <w:sz w:val="16"/>
                <w:szCs w:val="16"/>
              </w:rPr>
            </w:pPr>
            <w:r>
              <w:rPr>
                <w:sz w:val="16"/>
                <w:szCs w:val="16"/>
              </w:rPr>
              <w:t>20000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86" w:type="dxa"/>
            <w:shd w:val="clear" w:color="auto" w:fill="auto"/>
            <w:noWrap/>
            <w:vAlign w:val="center"/>
          </w:tcPr>
          <w:p w:rsidR="00693A93" w:rsidRDefault="00693A93" w:rsidP="006A75D0">
            <w:pPr>
              <w:jc w:val="right"/>
              <w:rPr>
                <w:sz w:val="16"/>
                <w:szCs w:val="16"/>
              </w:rPr>
            </w:pPr>
            <w:r>
              <w:rPr>
                <w:sz w:val="16"/>
                <w:szCs w:val="16"/>
              </w:rPr>
              <w:t>5000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5000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82000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20500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93A93">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6927" w:type="dxa"/>
            <w:gridSpan w:val="5"/>
            <w:shd w:val="clear" w:color="auto" w:fill="9CC2E5" w:themeFill="accent1" w:themeFillTint="99"/>
            <w:noWrap/>
            <w:vAlign w:val="center"/>
          </w:tcPr>
          <w:p w:rsidR="00693A93" w:rsidRPr="00693A93" w:rsidRDefault="00693A93" w:rsidP="006A75D0">
            <w:pPr>
              <w:jc w:val="left"/>
              <w:rPr>
                <w:b/>
                <w:sz w:val="16"/>
                <w:szCs w:val="16"/>
              </w:rPr>
            </w:pPr>
            <w:r w:rsidRPr="00693A93">
              <w:rPr>
                <w:b/>
                <w:sz w:val="16"/>
                <w:szCs w:val="16"/>
              </w:rPr>
              <w:t>BCI Subtotal  Outcome 1</w:t>
            </w:r>
          </w:p>
        </w:tc>
        <w:tc>
          <w:tcPr>
            <w:tcW w:w="986" w:type="dxa"/>
            <w:shd w:val="clear" w:color="auto" w:fill="9CC2E5" w:themeFill="accent1" w:themeFillTint="99"/>
            <w:noWrap/>
            <w:vAlign w:val="center"/>
          </w:tcPr>
          <w:p w:rsidR="00693A93" w:rsidRPr="004B21A2" w:rsidRDefault="00693A93" w:rsidP="006A75D0">
            <w:pPr>
              <w:jc w:val="right"/>
              <w:rPr>
                <w:b/>
                <w:sz w:val="16"/>
                <w:szCs w:val="17"/>
              </w:rPr>
            </w:pPr>
            <w:r w:rsidRPr="004B21A2">
              <w:rPr>
                <w:b/>
                <w:sz w:val="16"/>
                <w:szCs w:val="17"/>
              </w:rPr>
              <w:t>282</w:t>
            </w:r>
            <w:r w:rsidR="004B21A2">
              <w:rPr>
                <w:b/>
                <w:sz w:val="16"/>
                <w:szCs w:val="17"/>
              </w:rPr>
              <w:t xml:space="preserve"> </w:t>
            </w:r>
            <w:r w:rsidRPr="004B21A2">
              <w:rPr>
                <w:b/>
                <w:sz w:val="16"/>
                <w:szCs w:val="17"/>
              </w:rPr>
              <w:t>000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120</w:t>
            </w:r>
            <w:r w:rsidR="004B21A2">
              <w:rPr>
                <w:b/>
                <w:sz w:val="16"/>
                <w:szCs w:val="16"/>
              </w:rPr>
              <w:t xml:space="preserve"> </w:t>
            </w:r>
            <w:r w:rsidRPr="004B21A2">
              <w:rPr>
                <w:b/>
                <w:sz w:val="16"/>
                <w:szCs w:val="16"/>
              </w:rPr>
              <w:t>500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80</w:t>
            </w:r>
            <w:r w:rsidR="004B21A2">
              <w:rPr>
                <w:b/>
                <w:sz w:val="16"/>
                <w:szCs w:val="16"/>
              </w:rPr>
              <w:t xml:space="preserve"> </w:t>
            </w:r>
            <w:r w:rsidRPr="004B21A2">
              <w:rPr>
                <w:b/>
                <w:sz w:val="16"/>
                <w:szCs w:val="16"/>
              </w:rPr>
              <w:t>500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40</w:t>
            </w:r>
            <w:r w:rsidR="004B21A2">
              <w:rPr>
                <w:b/>
                <w:sz w:val="16"/>
                <w:szCs w:val="16"/>
              </w:rPr>
              <w:t xml:space="preserve"> </w:t>
            </w:r>
            <w:r w:rsidRPr="004B21A2">
              <w:rPr>
                <w:b/>
                <w:sz w:val="16"/>
                <w:szCs w:val="16"/>
              </w:rPr>
              <w:t>500</w:t>
            </w:r>
          </w:p>
        </w:tc>
        <w:tc>
          <w:tcPr>
            <w:tcW w:w="923" w:type="dxa"/>
            <w:shd w:val="clear" w:color="auto" w:fill="9CC2E5" w:themeFill="accent1" w:themeFillTint="99"/>
            <w:noWrap/>
            <w:vAlign w:val="center"/>
          </w:tcPr>
          <w:p w:rsidR="00693A93" w:rsidRPr="004B21A2" w:rsidRDefault="00693A93" w:rsidP="006A75D0">
            <w:pPr>
              <w:jc w:val="right"/>
              <w:rPr>
                <w:b/>
                <w:sz w:val="16"/>
                <w:szCs w:val="16"/>
                <w:lang w:eastAsia="en-GB"/>
              </w:rPr>
            </w:pPr>
            <w:r w:rsidRPr="004B21A2">
              <w:rPr>
                <w:b/>
                <w:sz w:val="16"/>
                <w:szCs w:val="16"/>
                <w:lang w:eastAsia="en-GB"/>
              </w:rPr>
              <w:t>40</w:t>
            </w:r>
            <w:r w:rsidR="004B21A2">
              <w:rPr>
                <w:b/>
                <w:sz w:val="16"/>
                <w:szCs w:val="16"/>
                <w:lang w:eastAsia="en-GB"/>
              </w:rPr>
              <w:t xml:space="preserve"> </w:t>
            </w:r>
            <w:r w:rsidRPr="004B21A2">
              <w:rPr>
                <w:b/>
                <w:sz w:val="16"/>
                <w:szCs w:val="16"/>
                <w:lang w:eastAsia="en-GB"/>
              </w:rPr>
              <w:t>500</w:t>
            </w:r>
          </w:p>
        </w:tc>
        <w:tc>
          <w:tcPr>
            <w:tcW w:w="636" w:type="dxa"/>
            <w:shd w:val="clear" w:color="auto" w:fill="9CC2E5" w:themeFill="accent1" w:themeFillTint="99"/>
            <w:noWrap/>
            <w:vAlign w:val="center"/>
          </w:tcPr>
          <w:p w:rsidR="00693A93" w:rsidRDefault="00693A93" w:rsidP="006A75D0">
            <w:pPr>
              <w:jc w:val="center"/>
              <w:rPr>
                <w:i/>
                <w:iCs/>
                <w:sz w:val="16"/>
                <w:szCs w:val="18"/>
              </w:rPr>
            </w:pPr>
          </w:p>
        </w:tc>
      </w:tr>
      <w:tr w:rsidR="00866EB6" w:rsidRPr="007F5D87" w:rsidTr="006A75D0">
        <w:trPr>
          <w:trHeight w:val="140"/>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RÉSULTAT 1</w:t>
            </w:r>
          </w:p>
        </w:tc>
        <w:tc>
          <w:tcPr>
            <w:tcW w:w="986" w:type="dxa"/>
            <w:shd w:val="clear" w:color="000000" w:fill="C0C0C0"/>
            <w:vAlign w:val="center"/>
            <w:hideMark/>
          </w:tcPr>
          <w:p w:rsidR="00866EB6" w:rsidRPr="007F5D87" w:rsidRDefault="004B21A2" w:rsidP="006A75D0">
            <w:pPr>
              <w:jc w:val="right"/>
              <w:rPr>
                <w:b/>
                <w:bCs/>
                <w:sz w:val="16"/>
                <w:szCs w:val="16"/>
              </w:rPr>
            </w:pPr>
            <w:r>
              <w:rPr>
                <w:b/>
                <w:bCs/>
                <w:sz w:val="16"/>
                <w:szCs w:val="16"/>
              </w:rPr>
              <w:t>1 282</w:t>
            </w:r>
            <w:r w:rsidR="00866EB6">
              <w:rPr>
                <w:b/>
                <w:bCs/>
                <w:sz w:val="16"/>
                <w:szCs w:val="16"/>
              </w:rPr>
              <w:t> 000</w:t>
            </w:r>
          </w:p>
        </w:tc>
        <w:tc>
          <w:tcPr>
            <w:tcW w:w="986" w:type="dxa"/>
            <w:shd w:val="clear" w:color="000000" w:fill="C0C0C0"/>
            <w:vAlign w:val="center"/>
            <w:hideMark/>
          </w:tcPr>
          <w:p w:rsidR="00866EB6" w:rsidRPr="007F5D87" w:rsidRDefault="009314CC" w:rsidP="006A75D0">
            <w:pPr>
              <w:jc w:val="right"/>
              <w:rPr>
                <w:b/>
                <w:bCs/>
                <w:sz w:val="16"/>
                <w:szCs w:val="16"/>
              </w:rPr>
            </w:pPr>
            <w:r w:rsidRPr="00E06B22">
              <w:rPr>
                <w:b/>
                <w:bCs/>
                <w:sz w:val="16"/>
                <w:szCs w:val="16"/>
                <w:highlight w:val="yellow"/>
              </w:rPr>
              <w:t>614 120</w:t>
            </w:r>
          </w:p>
        </w:tc>
        <w:tc>
          <w:tcPr>
            <w:tcW w:w="986"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406 620</w:t>
            </w:r>
          </w:p>
        </w:tc>
        <w:tc>
          <w:tcPr>
            <w:tcW w:w="986"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186 640</w:t>
            </w:r>
          </w:p>
        </w:tc>
        <w:tc>
          <w:tcPr>
            <w:tcW w:w="923"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74 620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40"/>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 xml:space="preserve">2. </w:t>
            </w:r>
            <w:r>
              <w:rPr>
                <w:b/>
                <w:sz w:val="16"/>
                <w:szCs w:val="16"/>
              </w:rPr>
              <w:t>Investissements et adoption de pratiques résilientes diversifiées par les communautés vulnérables</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90 000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h</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tcPr>
          <w:p w:rsidR="00866EB6" w:rsidRPr="007F5D87" w:rsidRDefault="00866EB6" w:rsidP="006A75D0">
            <w:pPr>
              <w:jc w:val="right"/>
              <w:rPr>
                <w:sz w:val="16"/>
                <w:szCs w:val="17"/>
              </w:rPr>
            </w:pPr>
            <w:r>
              <w:rPr>
                <w:sz w:val="16"/>
                <w:szCs w:val="17"/>
              </w:rPr>
              <w:t>150 000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110 000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40 000</w:t>
            </w:r>
          </w:p>
        </w:tc>
        <w:tc>
          <w:tcPr>
            <w:tcW w:w="986" w:type="dxa"/>
            <w:shd w:val="clear" w:color="auto" w:fill="auto"/>
            <w:noWrap/>
            <w:vAlign w:val="center"/>
          </w:tcPr>
          <w:p w:rsidR="00866EB6" w:rsidRPr="007F5D87" w:rsidRDefault="00866EB6" w:rsidP="006A75D0">
            <w:pPr>
              <w:jc w:val="right"/>
              <w:rPr>
                <w:sz w:val="16"/>
                <w:szCs w:val="17"/>
              </w:rPr>
            </w:pPr>
          </w:p>
        </w:tc>
        <w:tc>
          <w:tcPr>
            <w:tcW w:w="923" w:type="dxa"/>
            <w:shd w:val="clear" w:color="auto" w:fill="auto"/>
            <w:noWrap/>
            <w:vAlign w:val="center"/>
          </w:tcPr>
          <w:p w:rsidR="00866EB6" w:rsidRPr="007F5D87" w:rsidRDefault="00866EB6" w:rsidP="006A75D0">
            <w:pPr>
              <w:jc w:val="right"/>
              <w:rPr>
                <w:sz w:val="16"/>
                <w:szCs w:val="17"/>
              </w:rPr>
            </w:pP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i</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tcPr>
          <w:p w:rsidR="00866EB6" w:rsidRPr="007F5D87" w:rsidRDefault="00866EB6" w:rsidP="006A75D0">
            <w:pPr>
              <w:jc w:val="right"/>
              <w:rPr>
                <w:sz w:val="16"/>
                <w:szCs w:val="17"/>
              </w:rPr>
            </w:pPr>
            <w:r>
              <w:rPr>
                <w:sz w:val="16"/>
                <w:szCs w:val="17"/>
              </w:rPr>
              <w:t>270 000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115 000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55 000</w:t>
            </w:r>
          </w:p>
        </w:tc>
        <w:tc>
          <w:tcPr>
            <w:tcW w:w="923" w:type="dxa"/>
            <w:shd w:val="clear" w:color="auto" w:fill="auto"/>
            <w:noWrap/>
            <w:vAlign w:val="center"/>
          </w:tcPr>
          <w:p w:rsidR="00866EB6" w:rsidRPr="007F5D87" w:rsidRDefault="00866EB6" w:rsidP="006A75D0">
            <w:pPr>
              <w:jc w:val="right"/>
              <w:rPr>
                <w:sz w:val="16"/>
                <w:szCs w:val="17"/>
              </w:rPr>
            </w:pPr>
            <w:r>
              <w:rPr>
                <w:sz w:val="16"/>
                <w:szCs w:val="17"/>
              </w:rPr>
              <w:t>35 000</w:t>
            </w: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j</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88 000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23 000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16 000</w:t>
            </w:r>
          </w:p>
        </w:tc>
        <w:tc>
          <w:tcPr>
            <w:tcW w:w="636" w:type="dxa"/>
            <w:shd w:val="clear" w:color="auto" w:fill="auto"/>
            <w:noWrap/>
            <w:vAlign w:val="center"/>
            <w:hideMark/>
          </w:tcPr>
          <w:p w:rsidR="00866EB6" w:rsidRPr="007F5D87" w:rsidRDefault="00866EB6" w:rsidP="006A75D0">
            <w:pPr>
              <w:jc w:val="center"/>
              <w:rPr>
                <w:i/>
                <w:iCs/>
                <w:color w:val="17365D"/>
                <w:sz w:val="16"/>
                <w:szCs w:val="16"/>
              </w:rPr>
            </w:pPr>
            <w:r>
              <w:rPr>
                <w:i/>
                <w:iCs/>
                <w:color w:val="17365D"/>
                <w:sz w:val="16"/>
                <w:szCs w:val="18"/>
              </w:rPr>
              <w:t>k</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330 000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40 000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40 000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l</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2 753 000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567 000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1 012 000 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857 000 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317 000 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m</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75700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 xml:space="preserve">Formation, </w:t>
            </w:r>
            <w:r w:rsidRPr="00B0195E">
              <w:rPr>
                <w:sz w:val="16"/>
                <w:szCs w:val="16"/>
              </w:rPr>
              <w:t>ateliers et conf.</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189 000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47 000 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53 000 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46 000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n</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000000" w:fill="CCFFCC"/>
            <w:noWrap/>
            <w:vAlign w:val="center"/>
            <w:hideMark/>
          </w:tcPr>
          <w:p w:rsidR="00866EB6" w:rsidRPr="007F5D87" w:rsidRDefault="00866EB6" w:rsidP="006A75D0">
            <w:pPr>
              <w:jc w:val="left"/>
              <w:rPr>
                <w:sz w:val="16"/>
                <w:szCs w:val="16"/>
              </w:rPr>
            </w:pPr>
            <w:r>
              <w:rPr>
                <w:b/>
                <w:bCs/>
                <w:sz w:val="16"/>
                <w:szCs w:val="16"/>
              </w:rPr>
              <w:t>Sous-total résultat 2 Atlas FEM</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4 200 000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1 110 000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1 408 000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1 138 000</w:t>
            </w:r>
          </w:p>
        </w:tc>
        <w:tc>
          <w:tcPr>
            <w:tcW w:w="923" w:type="dxa"/>
            <w:shd w:val="clear" w:color="000000" w:fill="CCFFCC"/>
            <w:vAlign w:val="center"/>
            <w:hideMark/>
          </w:tcPr>
          <w:p w:rsidR="00866EB6" w:rsidRPr="00984E42" w:rsidRDefault="00866EB6" w:rsidP="006A75D0">
            <w:pPr>
              <w:jc w:val="right"/>
              <w:rPr>
                <w:b/>
                <w:sz w:val="16"/>
                <w:szCs w:val="16"/>
              </w:rPr>
            </w:pPr>
            <w:r w:rsidRPr="00984E42">
              <w:rPr>
                <w:b/>
                <w:sz w:val="16"/>
                <w:szCs w:val="17"/>
              </w:rPr>
              <w:t>544 000</w:t>
            </w:r>
          </w:p>
        </w:tc>
        <w:tc>
          <w:tcPr>
            <w:tcW w:w="636" w:type="dxa"/>
            <w:shd w:val="clear" w:color="000000" w:fill="CCFFCC"/>
            <w:noWrap/>
            <w:vAlign w:val="center"/>
            <w:hideMark/>
          </w:tcPr>
          <w:p w:rsidR="00866EB6" w:rsidRPr="007F5D87" w:rsidRDefault="00866EB6" w:rsidP="006A75D0">
            <w:pPr>
              <w:jc w:val="center"/>
              <w:rPr>
                <w:i/>
                <w:iCs/>
                <w:sz w:val="16"/>
                <w:szCs w:val="16"/>
              </w:rPr>
            </w:pPr>
            <w:r>
              <w:rPr>
                <w:i/>
                <w:iCs/>
                <w:sz w:val="16"/>
                <w:szCs w:val="18"/>
              </w:rPr>
              <w:t> </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866EB6" w:rsidP="009139A0">
            <w:pPr>
              <w:jc w:val="center"/>
              <w:rPr>
                <w:sz w:val="16"/>
                <w:szCs w:val="16"/>
              </w:rPr>
            </w:pPr>
            <w:r>
              <w:rPr>
                <w:sz w:val="16"/>
                <w:szCs w:val="16"/>
              </w:rPr>
              <w:t xml:space="preserve">PNUD </w:t>
            </w:r>
            <w:r w:rsidR="00D402CC">
              <w:rPr>
                <w:sz w:val="16"/>
                <w:szCs w:val="16"/>
              </w:rPr>
              <w:t xml:space="preserve">TRAC </w:t>
            </w:r>
            <w:r>
              <w:rPr>
                <w:sz w:val="16"/>
                <w:szCs w:val="16"/>
              </w:rPr>
              <w:t>– 00012</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40 000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o</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D402CC">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10 000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p</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90 000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q</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r</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s</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 xml:space="preserve">PNUD </w:t>
            </w:r>
            <w:r w:rsidR="00153889">
              <w:rPr>
                <w:sz w:val="16"/>
                <w:szCs w:val="16"/>
              </w:rPr>
              <w:t>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7"/>
              </w:rPr>
            </w:pPr>
          </w:p>
        </w:tc>
        <w:tc>
          <w:tcPr>
            <w:tcW w:w="986" w:type="dxa"/>
            <w:shd w:val="clear" w:color="auto" w:fill="auto"/>
            <w:noWrap/>
            <w:vAlign w:val="center"/>
          </w:tcPr>
          <w:p w:rsidR="00866EB6" w:rsidRPr="007F5D87" w:rsidRDefault="00866EB6" w:rsidP="006A75D0">
            <w:pPr>
              <w:jc w:val="right"/>
              <w:rPr>
                <w:sz w:val="16"/>
                <w:szCs w:val="17"/>
              </w:rPr>
            </w:pPr>
          </w:p>
        </w:tc>
        <w:tc>
          <w:tcPr>
            <w:tcW w:w="923" w:type="dxa"/>
            <w:shd w:val="clear" w:color="auto" w:fill="auto"/>
            <w:noWrap/>
            <w:vAlign w:val="center"/>
          </w:tcPr>
          <w:p w:rsidR="00866EB6" w:rsidRPr="007F5D87" w:rsidRDefault="00866EB6" w:rsidP="006A75D0">
            <w:pPr>
              <w:jc w:val="right"/>
              <w:rPr>
                <w:sz w:val="16"/>
                <w:szCs w:val="17"/>
              </w:rPr>
            </w:pP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t</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74500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Charges diverses</w:t>
            </w:r>
          </w:p>
        </w:tc>
        <w:tc>
          <w:tcPr>
            <w:tcW w:w="986" w:type="dxa"/>
            <w:shd w:val="clear" w:color="000000" w:fill="FFFFCC"/>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923"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u</w:t>
            </w:r>
          </w:p>
        </w:tc>
      </w:tr>
      <w:tr w:rsidR="004B21A2" w:rsidRPr="007F5D87" w:rsidTr="004B21A2">
        <w:trPr>
          <w:trHeight w:val="140"/>
        </w:trPr>
        <w:tc>
          <w:tcPr>
            <w:tcW w:w="1458" w:type="dxa"/>
            <w:vMerge/>
            <w:shd w:val="clear" w:color="auto" w:fill="auto"/>
            <w:noWrap/>
            <w:vAlign w:val="center"/>
          </w:tcPr>
          <w:p w:rsidR="004B21A2" w:rsidRPr="007F5D87" w:rsidRDefault="004B21A2" w:rsidP="006A75D0">
            <w:pPr>
              <w:jc w:val="left"/>
              <w:rPr>
                <w:b/>
                <w:bCs/>
                <w:sz w:val="16"/>
                <w:szCs w:val="16"/>
                <w:lang w:eastAsia="en-GB"/>
              </w:rPr>
            </w:pPr>
          </w:p>
        </w:tc>
        <w:tc>
          <w:tcPr>
            <w:tcW w:w="6927" w:type="dxa"/>
            <w:gridSpan w:val="5"/>
            <w:shd w:val="clear" w:color="auto" w:fill="F7CAAC" w:themeFill="accent2" w:themeFillTint="66"/>
            <w:vAlign w:val="center"/>
          </w:tcPr>
          <w:p w:rsidR="004B21A2" w:rsidRDefault="004B21A2" w:rsidP="006A75D0">
            <w:pPr>
              <w:jc w:val="left"/>
              <w:rPr>
                <w:sz w:val="16"/>
                <w:szCs w:val="16"/>
              </w:rPr>
            </w:pPr>
            <w:r>
              <w:rPr>
                <w:b/>
                <w:bCs/>
                <w:sz w:val="16"/>
                <w:szCs w:val="16"/>
              </w:rPr>
              <w:t>Sous-total résultat 2 Atlas TRAC</w:t>
            </w:r>
          </w:p>
        </w:tc>
        <w:tc>
          <w:tcPr>
            <w:tcW w:w="986" w:type="dxa"/>
            <w:shd w:val="clear" w:color="auto" w:fill="F7CAAC" w:themeFill="accent2" w:themeFillTint="66"/>
            <w:noWrap/>
            <w:vAlign w:val="center"/>
          </w:tcPr>
          <w:p w:rsidR="004B21A2" w:rsidRPr="00984E42" w:rsidRDefault="004B21A2" w:rsidP="006A75D0">
            <w:pPr>
              <w:jc w:val="right"/>
              <w:rPr>
                <w:b/>
                <w:sz w:val="16"/>
                <w:szCs w:val="16"/>
              </w:rPr>
            </w:pPr>
            <w:r w:rsidRPr="00984E42">
              <w:rPr>
                <w:b/>
                <w:sz w:val="16"/>
                <w:szCs w:val="16"/>
              </w:rPr>
              <w:t>240 000</w:t>
            </w:r>
          </w:p>
        </w:tc>
        <w:tc>
          <w:tcPr>
            <w:tcW w:w="986" w:type="dxa"/>
            <w:shd w:val="clear" w:color="auto" w:fill="F7CAAC" w:themeFill="accent2" w:themeFillTint="66"/>
            <w:noWrap/>
            <w:vAlign w:val="center"/>
          </w:tcPr>
          <w:p w:rsidR="004B21A2" w:rsidRPr="00984E42" w:rsidRDefault="004B21A2" w:rsidP="006A75D0">
            <w:pPr>
              <w:jc w:val="right"/>
              <w:rPr>
                <w:b/>
                <w:sz w:val="16"/>
                <w:szCs w:val="16"/>
              </w:rPr>
            </w:pPr>
            <w:r w:rsidRPr="00984E42">
              <w:rPr>
                <w:b/>
                <w:sz w:val="16"/>
                <w:szCs w:val="16"/>
              </w:rPr>
              <w:t>72 500</w:t>
            </w:r>
          </w:p>
        </w:tc>
        <w:tc>
          <w:tcPr>
            <w:tcW w:w="986"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77 500</w:t>
            </w:r>
          </w:p>
        </w:tc>
        <w:tc>
          <w:tcPr>
            <w:tcW w:w="986"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32 500</w:t>
            </w:r>
          </w:p>
        </w:tc>
        <w:tc>
          <w:tcPr>
            <w:tcW w:w="923"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57 500</w:t>
            </w:r>
          </w:p>
        </w:tc>
        <w:tc>
          <w:tcPr>
            <w:tcW w:w="636" w:type="dxa"/>
            <w:shd w:val="clear" w:color="auto" w:fill="F7CAAC" w:themeFill="accent2" w:themeFillTint="66"/>
            <w:noWrap/>
            <w:vAlign w:val="center"/>
          </w:tcPr>
          <w:p w:rsidR="004B21A2" w:rsidRDefault="004B21A2" w:rsidP="006A75D0">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vAlign w:val="center"/>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Pr>
                <w:sz w:val="16"/>
                <w:szCs w:val="16"/>
              </w:rPr>
              <w:t>Carburant</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58 000 </w:t>
            </w:r>
          </w:p>
        </w:tc>
        <w:tc>
          <w:tcPr>
            <w:tcW w:w="986" w:type="dxa"/>
            <w:shd w:val="clear" w:color="auto" w:fill="auto"/>
            <w:noWrap/>
            <w:vAlign w:val="center"/>
          </w:tcPr>
          <w:p w:rsidR="009218B8" w:rsidRDefault="009218B8" w:rsidP="009218B8">
            <w:pPr>
              <w:jc w:val="right"/>
              <w:rPr>
                <w:sz w:val="16"/>
                <w:szCs w:val="16"/>
              </w:rPr>
            </w:pPr>
            <w:r>
              <w:rPr>
                <w:sz w:val="16"/>
                <w:szCs w:val="16"/>
              </w:rPr>
              <w:t>14 500</w:t>
            </w:r>
          </w:p>
        </w:tc>
        <w:tc>
          <w:tcPr>
            <w:tcW w:w="986" w:type="dxa"/>
            <w:shd w:val="clear" w:color="auto" w:fill="auto"/>
            <w:noWrap/>
          </w:tcPr>
          <w:p w:rsidR="009218B8" w:rsidRDefault="009218B8" w:rsidP="009218B8">
            <w:pPr>
              <w:jc w:val="right"/>
              <w:rPr>
                <w:sz w:val="16"/>
                <w:szCs w:val="17"/>
              </w:rPr>
            </w:pPr>
            <w:r w:rsidRPr="000F2312">
              <w:rPr>
                <w:sz w:val="16"/>
                <w:szCs w:val="16"/>
              </w:rPr>
              <w:t>14 500</w:t>
            </w:r>
          </w:p>
        </w:tc>
        <w:tc>
          <w:tcPr>
            <w:tcW w:w="986" w:type="dxa"/>
            <w:shd w:val="clear" w:color="auto" w:fill="auto"/>
            <w:noWrap/>
          </w:tcPr>
          <w:p w:rsidR="009218B8" w:rsidRDefault="009218B8" w:rsidP="009218B8">
            <w:pPr>
              <w:jc w:val="right"/>
              <w:rPr>
                <w:sz w:val="16"/>
                <w:szCs w:val="17"/>
              </w:rPr>
            </w:pPr>
            <w:r w:rsidRPr="000F2312">
              <w:rPr>
                <w:sz w:val="16"/>
                <w:szCs w:val="16"/>
              </w:rPr>
              <w:t>14 500</w:t>
            </w:r>
          </w:p>
        </w:tc>
        <w:tc>
          <w:tcPr>
            <w:tcW w:w="923" w:type="dxa"/>
            <w:shd w:val="clear" w:color="auto" w:fill="auto"/>
            <w:noWrap/>
          </w:tcPr>
          <w:p w:rsidR="009218B8" w:rsidRDefault="009218B8" w:rsidP="009218B8">
            <w:pPr>
              <w:jc w:val="right"/>
              <w:rPr>
                <w:sz w:val="16"/>
                <w:szCs w:val="17"/>
              </w:rPr>
            </w:pPr>
            <w:r w:rsidRPr="000F2312">
              <w:rPr>
                <w:sz w:val="16"/>
                <w:szCs w:val="16"/>
              </w:rPr>
              <w:t>14 500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Produire 300000 plants</w:t>
            </w:r>
            <w:r>
              <w:rPr>
                <w:sz w:val="16"/>
                <w:szCs w:val="16"/>
              </w:rPr>
              <w:t xml:space="preserve"> </w:t>
            </w:r>
            <w:r w:rsidRPr="00A21DC4">
              <w:rPr>
                <w:sz w:val="16"/>
                <w:szCs w:val="16"/>
              </w:rPr>
              <w:t>(achat gaines)</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40 000 </w:t>
            </w:r>
          </w:p>
        </w:tc>
        <w:tc>
          <w:tcPr>
            <w:tcW w:w="986" w:type="dxa"/>
            <w:shd w:val="clear" w:color="auto" w:fill="auto"/>
            <w:noWrap/>
            <w:vAlign w:val="center"/>
          </w:tcPr>
          <w:p w:rsidR="009218B8" w:rsidRDefault="009218B8" w:rsidP="009218B8">
            <w:pPr>
              <w:jc w:val="right"/>
              <w:rPr>
                <w:sz w:val="16"/>
                <w:szCs w:val="16"/>
              </w:rPr>
            </w:pPr>
            <w:r>
              <w:rPr>
                <w:sz w:val="16"/>
                <w:szCs w:val="16"/>
              </w:rPr>
              <w:t>10 000</w:t>
            </w:r>
          </w:p>
        </w:tc>
        <w:tc>
          <w:tcPr>
            <w:tcW w:w="986" w:type="dxa"/>
            <w:shd w:val="clear" w:color="auto" w:fill="auto"/>
            <w:noWrap/>
          </w:tcPr>
          <w:p w:rsidR="009218B8" w:rsidRDefault="009218B8" w:rsidP="009218B8">
            <w:pPr>
              <w:jc w:val="right"/>
              <w:rPr>
                <w:sz w:val="16"/>
                <w:szCs w:val="17"/>
              </w:rPr>
            </w:pPr>
            <w:r w:rsidRPr="00656F17">
              <w:rPr>
                <w:sz w:val="16"/>
                <w:szCs w:val="16"/>
              </w:rPr>
              <w:t>10 000</w:t>
            </w:r>
          </w:p>
        </w:tc>
        <w:tc>
          <w:tcPr>
            <w:tcW w:w="986" w:type="dxa"/>
            <w:shd w:val="clear" w:color="auto" w:fill="auto"/>
            <w:noWrap/>
          </w:tcPr>
          <w:p w:rsidR="009218B8" w:rsidRDefault="009218B8" w:rsidP="009218B8">
            <w:pPr>
              <w:jc w:val="right"/>
              <w:rPr>
                <w:sz w:val="16"/>
                <w:szCs w:val="17"/>
              </w:rPr>
            </w:pPr>
            <w:r w:rsidRPr="00656F17">
              <w:rPr>
                <w:sz w:val="16"/>
                <w:szCs w:val="16"/>
              </w:rPr>
              <w:t>10 000</w:t>
            </w:r>
          </w:p>
        </w:tc>
        <w:tc>
          <w:tcPr>
            <w:tcW w:w="923" w:type="dxa"/>
            <w:shd w:val="clear" w:color="auto" w:fill="auto"/>
            <w:noWrap/>
          </w:tcPr>
          <w:p w:rsidR="009218B8" w:rsidRDefault="009218B8" w:rsidP="009218B8">
            <w:pPr>
              <w:jc w:val="right"/>
              <w:rPr>
                <w:sz w:val="16"/>
                <w:szCs w:val="17"/>
              </w:rPr>
            </w:pPr>
            <w:r w:rsidRPr="00656F17">
              <w:rPr>
                <w:sz w:val="16"/>
                <w:szCs w:val="16"/>
              </w:rPr>
              <w:t>10 000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Aménagement mare</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180 000 </w:t>
            </w:r>
          </w:p>
        </w:tc>
        <w:tc>
          <w:tcPr>
            <w:tcW w:w="986" w:type="dxa"/>
            <w:shd w:val="clear" w:color="auto" w:fill="auto"/>
            <w:noWrap/>
            <w:vAlign w:val="center"/>
          </w:tcPr>
          <w:p w:rsidR="009218B8" w:rsidRDefault="009218B8" w:rsidP="009218B8">
            <w:pPr>
              <w:jc w:val="right"/>
              <w:rPr>
                <w:sz w:val="16"/>
                <w:szCs w:val="16"/>
              </w:rPr>
            </w:pPr>
            <w:r>
              <w:rPr>
                <w:sz w:val="16"/>
                <w:szCs w:val="16"/>
              </w:rPr>
              <w:t>60 000</w:t>
            </w:r>
          </w:p>
        </w:tc>
        <w:tc>
          <w:tcPr>
            <w:tcW w:w="986" w:type="dxa"/>
            <w:shd w:val="clear" w:color="auto" w:fill="auto"/>
            <w:noWrap/>
          </w:tcPr>
          <w:p w:rsidR="009218B8" w:rsidRDefault="009218B8" w:rsidP="009218B8">
            <w:pPr>
              <w:jc w:val="right"/>
              <w:rPr>
                <w:sz w:val="16"/>
                <w:szCs w:val="17"/>
              </w:rPr>
            </w:pPr>
            <w:r w:rsidRPr="004B5861">
              <w:rPr>
                <w:sz w:val="16"/>
                <w:szCs w:val="16"/>
              </w:rPr>
              <w:t>60 000</w:t>
            </w:r>
          </w:p>
        </w:tc>
        <w:tc>
          <w:tcPr>
            <w:tcW w:w="986" w:type="dxa"/>
            <w:shd w:val="clear" w:color="auto" w:fill="auto"/>
            <w:noWrap/>
          </w:tcPr>
          <w:p w:rsidR="009218B8" w:rsidRDefault="009218B8" w:rsidP="009218B8">
            <w:pPr>
              <w:jc w:val="right"/>
              <w:rPr>
                <w:sz w:val="16"/>
                <w:szCs w:val="17"/>
              </w:rPr>
            </w:pPr>
            <w:r w:rsidRPr="004B5861">
              <w:rPr>
                <w:sz w:val="16"/>
                <w:szCs w:val="16"/>
              </w:rPr>
              <w:t>60 000</w:t>
            </w:r>
          </w:p>
        </w:tc>
        <w:tc>
          <w:tcPr>
            <w:tcW w:w="923" w:type="dxa"/>
            <w:shd w:val="clear" w:color="auto" w:fill="auto"/>
            <w:noWrap/>
            <w:vAlign w:val="center"/>
          </w:tcPr>
          <w:p w:rsidR="009218B8" w:rsidRDefault="009218B8" w:rsidP="009218B8">
            <w:pPr>
              <w:jc w:val="right"/>
              <w:rPr>
                <w:sz w:val="16"/>
                <w:szCs w:val="17"/>
              </w:rPr>
            </w:pP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Matériels lutte contre feux</w:t>
            </w:r>
          </w:p>
        </w:tc>
        <w:tc>
          <w:tcPr>
            <w:tcW w:w="986" w:type="dxa"/>
            <w:shd w:val="clear" w:color="000000" w:fill="FFFFCC"/>
            <w:noWrap/>
            <w:vAlign w:val="center"/>
          </w:tcPr>
          <w:p w:rsidR="009218B8" w:rsidRDefault="009218B8" w:rsidP="009218B8">
            <w:pPr>
              <w:jc w:val="right"/>
              <w:rPr>
                <w:sz w:val="16"/>
                <w:szCs w:val="16"/>
              </w:rPr>
            </w:pPr>
            <w:r>
              <w:rPr>
                <w:sz w:val="16"/>
                <w:szCs w:val="16"/>
              </w:rPr>
              <w:t>80 000</w:t>
            </w:r>
          </w:p>
        </w:tc>
        <w:tc>
          <w:tcPr>
            <w:tcW w:w="986" w:type="dxa"/>
            <w:shd w:val="clear" w:color="auto" w:fill="auto"/>
            <w:noWrap/>
            <w:vAlign w:val="center"/>
          </w:tcPr>
          <w:p w:rsidR="009218B8" w:rsidRDefault="009218B8" w:rsidP="009218B8">
            <w:pPr>
              <w:jc w:val="right"/>
              <w:rPr>
                <w:sz w:val="16"/>
                <w:szCs w:val="16"/>
              </w:rPr>
            </w:pPr>
            <w:r>
              <w:rPr>
                <w:sz w:val="16"/>
                <w:szCs w:val="16"/>
              </w:rPr>
              <w:t>30 000</w:t>
            </w:r>
          </w:p>
        </w:tc>
        <w:tc>
          <w:tcPr>
            <w:tcW w:w="986" w:type="dxa"/>
            <w:shd w:val="clear" w:color="auto" w:fill="auto"/>
            <w:noWrap/>
          </w:tcPr>
          <w:p w:rsidR="009218B8" w:rsidRDefault="009218B8" w:rsidP="009218B8">
            <w:pPr>
              <w:jc w:val="right"/>
              <w:rPr>
                <w:sz w:val="16"/>
                <w:szCs w:val="17"/>
              </w:rPr>
            </w:pPr>
            <w:r w:rsidRPr="00BD2D4E">
              <w:rPr>
                <w:sz w:val="16"/>
                <w:szCs w:val="16"/>
              </w:rPr>
              <w:t>30 000</w:t>
            </w:r>
          </w:p>
        </w:tc>
        <w:tc>
          <w:tcPr>
            <w:tcW w:w="986" w:type="dxa"/>
            <w:shd w:val="clear" w:color="auto" w:fill="auto"/>
            <w:noWrap/>
          </w:tcPr>
          <w:p w:rsidR="009218B8" w:rsidRDefault="009218B8" w:rsidP="009218B8">
            <w:pPr>
              <w:jc w:val="right"/>
              <w:rPr>
                <w:sz w:val="16"/>
                <w:szCs w:val="17"/>
              </w:rPr>
            </w:pPr>
            <w:r>
              <w:rPr>
                <w:sz w:val="16"/>
                <w:szCs w:val="16"/>
              </w:rPr>
              <w:t>1</w:t>
            </w:r>
            <w:r w:rsidRPr="00BD2D4E">
              <w:rPr>
                <w:sz w:val="16"/>
                <w:szCs w:val="16"/>
              </w:rPr>
              <w:t>0 000</w:t>
            </w:r>
          </w:p>
        </w:tc>
        <w:tc>
          <w:tcPr>
            <w:tcW w:w="923" w:type="dxa"/>
            <w:shd w:val="clear" w:color="auto" w:fill="auto"/>
            <w:noWrap/>
            <w:vAlign w:val="center"/>
          </w:tcPr>
          <w:p w:rsidR="009218B8" w:rsidRDefault="009218B8" w:rsidP="009218B8">
            <w:pPr>
              <w:jc w:val="right"/>
              <w:rPr>
                <w:sz w:val="16"/>
                <w:szCs w:val="17"/>
              </w:rPr>
            </w:pPr>
            <w:r>
              <w:rPr>
                <w:sz w:val="16"/>
                <w:szCs w:val="16"/>
              </w:rPr>
              <w:t>10 000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Ouverture pare-feu</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120 000 </w:t>
            </w:r>
          </w:p>
        </w:tc>
        <w:tc>
          <w:tcPr>
            <w:tcW w:w="986" w:type="dxa"/>
            <w:shd w:val="clear" w:color="auto" w:fill="auto"/>
            <w:noWrap/>
            <w:vAlign w:val="center"/>
          </w:tcPr>
          <w:p w:rsidR="009218B8" w:rsidRDefault="009218B8" w:rsidP="009218B8">
            <w:pPr>
              <w:jc w:val="right"/>
              <w:rPr>
                <w:sz w:val="16"/>
                <w:szCs w:val="16"/>
              </w:rPr>
            </w:pPr>
            <w:r>
              <w:rPr>
                <w:sz w:val="16"/>
                <w:szCs w:val="16"/>
              </w:rPr>
              <w:t>0</w:t>
            </w:r>
          </w:p>
        </w:tc>
        <w:tc>
          <w:tcPr>
            <w:tcW w:w="986" w:type="dxa"/>
            <w:shd w:val="clear" w:color="auto" w:fill="auto"/>
            <w:noWrap/>
          </w:tcPr>
          <w:p w:rsidR="009218B8" w:rsidRDefault="009218B8" w:rsidP="009218B8">
            <w:pPr>
              <w:jc w:val="right"/>
              <w:rPr>
                <w:sz w:val="16"/>
                <w:szCs w:val="17"/>
              </w:rPr>
            </w:pPr>
            <w:r w:rsidRPr="006E23C8">
              <w:rPr>
                <w:sz w:val="16"/>
                <w:szCs w:val="16"/>
              </w:rPr>
              <w:t>60 000</w:t>
            </w:r>
          </w:p>
        </w:tc>
        <w:tc>
          <w:tcPr>
            <w:tcW w:w="986" w:type="dxa"/>
            <w:shd w:val="clear" w:color="auto" w:fill="auto"/>
            <w:noWrap/>
          </w:tcPr>
          <w:p w:rsidR="009218B8" w:rsidRDefault="009218B8" w:rsidP="009218B8">
            <w:pPr>
              <w:jc w:val="right"/>
              <w:rPr>
                <w:sz w:val="16"/>
                <w:szCs w:val="17"/>
              </w:rPr>
            </w:pPr>
            <w:r>
              <w:rPr>
                <w:sz w:val="16"/>
                <w:szCs w:val="16"/>
              </w:rPr>
              <w:t>3</w:t>
            </w:r>
            <w:r w:rsidRPr="006E23C8">
              <w:rPr>
                <w:sz w:val="16"/>
                <w:szCs w:val="16"/>
              </w:rPr>
              <w:t>0 000</w:t>
            </w:r>
          </w:p>
        </w:tc>
        <w:tc>
          <w:tcPr>
            <w:tcW w:w="923" w:type="dxa"/>
            <w:shd w:val="clear" w:color="auto" w:fill="auto"/>
            <w:noWrap/>
          </w:tcPr>
          <w:p w:rsidR="009218B8" w:rsidRDefault="009218B8" w:rsidP="009218B8">
            <w:pPr>
              <w:jc w:val="right"/>
              <w:rPr>
                <w:sz w:val="16"/>
                <w:szCs w:val="17"/>
              </w:rPr>
            </w:pPr>
            <w:r>
              <w:rPr>
                <w:sz w:val="16"/>
                <w:szCs w:val="16"/>
              </w:rPr>
              <w:t>3</w:t>
            </w:r>
            <w:r w:rsidRPr="006E23C8">
              <w:rPr>
                <w:sz w:val="16"/>
                <w:szCs w:val="16"/>
              </w:rPr>
              <w:t>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Matériel de pépinière/reboisement</w:t>
            </w:r>
          </w:p>
        </w:tc>
        <w:tc>
          <w:tcPr>
            <w:tcW w:w="986" w:type="dxa"/>
            <w:shd w:val="clear" w:color="000000" w:fill="FFFFCC"/>
            <w:noWrap/>
            <w:vAlign w:val="center"/>
          </w:tcPr>
          <w:p w:rsidR="009218B8" w:rsidRDefault="009218B8" w:rsidP="009218B8">
            <w:pPr>
              <w:jc w:val="right"/>
              <w:rPr>
                <w:sz w:val="16"/>
                <w:szCs w:val="16"/>
              </w:rPr>
            </w:pPr>
            <w:r>
              <w:rPr>
                <w:sz w:val="16"/>
                <w:szCs w:val="16"/>
              </w:rPr>
              <w:t>80 000</w:t>
            </w:r>
          </w:p>
        </w:tc>
        <w:tc>
          <w:tcPr>
            <w:tcW w:w="986" w:type="dxa"/>
            <w:shd w:val="clear" w:color="auto" w:fill="auto"/>
            <w:noWrap/>
            <w:vAlign w:val="center"/>
          </w:tcPr>
          <w:p w:rsidR="009218B8" w:rsidRDefault="009218B8" w:rsidP="009218B8">
            <w:pPr>
              <w:jc w:val="right"/>
              <w:rPr>
                <w:sz w:val="16"/>
                <w:szCs w:val="16"/>
              </w:rPr>
            </w:pPr>
            <w:r>
              <w:rPr>
                <w:sz w:val="16"/>
                <w:szCs w:val="16"/>
              </w:rPr>
              <w:t>20 000</w:t>
            </w:r>
          </w:p>
        </w:tc>
        <w:tc>
          <w:tcPr>
            <w:tcW w:w="986" w:type="dxa"/>
            <w:shd w:val="clear" w:color="auto" w:fill="auto"/>
            <w:noWrap/>
          </w:tcPr>
          <w:p w:rsidR="009218B8" w:rsidRDefault="009218B8" w:rsidP="009218B8">
            <w:pPr>
              <w:jc w:val="right"/>
              <w:rPr>
                <w:sz w:val="16"/>
                <w:szCs w:val="17"/>
              </w:rPr>
            </w:pPr>
            <w:r w:rsidRPr="00D44AE9">
              <w:rPr>
                <w:sz w:val="16"/>
                <w:szCs w:val="16"/>
              </w:rPr>
              <w:t>20 000</w:t>
            </w:r>
          </w:p>
        </w:tc>
        <w:tc>
          <w:tcPr>
            <w:tcW w:w="986" w:type="dxa"/>
            <w:shd w:val="clear" w:color="auto" w:fill="auto"/>
            <w:noWrap/>
          </w:tcPr>
          <w:p w:rsidR="009218B8" w:rsidRDefault="009218B8" w:rsidP="009218B8">
            <w:pPr>
              <w:jc w:val="right"/>
              <w:rPr>
                <w:sz w:val="16"/>
                <w:szCs w:val="17"/>
              </w:rPr>
            </w:pPr>
            <w:r w:rsidRPr="00D44AE9">
              <w:rPr>
                <w:sz w:val="16"/>
                <w:szCs w:val="16"/>
              </w:rPr>
              <w:t>20 000</w:t>
            </w:r>
          </w:p>
        </w:tc>
        <w:tc>
          <w:tcPr>
            <w:tcW w:w="923" w:type="dxa"/>
            <w:shd w:val="clear" w:color="auto" w:fill="auto"/>
            <w:noWrap/>
          </w:tcPr>
          <w:p w:rsidR="009218B8" w:rsidRDefault="009218B8" w:rsidP="009218B8">
            <w:pPr>
              <w:jc w:val="right"/>
              <w:rPr>
                <w:sz w:val="16"/>
                <w:szCs w:val="17"/>
              </w:rPr>
            </w:pPr>
            <w:r w:rsidRPr="00D44AE9">
              <w:rPr>
                <w:sz w:val="16"/>
                <w:szCs w:val="16"/>
              </w:rPr>
              <w:t>20 000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Équipement et fourniture</w:t>
            </w:r>
          </w:p>
        </w:tc>
        <w:tc>
          <w:tcPr>
            <w:tcW w:w="986" w:type="dxa"/>
            <w:shd w:val="clear" w:color="000000" w:fill="FFFFCC"/>
            <w:noWrap/>
            <w:vAlign w:val="center"/>
          </w:tcPr>
          <w:p w:rsidR="009218B8" w:rsidRDefault="009218B8" w:rsidP="009218B8">
            <w:pPr>
              <w:jc w:val="right"/>
              <w:rPr>
                <w:sz w:val="16"/>
                <w:szCs w:val="16"/>
              </w:rPr>
            </w:pPr>
            <w:r>
              <w:rPr>
                <w:sz w:val="16"/>
                <w:szCs w:val="16"/>
              </w:rPr>
              <w:t>90 000</w:t>
            </w:r>
          </w:p>
        </w:tc>
        <w:tc>
          <w:tcPr>
            <w:tcW w:w="986" w:type="dxa"/>
            <w:shd w:val="clear" w:color="auto" w:fill="auto"/>
            <w:noWrap/>
            <w:vAlign w:val="center"/>
          </w:tcPr>
          <w:p w:rsidR="009218B8" w:rsidRDefault="009218B8" w:rsidP="009218B8">
            <w:pPr>
              <w:jc w:val="right"/>
              <w:rPr>
                <w:sz w:val="16"/>
                <w:szCs w:val="16"/>
              </w:rPr>
            </w:pPr>
            <w:r>
              <w:rPr>
                <w:sz w:val="16"/>
                <w:szCs w:val="16"/>
              </w:rPr>
              <w:t>40 000</w:t>
            </w:r>
          </w:p>
        </w:tc>
        <w:tc>
          <w:tcPr>
            <w:tcW w:w="986" w:type="dxa"/>
            <w:shd w:val="clear" w:color="auto" w:fill="auto"/>
            <w:noWrap/>
          </w:tcPr>
          <w:p w:rsidR="009218B8" w:rsidRDefault="009218B8" w:rsidP="009218B8">
            <w:pPr>
              <w:jc w:val="right"/>
              <w:rPr>
                <w:sz w:val="16"/>
                <w:szCs w:val="17"/>
              </w:rPr>
            </w:pPr>
            <w:r w:rsidRPr="00F957DF">
              <w:rPr>
                <w:sz w:val="16"/>
                <w:szCs w:val="16"/>
              </w:rPr>
              <w:t>20 000</w:t>
            </w:r>
          </w:p>
        </w:tc>
        <w:tc>
          <w:tcPr>
            <w:tcW w:w="986" w:type="dxa"/>
            <w:shd w:val="clear" w:color="auto" w:fill="auto"/>
            <w:noWrap/>
          </w:tcPr>
          <w:p w:rsidR="009218B8" w:rsidRDefault="009218B8" w:rsidP="009218B8">
            <w:pPr>
              <w:jc w:val="right"/>
              <w:rPr>
                <w:sz w:val="16"/>
                <w:szCs w:val="17"/>
              </w:rPr>
            </w:pPr>
            <w:r w:rsidRPr="00F957DF">
              <w:rPr>
                <w:sz w:val="16"/>
                <w:szCs w:val="16"/>
              </w:rPr>
              <w:t>20 000</w:t>
            </w:r>
          </w:p>
        </w:tc>
        <w:tc>
          <w:tcPr>
            <w:tcW w:w="923" w:type="dxa"/>
            <w:shd w:val="clear" w:color="auto" w:fill="auto"/>
            <w:noWrap/>
          </w:tcPr>
          <w:p w:rsidR="009218B8" w:rsidRDefault="009218B8" w:rsidP="009218B8">
            <w:pPr>
              <w:jc w:val="right"/>
              <w:rPr>
                <w:sz w:val="16"/>
                <w:szCs w:val="17"/>
              </w:rPr>
            </w:pPr>
            <w:r>
              <w:rPr>
                <w:sz w:val="16"/>
                <w:szCs w:val="16"/>
              </w:rPr>
              <w:t>1</w:t>
            </w:r>
            <w:r w:rsidRPr="00F957DF">
              <w:rPr>
                <w:sz w:val="16"/>
                <w:szCs w:val="16"/>
              </w:rPr>
              <w:t>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Matériels et fourniture de bureau</w:t>
            </w:r>
          </w:p>
        </w:tc>
        <w:tc>
          <w:tcPr>
            <w:tcW w:w="986" w:type="dxa"/>
            <w:shd w:val="clear" w:color="000000" w:fill="FFFFCC"/>
            <w:noWrap/>
            <w:vAlign w:val="center"/>
          </w:tcPr>
          <w:p w:rsidR="009218B8" w:rsidRDefault="009218B8" w:rsidP="009218B8">
            <w:pPr>
              <w:jc w:val="right"/>
              <w:rPr>
                <w:sz w:val="16"/>
                <w:szCs w:val="16"/>
              </w:rPr>
            </w:pPr>
            <w:r>
              <w:rPr>
                <w:sz w:val="16"/>
                <w:szCs w:val="16"/>
              </w:rPr>
              <w:t>40 000</w:t>
            </w:r>
          </w:p>
        </w:tc>
        <w:tc>
          <w:tcPr>
            <w:tcW w:w="986" w:type="dxa"/>
            <w:shd w:val="clear" w:color="auto" w:fill="auto"/>
            <w:noWrap/>
            <w:vAlign w:val="center"/>
          </w:tcPr>
          <w:p w:rsidR="009218B8" w:rsidRDefault="009218B8" w:rsidP="009218B8">
            <w:pPr>
              <w:jc w:val="right"/>
              <w:rPr>
                <w:sz w:val="16"/>
                <w:szCs w:val="16"/>
              </w:rPr>
            </w:pPr>
            <w:r>
              <w:rPr>
                <w:sz w:val="16"/>
                <w:szCs w:val="16"/>
              </w:rPr>
              <w:t>20 000</w:t>
            </w:r>
          </w:p>
        </w:tc>
        <w:tc>
          <w:tcPr>
            <w:tcW w:w="986" w:type="dxa"/>
            <w:shd w:val="clear" w:color="auto" w:fill="auto"/>
            <w:noWrap/>
          </w:tcPr>
          <w:p w:rsidR="009218B8" w:rsidRDefault="009218B8" w:rsidP="009218B8">
            <w:pPr>
              <w:jc w:val="right"/>
              <w:rPr>
                <w:sz w:val="16"/>
                <w:szCs w:val="17"/>
              </w:rPr>
            </w:pPr>
            <w:r>
              <w:rPr>
                <w:sz w:val="16"/>
                <w:szCs w:val="16"/>
              </w:rPr>
              <w:t>1</w:t>
            </w:r>
            <w:r w:rsidRPr="00050320">
              <w:rPr>
                <w:sz w:val="16"/>
                <w:szCs w:val="16"/>
              </w:rPr>
              <w:t>0 000</w:t>
            </w:r>
          </w:p>
        </w:tc>
        <w:tc>
          <w:tcPr>
            <w:tcW w:w="986" w:type="dxa"/>
            <w:shd w:val="clear" w:color="auto" w:fill="auto"/>
            <w:noWrap/>
          </w:tcPr>
          <w:p w:rsidR="009218B8" w:rsidRDefault="009218B8" w:rsidP="009218B8">
            <w:pPr>
              <w:jc w:val="right"/>
              <w:rPr>
                <w:sz w:val="16"/>
                <w:szCs w:val="17"/>
              </w:rPr>
            </w:pPr>
            <w:r>
              <w:rPr>
                <w:sz w:val="16"/>
                <w:szCs w:val="16"/>
              </w:rPr>
              <w:t>5</w:t>
            </w:r>
            <w:r w:rsidRPr="00050320">
              <w:rPr>
                <w:sz w:val="16"/>
                <w:szCs w:val="16"/>
              </w:rPr>
              <w:t xml:space="preserve"> 000</w:t>
            </w:r>
          </w:p>
        </w:tc>
        <w:tc>
          <w:tcPr>
            <w:tcW w:w="923" w:type="dxa"/>
            <w:shd w:val="clear" w:color="auto" w:fill="auto"/>
            <w:noWrap/>
          </w:tcPr>
          <w:p w:rsidR="009218B8" w:rsidRDefault="009218B8" w:rsidP="009218B8">
            <w:pPr>
              <w:jc w:val="right"/>
              <w:rPr>
                <w:sz w:val="16"/>
                <w:szCs w:val="17"/>
              </w:rPr>
            </w:pPr>
            <w:r>
              <w:rPr>
                <w:sz w:val="16"/>
                <w:szCs w:val="16"/>
              </w:rPr>
              <w:t>5</w:t>
            </w:r>
            <w:r w:rsidRPr="00050320">
              <w:rPr>
                <w:sz w:val="16"/>
                <w:szCs w:val="16"/>
              </w:rPr>
              <w:t xml:space="preserve"> 000</w:t>
            </w:r>
          </w:p>
        </w:tc>
        <w:tc>
          <w:tcPr>
            <w:tcW w:w="636" w:type="dxa"/>
            <w:shd w:val="clear" w:color="auto" w:fill="auto"/>
            <w:noWrap/>
            <w:vAlign w:val="center"/>
          </w:tcPr>
          <w:p w:rsidR="009218B8" w:rsidRDefault="009218B8" w:rsidP="009218B8">
            <w:pPr>
              <w:jc w:val="center"/>
              <w:rPr>
                <w:i/>
                <w:iCs/>
                <w:color w:val="17365D"/>
                <w:sz w:val="16"/>
                <w:szCs w:val="18"/>
              </w:rPr>
            </w:pPr>
          </w:p>
        </w:tc>
      </w:tr>
      <w:tr w:rsidR="00866EB6" w:rsidRPr="007F5D87" w:rsidTr="00984E42">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auto" w:fill="9CC2E5" w:themeFill="accent1" w:themeFillTint="99"/>
            <w:noWrap/>
            <w:vAlign w:val="center"/>
          </w:tcPr>
          <w:p w:rsidR="00866EB6" w:rsidRPr="007F5D87" w:rsidRDefault="00A30627" w:rsidP="006A75D0">
            <w:pPr>
              <w:jc w:val="left"/>
              <w:rPr>
                <w:sz w:val="16"/>
                <w:szCs w:val="16"/>
              </w:rPr>
            </w:pPr>
            <w:r>
              <w:rPr>
                <w:b/>
                <w:sz w:val="16"/>
                <w:szCs w:val="16"/>
              </w:rPr>
              <w:t>BCI Subtotal  Outcome 2</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688 000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194 500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224 500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169 500</w:t>
            </w:r>
          </w:p>
        </w:tc>
        <w:tc>
          <w:tcPr>
            <w:tcW w:w="923"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99 500</w:t>
            </w:r>
          </w:p>
        </w:tc>
        <w:tc>
          <w:tcPr>
            <w:tcW w:w="636" w:type="dxa"/>
            <w:shd w:val="clear" w:color="auto" w:fill="9CC2E5" w:themeFill="accent1" w:themeFillTint="99"/>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40"/>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RÉSULTAT 2</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5 128</w:t>
            </w:r>
            <w:r w:rsidR="00866EB6">
              <w:rPr>
                <w:b/>
                <w:bCs/>
                <w:sz w:val="16"/>
                <w:szCs w:val="16"/>
              </w:rPr>
              <w:t> 000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1 377 00</w:t>
            </w:r>
            <w:r w:rsidR="00866EB6">
              <w:rPr>
                <w:b/>
                <w:bCs/>
                <w:sz w:val="16"/>
                <w:szCs w:val="16"/>
              </w:rPr>
              <w:t>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1 710 0</w:t>
            </w:r>
            <w:r w:rsidR="00866EB6">
              <w:rPr>
                <w:b/>
                <w:bCs/>
                <w:sz w:val="16"/>
                <w:szCs w:val="16"/>
              </w:rPr>
              <w:t>00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1 340 0</w:t>
            </w:r>
            <w:r w:rsidR="00866EB6">
              <w:rPr>
                <w:b/>
                <w:bCs/>
                <w:sz w:val="16"/>
                <w:szCs w:val="16"/>
              </w:rPr>
              <w:t>00</w:t>
            </w:r>
          </w:p>
        </w:tc>
        <w:tc>
          <w:tcPr>
            <w:tcW w:w="923" w:type="dxa"/>
            <w:shd w:val="clear" w:color="000000" w:fill="C0C0C0"/>
            <w:vAlign w:val="center"/>
            <w:hideMark/>
          </w:tcPr>
          <w:p w:rsidR="00866EB6" w:rsidRPr="007F5D87" w:rsidRDefault="00984E42" w:rsidP="006A75D0">
            <w:pPr>
              <w:jc w:val="right"/>
              <w:rPr>
                <w:b/>
                <w:bCs/>
                <w:sz w:val="16"/>
                <w:szCs w:val="16"/>
              </w:rPr>
            </w:pPr>
            <w:r>
              <w:rPr>
                <w:b/>
                <w:bCs/>
                <w:sz w:val="16"/>
                <w:szCs w:val="16"/>
              </w:rPr>
              <w:t>701 0</w:t>
            </w:r>
            <w:r w:rsidR="00866EB6">
              <w:rPr>
                <w:b/>
                <w:bCs/>
                <w:sz w:val="16"/>
                <w:szCs w:val="16"/>
              </w:rPr>
              <w:t>00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84"/>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Gestion de projet</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527F96" w:rsidRDefault="00866EB6" w:rsidP="006A75D0">
            <w:pPr>
              <w:jc w:val="right"/>
              <w:rPr>
                <w:sz w:val="16"/>
                <w:szCs w:val="16"/>
              </w:rPr>
            </w:pPr>
            <w:r>
              <w:rPr>
                <w:sz w:val="16"/>
                <w:szCs w:val="17"/>
              </w:rPr>
              <w:t>209 000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23"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636" w:type="dxa"/>
            <w:shd w:val="clear" w:color="auto" w:fill="auto"/>
            <w:noWrap/>
            <w:vAlign w:val="center"/>
            <w:hideMark/>
          </w:tcPr>
          <w:p w:rsidR="00866EB6" w:rsidRPr="00527F96" w:rsidRDefault="00866EB6" w:rsidP="006A75D0">
            <w:pPr>
              <w:jc w:val="center"/>
              <w:rPr>
                <w:i/>
                <w:iCs/>
                <w:sz w:val="16"/>
                <w:szCs w:val="16"/>
              </w:rPr>
            </w:pPr>
            <w:r>
              <w:rPr>
                <w:i/>
                <w:iCs/>
                <w:sz w:val="16"/>
                <w:szCs w:val="16"/>
              </w:rPr>
              <w:t>v</w:t>
            </w:r>
          </w:p>
        </w:tc>
      </w:tr>
      <w:tr w:rsidR="00866EB6" w:rsidRPr="007F5D87" w:rsidTr="006A75D0">
        <w:trPr>
          <w:trHeight w:val="184"/>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527F96" w:rsidRDefault="00866EB6" w:rsidP="006A75D0">
            <w:pPr>
              <w:jc w:val="left"/>
              <w:rPr>
                <w:sz w:val="16"/>
                <w:szCs w:val="16"/>
              </w:rPr>
            </w:pPr>
            <w:r>
              <w:rPr>
                <w:sz w:val="16"/>
                <w:szCs w:val="16"/>
              </w:rPr>
              <w:t>MEDD</w:t>
            </w:r>
          </w:p>
        </w:tc>
        <w:tc>
          <w:tcPr>
            <w:tcW w:w="702" w:type="dxa"/>
            <w:shd w:val="clear" w:color="auto" w:fill="auto"/>
            <w:vAlign w:val="center"/>
          </w:tcPr>
          <w:p w:rsidR="00866EB6" w:rsidRPr="00527F96"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527F96"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527F96" w:rsidRDefault="00866EB6" w:rsidP="006A75D0">
            <w:pPr>
              <w:jc w:val="center"/>
              <w:rPr>
                <w:sz w:val="16"/>
                <w:szCs w:val="16"/>
              </w:rPr>
            </w:pPr>
            <w:r>
              <w:rPr>
                <w:sz w:val="16"/>
                <w:szCs w:val="16"/>
              </w:rPr>
              <w:t>74100</w:t>
            </w:r>
          </w:p>
        </w:tc>
        <w:tc>
          <w:tcPr>
            <w:tcW w:w="2574" w:type="dxa"/>
            <w:shd w:val="clear" w:color="auto" w:fill="auto"/>
            <w:noWrap/>
            <w:vAlign w:val="center"/>
          </w:tcPr>
          <w:p w:rsidR="00866EB6" w:rsidRPr="00527F96" w:rsidRDefault="00866EB6" w:rsidP="006A75D0">
            <w:pPr>
              <w:jc w:val="left"/>
              <w:rPr>
                <w:sz w:val="16"/>
                <w:szCs w:val="16"/>
              </w:rPr>
            </w:pPr>
            <w:r>
              <w:rPr>
                <w:sz w:val="16"/>
                <w:szCs w:val="16"/>
              </w:rPr>
              <w:t>Services professionnels (audits)</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16 000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w</w:t>
            </w:r>
          </w:p>
        </w:tc>
      </w:tr>
      <w:tr w:rsidR="00866EB6" w:rsidRPr="007F5D87" w:rsidTr="006A75D0">
        <w:trPr>
          <w:trHeight w:val="184"/>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527F96" w:rsidRDefault="00866EB6" w:rsidP="006A75D0">
            <w:pPr>
              <w:jc w:val="left"/>
              <w:rPr>
                <w:sz w:val="16"/>
                <w:szCs w:val="16"/>
              </w:rPr>
            </w:pPr>
            <w:r>
              <w:rPr>
                <w:sz w:val="16"/>
                <w:szCs w:val="16"/>
              </w:rPr>
              <w:t>MEDD</w:t>
            </w:r>
          </w:p>
        </w:tc>
        <w:tc>
          <w:tcPr>
            <w:tcW w:w="702" w:type="dxa"/>
            <w:shd w:val="clear" w:color="auto" w:fill="auto"/>
            <w:vAlign w:val="center"/>
          </w:tcPr>
          <w:p w:rsidR="00866EB6" w:rsidRPr="00527F96"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527F96"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527F96" w:rsidRDefault="00866EB6" w:rsidP="006A75D0">
            <w:pPr>
              <w:jc w:val="center"/>
              <w:rPr>
                <w:sz w:val="16"/>
                <w:szCs w:val="16"/>
              </w:rPr>
            </w:pPr>
            <w:r>
              <w:rPr>
                <w:sz w:val="16"/>
                <w:szCs w:val="16"/>
              </w:rPr>
              <w:t>74596</w:t>
            </w:r>
          </w:p>
        </w:tc>
        <w:tc>
          <w:tcPr>
            <w:tcW w:w="2574" w:type="dxa"/>
            <w:shd w:val="clear" w:color="auto" w:fill="auto"/>
            <w:noWrap/>
            <w:vAlign w:val="center"/>
          </w:tcPr>
          <w:p w:rsidR="00866EB6" w:rsidRPr="00527F96" w:rsidRDefault="00866EB6" w:rsidP="006A75D0">
            <w:pPr>
              <w:jc w:val="left"/>
              <w:rPr>
                <w:sz w:val="16"/>
                <w:szCs w:val="16"/>
              </w:rPr>
            </w:pPr>
            <w:r>
              <w:rPr>
                <w:sz w:val="16"/>
                <w:szCs w:val="16"/>
              </w:rPr>
              <w:t>Coûts directs du projet</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35 000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x</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000000" w:fill="CCFFCC"/>
            <w:noWrap/>
            <w:vAlign w:val="center"/>
            <w:hideMark/>
          </w:tcPr>
          <w:p w:rsidR="00866EB6" w:rsidRPr="007F5D87" w:rsidRDefault="00866EB6" w:rsidP="006A75D0">
            <w:pPr>
              <w:jc w:val="left"/>
              <w:rPr>
                <w:sz w:val="16"/>
                <w:szCs w:val="16"/>
              </w:rPr>
            </w:pPr>
            <w:r>
              <w:rPr>
                <w:b/>
                <w:bCs/>
                <w:sz w:val="16"/>
                <w:szCs w:val="16"/>
              </w:rPr>
              <w:t>Sous-total gestion de projet Atlas FEM</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260 000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23"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636" w:type="dxa"/>
            <w:shd w:val="clear" w:color="000000" w:fill="CCFFCC"/>
            <w:noWrap/>
            <w:vAlign w:val="center"/>
            <w:hideMark/>
          </w:tcPr>
          <w:p w:rsidR="00866EB6" w:rsidRPr="00527F96" w:rsidRDefault="00866EB6" w:rsidP="006A75D0">
            <w:pPr>
              <w:jc w:val="center"/>
              <w:rPr>
                <w:i/>
                <w:iCs/>
                <w:sz w:val="16"/>
                <w:szCs w:val="16"/>
              </w:rPr>
            </w:pPr>
            <w:r>
              <w:rPr>
                <w:i/>
                <w:iCs/>
                <w:sz w:val="16"/>
                <w:szCs w:val="16"/>
              </w:rPr>
              <w:t> </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PNUD</w:t>
            </w:r>
            <w:r w:rsidR="00866EB6">
              <w:rPr>
                <w:sz w:val="16"/>
                <w:szCs w:val="16"/>
              </w:rPr>
              <w:t xml:space="preserve"> 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260 000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y</w:t>
            </w:r>
          </w:p>
        </w:tc>
      </w:tr>
      <w:tr w:rsidR="009218B8" w:rsidRPr="007F5D87" w:rsidTr="009218B8">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6927" w:type="dxa"/>
            <w:gridSpan w:val="5"/>
            <w:shd w:val="clear" w:color="auto" w:fill="F7CAAC" w:themeFill="accent2" w:themeFillTint="66"/>
            <w:vAlign w:val="center"/>
          </w:tcPr>
          <w:p w:rsidR="009218B8" w:rsidRDefault="009218B8" w:rsidP="006A75D0">
            <w:pPr>
              <w:jc w:val="left"/>
              <w:rPr>
                <w:sz w:val="16"/>
                <w:szCs w:val="16"/>
              </w:rPr>
            </w:pPr>
            <w:r>
              <w:rPr>
                <w:b/>
                <w:bCs/>
                <w:sz w:val="16"/>
                <w:szCs w:val="16"/>
              </w:rPr>
              <w:t>Sous-total gestion de projet Atlas TRAC</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260 000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23"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636" w:type="dxa"/>
            <w:shd w:val="clear" w:color="auto" w:fill="F7CAAC" w:themeFill="accent2" w:themeFillTint="66"/>
            <w:noWrap/>
            <w:vAlign w:val="center"/>
          </w:tcPr>
          <w:p w:rsidR="009218B8" w:rsidRDefault="009218B8" w:rsidP="006A75D0">
            <w:pPr>
              <w:jc w:val="center"/>
              <w:rPr>
                <w:i/>
                <w:iCs/>
                <w:sz w:val="16"/>
                <w:szCs w:val="16"/>
              </w:rPr>
            </w:pPr>
          </w:p>
        </w:tc>
      </w:tr>
      <w:tr w:rsidR="009218B8" w:rsidRPr="007F5D87" w:rsidTr="006A75D0">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952" w:type="dxa"/>
            <w:shd w:val="clear" w:color="auto" w:fill="auto"/>
            <w:vAlign w:val="center"/>
          </w:tcPr>
          <w:p w:rsidR="009218B8" w:rsidRDefault="009218B8" w:rsidP="006A75D0">
            <w:pPr>
              <w:jc w:val="left"/>
              <w:rPr>
                <w:sz w:val="16"/>
                <w:szCs w:val="16"/>
              </w:rPr>
            </w:pPr>
          </w:p>
        </w:tc>
        <w:tc>
          <w:tcPr>
            <w:tcW w:w="702" w:type="dxa"/>
            <w:shd w:val="clear" w:color="auto" w:fill="auto"/>
            <w:vAlign w:val="center"/>
          </w:tcPr>
          <w:p w:rsidR="009218B8" w:rsidRDefault="009218B8" w:rsidP="006A75D0">
            <w:pPr>
              <w:jc w:val="center"/>
              <w:rPr>
                <w:sz w:val="16"/>
                <w:szCs w:val="16"/>
              </w:rPr>
            </w:pPr>
          </w:p>
        </w:tc>
        <w:tc>
          <w:tcPr>
            <w:tcW w:w="1838" w:type="dxa"/>
            <w:shd w:val="clear" w:color="auto" w:fill="auto"/>
            <w:noWrap/>
            <w:vAlign w:val="center"/>
          </w:tcPr>
          <w:p w:rsidR="009218B8" w:rsidRDefault="009218B8" w:rsidP="006A75D0">
            <w:pPr>
              <w:jc w:val="center"/>
              <w:rPr>
                <w:sz w:val="16"/>
                <w:szCs w:val="16"/>
              </w:rPr>
            </w:pPr>
            <w:r w:rsidRPr="009218B8">
              <w:rPr>
                <w:sz w:val="16"/>
                <w:szCs w:val="16"/>
              </w:rPr>
              <w:t>BCI</w:t>
            </w:r>
          </w:p>
        </w:tc>
        <w:tc>
          <w:tcPr>
            <w:tcW w:w="861" w:type="dxa"/>
            <w:shd w:val="clear" w:color="auto" w:fill="auto"/>
            <w:noWrap/>
            <w:vAlign w:val="center"/>
          </w:tcPr>
          <w:p w:rsidR="009218B8" w:rsidRDefault="009218B8" w:rsidP="006A75D0">
            <w:pPr>
              <w:jc w:val="center"/>
              <w:rPr>
                <w:sz w:val="16"/>
                <w:szCs w:val="16"/>
              </w:rPr>
            </w:pPr>
          </w:p>
        </w:tc>
        <w:tc>
          <w:tcPr>
            <w:tcW w:w="2574" w:type="dxa"/>
            <w:shd w:val="clear" w:color="auto" w:fill="auto"/>
            <w:noWrap/>
            <w:vAlign w:val="center"/>
          </w:tcPr>
          <w:p w:rsidR="009218B8" w:rsidRDefault="00A30627" w:rsidP="006A75D0">
            <w:pPr>
              <w:jc w:val="left"/>
              <w:rPr>
                <w:sz w:val="16"/>
                <w:szCs w:val="16"/>
              </w:rPr>
            </w:pPr>
            <w:r w:rsidRPr="009218B8">
              <w:rPr>
                <w:sz w:val="16"/>
                <w:szCs w:val="16"/>
              </w:rPr>
              <w:t>Autres</w:t>
            </w:r>
            <w:r w:rsidR="009218B8" w:rsidRPr="009218B8">
              <w:rPr>
                <w:sz w:val="16"/>
                <w:szCs w:val="16"/>
              </w:rPr>
              <w:t xml:space="preserve"> prestations de services</w:t>
            </w:r>
          </w:p>
        </w:tc>
        <w:tc>
          <w:tcPr>
            <w:tcW w:w="986" w:type="dxa"/>
            <w:shd w:val="clear" w:color="000000" w:fill="FFFFCC"/>
            <w:noWrap/>
            <w:vAlign w:val="center"/>
          </w:tcPr>
          <w:p w:rsidR="009218B8" w:rsidRDefault="009218B8" w:rsidP="006A75D0">
            <w:pPr>
              <w:jc w:val="right"/>
              <w:rPr>
                <w:sz w:val="16"/>
                <w:szCs w:val="17"/>
              </w:rPr>
            </w:pPr>
            <w:r>
              <w:rPr>
                <w:sz w:val="16"/>
                <w:szCs w:val="17"/>
              </w:rPr>
              <w:t>20 000</w:t>
            </w:r>
          </w:p>
        </w:tc>
        <w:tc>
          <w:tcPr>
            <w:tcW w:w="986" w:type="dxa"/>
            <w:shd w:val="clear" w:color="auto" w:fill="auto"/>
            <w:noWrap/>
            <w:vAlign w:val="center"/>
          </w:tcPr>
          <w:p w:rsidR="009218B8" w:rsidRDefault="009218B8" w:rsidP="006A75D0">
            <w:pPr>
              <w:jc w:val="right"/>
              <w:rPr>
                <w:sz w:val="16"/>
                <w:szCs w:val="17"/>
              </w:rPr>
            </w:pPr>
            <w:r>
              <w:rPr>
                <w:sz w:val="16"/>
                <w:szCs w:val="17"/>
              </w:rPr>
              <w:t>2 500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23" w:type="dxa"/>
            <w:shd w:val="clear" w:color="auto" w:fill="auto"/>
            <w:noWrap/>
            <w:vAlign w:val="center"/>
          </w:tcPr>
          <w:p w:rsidR="009218B8" w:rsidRDefault="00695AC0" w:rsidP="006A75D0">
            <w:pPr>
              <w:jc w:val="right"/>
              <w:rPr>
                <w:sz w:val="16"/>
                <w:szCs w:val="17"/>
              </w:rPr>
            </w:pPr>
            <w:r>
              <w:rPr>
                <w:sz w:val="16"/>
                <w:szCs w:val="17"/>
              </w:rPr>
              <w:t>7 5</w:t>
            </w:r>
            <w:r w:rsidR="009218B8">
              <w:rPr>
                <w:sz w:val="16"/>
                <w:szCs w:val="17"/>
              </w:rPr>
              <w:t>00</w:t>
            </w:r>
          </w:p>
        </w:tc>
        <w:tc>
          <w:tcPr>
            <w:tcW w:w="636" w:type="dxa"/>
            <w:shd w:val="clear" w:color="auto" w:fill="auto"/>
            <w:noWrap/>
            <w:vAlign w:val="center"/>
          </w:tcPr>
          <w:p w:rsidR="009218B8" w:rsidRDefault="009218B8" w:rsidP="006A75D0">
            <w:pPr>
              <w:jc w:val="center"/>
              <w:rPr>
                <w:i/>
                <w:iCs/>
                <w:sz w:val="16"/>
                <w:szCs w:val="16"/>
              </w:rPr>
            </w:pPr>
          </w:p>
        </w:tc>
      </w:tr>
      <w:tr w:rsidR="009218B8" w:rsidRPr="007F5D87" w:rsidTr="006A75D0">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952" w:type="dxa"/>
            <w:shd w:val="clear" w:color="auto" w:fill="auto"/>
            <w:vAlign w:val="center"/>
          </w:tcPr>
          <w:p w:rsidR="009218B8" w:rsidRDefault="009218B8" w:rsidP="006A75D0">
            <w:pPr>
              <w:jc w:val="left"/>
              <w:rPr>
                <w:sz w:val="16"/>
                <w:szCs w:val="16"/>
              </w:rPr>
            </w:pPr>
          </w:p>
        </w:tc>
        <w:tc>
          <w:tcPr>
            <w:tcW w:w="702" w:type="dxa"/>
            <w:shd w:val="clear" w:color="auto" w:fill="auto"/>
            <w:vAlign w:val="center"/>
          </w:tcPr>
          <w:p w:rsidR="009218B8" w:rsidRDefault="009218B8" w:rsidP="006A75D0">
            <w:pPr>
              <w:jc w:val="center"/>
              <w:rPr>
                <w:sz w:val="16"/>
                <w:szCs w:val="16"/>
              </w:rPr>
            </w:pPr>
          </w:p>
        </w:tc>
        <w:tc>
          <w:tcPr>
            <w:tcW w:w="1838" w:type="dxa"/>
            <w:shd w:val="clear" w:color="auto" w:fill="auto"/>
            <w:noWrap/>
            <w:vAlign w:val="center"/>
          </w:tcPr>
          <w:p w:rsidR="009218B8" w:rsidRDefault="009218B8" w:rsidP="006A75D0">
            <w:pPr>
              <w:jc w:val="center"/>
              <w:rPr>
                <w:sz w:val="16"/>
                <w:szCs w:val="16"/>
              </w:rPr>
            </w:pPr>
            <w:r w:rsidRPr="009218B8">
              <w:rPr>
                <w:sz w:val="16"/>
                <w:szCs w:val="16"/>
              </w:rPr>
              <w:t>BCI</w:t>
            </w:r>
          </w:p>
        </w:tc>
        <w:tc>
          <w:tcPr>
            <w:tcW w:w="861" w:type="dxa"/>
            <w:shd w:val="clear" w:color="auto" w:fill="auto"/>
            <w:noWrap/>
            <w:vAlign w:val="center"/>
          </w:tcPr>
          <w:p w:rsidR="009218B8" w:rsidRDefault="009218B8" w:rsidP="006A75D0">
            <w:pPr>
              <w:jc w:val="center"/>
              <w:rPr>
                <w:sz w:val="16"/>
                <w:szCs w:val="16"/>
              </w:rPr>
            </w:pPr>
          </w:p>
        </w:tc>
        <w:tc>
          <w:tcPr>
            <w:tcW w:w="2574" w:type="dxa"/>
            <w:shd w:val="clear" w:color="auto" w:fill="auto"/>
            <w:noWrap/>
            <w:vAlign w:val="center"/>
          </w:tcPr>
          <w:p w:rsidR="009218B8" w:rsidRDefault="00A30627" w:rsidP="006A75D0">
            <w:pPr>
              <w:jc w:val="left"/>
              <w:rPr>
                <w:sz w:val="16"/>
                <w:szCs w:val="16"/>
              </w:rPr>
            </w:pPr>
            <w:r w:rsidRPr="009218B8">
              <w:rPr>
                <w:sz w:val="16"/>
                <w:szCs w:val="16"/>
              </w:rPr>
              <w:t>matériels</w:t>
            </w:r>
            <w:r w:rsidR="009218B8" w:rsidRPr="009218B8">
              <w:rPr>
                <w:sz w:val="16"/>
                <w:szCs w:val="16"/>
              </w:rPr>
              <w:t xml:space="preserve"> et produits d'entretien</w:t>
            </w:r>
          </w:p>
        </w:tc>
        <w:tc>
          <w:tcPr>
            <w:tcW w:w="986" w:type="dxa"/>
            <w:shd w:val="clear" w:color="000000" w:fill="FFFFCC"/>
            <w:noWrap/>
            <w:vAlign w:val="center"/>
          </w:tcPr>
          <w:p w:rsidR="009218B8" w:rsidRDefault="009218B8" w:rsidP="006A75D0">
            <w:pPr>
              <w:jc w:val="right"/>
              <w:rPr>
                <w:sz w:val="16"/>
                <w:szCs w:val="17"/>
              </w:rPr>
            </w:pPr>
            <w:r>
              <w:rPr>
                <w:sz w:val="16"/>
                <w:szCs w:val="17"/>
              </w:rPr>
              <w:t>10 000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86" w:type="dxa"/>
            <w:shd w:val="clear" w:color="auto" w:fill="auto"/>
            <w:noWrap/>
            <w:vAlign w:val="center"/>
          </w:tcPr>
          <w:p w:rsidR="009218B8" w:rsidRDefault="009218B8" w:rsidP="006A75D0">
            <w:pPr>
              <w:jc w:val="right"/>
              <w:rPr>
                <w:sz w:val="16"/>
                <w:szCs w:val="17"/>
              </w:rPr>
            </w:pPr>
            <w:r>
              <w:rPr>
                <w:sz w:val="16"/>
                <w:szCs w:val="17"/>
              </w:rPr>
              <w:t>2 000</w:t>
            </w:r>
          </w:p>
        </w:tc>
        <w:tc>
          <w:tcPr>
            <w:tcW w:w="986" w:type="dxa"/>
            <w:shd w:val="clear" w:color="auto" w:fill="auto"/>
            <w:noWrap/>
            <w:vAlign w:val="center"/>
          </w:tcPr>
          <w:p w:rsidR="009218B8" w:rsidRDefault="009218B8" w:rsidP="006A75D0">
            <w:pPr>
              <w:jc w:val="right"/>
              <w:rPr>
                <w:sz w:val="16"/>
                <w:szCs w:val="17"/>
              </w:rPr>
            </w:pPr>
            <w:r>
              <w:rPr>
                <w:sz w:val="16"/>
                <w:szCs w:val="17"/>
              </w:rPr>
              <w:t>1 500</w:t>
            </w:r>
          </w:p>
        </w:tc>
        <w:tc>
          <w:tcPr>
            <w:tcW w:w="923" w:type="dxa"/>
            <w:shd w:val="clear" w:color="auto" w:fill="auto"/>
            <w:noWrap/>
            <w:vAlign w:val="center"/>
          </w:tcPr>
          <w:p w:rsidR="009218B8" w:rsidRDefault="009218B8" w:rsidP="006A75D0">
            <w:pPr>
              <w:jc w:val="right"/>
              <w:rPr>
                <w:sz w:val="16"/>
                <w:szCs w:val="17"/>
              </w:rPr>
            </w:pPr>
            <w:r>
              <w:rPr>
                <w:sz w:val="16"/>
                <w:szCs w:val="17"/>
              </w:rPr>
              <w:t>1 500</w:t>
            </w:r>
          </w:p>
        </w:tc>
        <w:tc>
          <w:tcPr>
            <w:tcW w:w="636" w:type="dxa"/>
            <w:shd w:val="clear" w:color="auto" w:fill="auto"/>
            <w:noWrap/>
            <w:vAlign w:val="center"/>
          </w:tcPr>
          <w:p w:rsidR="009218B8" w:rsidRDefault="009218B8" w:rsidP="006A75D0">
            <w:pPr>
              <w:jc w:val="center"/>
              <w:rPr>
                <w:i/>
                <w:iCs/>
                <w:sz w:val="16"/>
                <w:szCs w:val="16"/>
              </w:rPr>
            </w:pPr>
          </w:p>
        </w:tc>
      </w:tr>
      <w:tr w:rsidR="00866EB6" w:rsidRPr="007F5D87" w:rsidTr="009218B8">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auto" w:fill="BDD6EE" w:themeFill="accent1" w:themeFillTint="66"/>
            <w:noWrap/>
            <w:vAlign w:val="center"/>
            <w:hideMark/>
          </w:tcPr>
          <w:p w:rsidR="00866EB6" w:rsidRPr="007F5D87" w:rsidRDefault="00695AC0" w:rsidP="006A75D0">
            <w:pPr>
              <w:jc w:val="left"/>
              <w:rPr>
                <w:sz w:val="16"/>
                <w:szCs w:val="16"/>
              </w:rPr>
            </w:pPr>
            <w:r>
              <w:rPr>
                <w:b/>
                <w:bCs/>
                <w:sz w:val="16"/>
                <w:szCs w:val="16"/>
              </w:rPr>
              <w:t>Sous-total gestion de projet BCI</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30 000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7 500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7 000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6 500</w:t>
            </w:r>
          </w:p>
        </w:tc>
        <w:tc>
          <w:tcPr>
            <w:tcW w:w="923" w:type="dxa"/>
            <w:shd w:val="clear" w:color="auto" w:fill="BDD6EE" w:themeFill="accent1" w:themeFillTint="66"/>
            <w:vAlign w:val="center"/>
            <w:hideMark/>
          </w:tcPr>
          <w:p w:rsidR="00866EB6" w:rsidRPr="00695AC0" w:rsidRDefault="00695AC0" w:rsidP="006A75D0">
            <w:pPr>
              <w:jc w:val="right"/>
              <w:rPr>
                <w:b/>
                <w:sz w:val="16"/>
                <w:szCs w:val="16"/>
              </w:rPr>
            </w:pPr>
            <w:r w:rsidRPr="00695AC0">
              <w:rPr>
                <w:b/>
                <w:sz w:val="16"/>
                <w:szCs w:val="16"/>
              </w:rPr>
              <w:t>9 000</w:t>
            </w:r>
          </w:p>
        </w:tc>
        <w:tc>
          <w:tcPr>
            <w:tcW w:w="636" w:type="dxa"/>
            <w:shd w:val="clear" w:color="auto" w:fill="BDD6EE" w:themeFill="accent1" w:themeFillTint="66"/>
            <w:noWrap/>
            <w:vAlign w:val="center"/>
            <w:hideMark/>
          </w:tcPr>
          <w:p w:rsidR="00866EB6" w:rsidRPr="00695AC0" w:rsidRDefault="00866EB6" w:rsidP="006A75D0">
            <w:pPr>
              <w:jc w:val="center"/>
              <w:rPr>
                <w:b/>
                <w:i/>
                <w:iCs/>
                <w:sz w:val="16"/>
                <w:szCs w:val="16"/>
              </w:rPr>
            </w:pPr>
            <w:r w:rsidRPr="00695AC0">
              <w:rPr>
                <w:b/>
                <w:i/>
                <w:iCs/>
                <w:sz w:val="16"/>
                <w:szCs w:val="16"/>
              </w:rPr>
              <w:t> </w:t>
            </w:r>
          </w:p>
        </w:tc>
      </w:tr>
      <w:tr w:rsidR="00866EB6" w:rsidRPr="007F5D87" w:rsidTr="006A75D0">
        <w:trPr>
          <w:trHeight w:val="184"/>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Gestion de projet</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55</w:t>
            </w:r>
            <w:r w:rsidR="00866EB6">
              <w:rPr>
                <w:b/>
                <w:bCs/>
                <w:sz w:val="16"/>
                <w:szCs w:val="17"/>
              </w:rPr>
              <w:t>0 000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137 5</w:t>
            </w:r>
            <w:r w:rsidR="00866EB6">
              <w:rPr>
                <w:b/>
                <w:bCs/>
                <w:sz w:val="16"/>
                <w:szCs w:val="17"/>
              </w:rPr>
              <w:t>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137</w:t>
            </w:r>
            <w:r w:rsidR="00866EB6">
              <w:rPr>
                <w:b/>
                <w:bCs/>
                <w:sz w:val="16"/>
                <w:szCs w:val="17"/>
              </w:rPr>
              <w:t> 000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136 5</w:t>
            </w:r>
            <w:r w:rsidR="00866EB6">
              <w:rPr>
                <w:b/>
                <w:bCs/>
                <w:sz w:val="16"/>
                <w:szCs w:val="17"/>
              </w:rPr>
              <w:t>00</w:t>
            </w:r>
          </w:p>
        </w:tc>
        <w:tc>
          <w:tcPr>
            <w:tcW w:w="923" w:type="dxa"/>
            <w:shd w:val="clear" w:color="000000" w:fill="C0C0C0"/>
            <w:vAlign w:val="center"/>
            <w:hideMark/>
          </w:tcPr>
          <w:p w:rsidR="00866EB6" w:rsidRPr="007F5D87" w:rsidRDefault="00695AC0" w:rsidP="006A75D0">
            <w:pPr>
              <w:jc w:val="right"/>
              <w:rPr>
                <w:b/>
                <w:bCs/>
                <w:sz w:val="16"/>
                <w:szCs w:val="16"/>
              </w:rPr>
            </w:pPr>
            <w:r>
              <w:rPr>
                <w:b/>
                <w:bCs/>
                <w:sz w:val="16"/>
                <w:szCs w:val="17"/>
              </w:rPr>
              <w:t>139</w:t>
            </w:r>
            <w:r w:rsidR="00866EB6">
              <w:rPr>
                <w:b/>
                <w:bCs/>
                <w:sz w:val="16"/>
                <w:szCs w:val="17"/>
              </w:rPr>
              <w:t> 000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72"/>
        </w:trPr>
        <w:tc>
          <w:tcPr>
            <w:tcW w:w="1458" w:type="dxa"/>
            <w:shd w:val="clear" w:color="auto" w:fill="auto"/>
            <w:noWrap/>
            <w:vAlign w:val="center"/>
            <w:hideMark/>
          </w:tcPr>
          <w:p w:rsidR="00866EB6" w:rsidRPr="007F5D87" w:rsidRDefault="00866EB6" w:rsidP="006A75D0">
            <w:pPr>
              <w:jc w:val="left"/>
              <w:rPr>
                <w:sz w:val="16"/>
                <w:szCs w:val="16"/>
              </w:rPr>
            </w:pPr>
            <w:r>
              <w:rPr>
                <w:sz w:val="16"/>
                <w:szCs w:val="16"/>
              </w:rPr>
              <w:t xml:space="preserve"> </w:t>
            </w:r>
          </w:p>
        </w:tc>
        <w:tc>
          <w:tcPr>
            <w:tcW w:w="952" w:type="dxa"/>
            <w:shd w:val="clear" w:color="auto" w:fill="auto"/>
            <w:noWrap/>
            <w:vAlign w:val="center"/>
            <w:hideMark/>
          </w:tcPr>
          <w:p w:rsidR="00866EB6" w:rsidRPr="007F5D87" w:rsidRDefault="00866EB6" w:rsidP="006A75D0">
            <w:pPr>
              <w:jc w:val="left"/>
              <w:rPr>
                <w:sz w:val="16"/>
                <w:szCs w:val="16"/>
                <w:lang w:eastAsia="en-GB"/>
              </w:rPr>
            </w:pPr>
          </w:p>
        </w:tc>
        <w:tc>
          <w:tcPr>
            <w:tcW w:w="702" w:type="dxa"/>
            <w:shd w:val="clear" w:color="auto" w:fill="auto"/>
            <w:noWrap/>
            <w:vAlign w:val="center"/>
            <w:hideMark/>
          </w:tcPr>
          <w:p w:rsidR="00866EB6" w:rsidRPr="007F5D87" w:rsidRDefault="00866EB6" w:rsidP="006A75D0">
            <w:pPr>
              <w:jc w:val="left"/>
              <w:rPr>
                <w:sz w:val="16"/>
                <w:szCs w:val="16"/>
                <w:lang w:eastAsia="en-GB"/>
              </w:rPr>
            </w:pPr>
          </w:p>
        </w:tc>
        <w:tc>
          <w:tcPr>
            <w:tcW w:w="1838" w:type="dxa"/>
            <w:shd w:val="clear" w:color="auto" w:fill="auto"/>
            <w:noWrap/>
            <w:vAlign w:val="center"/>
            <w:hideMark/>
          </w:tcPr>
          <w:p w:rsidR="00866EB6" w:rsidRPr="007F5D87" w:rsidRDefault="00866EB6" w:rsidP="006A75D0">
            <w:pPr>
              <w:jc w:val="center"/>
              <w:rPr>
                <w:sz w:val="16"/>
                <w:szCs w:val="16"/>
                <w:lang w:eastAsia="en-GB"/>
              </w:rPr>
            </w:pPr>
          </w:p>
        </w:tc>
        <w:tc>
          <w:tcPr>
            <w:tcW w:w="861" w:type="dxa"/>
            <w:shd w:val="clear" w:color="auto" w:fill="auto"/>
            <w:noWrap/>
            <w:vAlign w:val="center"/>
            <w:hideMark/>
          </w:tcPr>
          <w:p w:rsidR="00866EB6" w:rsidRPr="007F5D87" w:rsidRDefault="00866EB6" w:rsidP="006A75D0">
            <w:pPr>
              <w:jc w:val="center"/>
              <w:rPr>
                <w:sz w:val="16"/>
                <w:szCs w:val="16"/>
                <w:lang w:eastAsia="en-GB"/>
              </w:rPr>
            </w:pPr>
          </w:p>
        </w:tc>
        <w:tc>
          <w:tcPr>
            <w:tcW w:w="2574" w:type="dxa"/>
            <w:shd w:val="clear" w:color="auto" w:fill="auto"/>
            <w:noWrap/>
            <w:vAlign w:val="center"/>
            <w:hideMark/>
          </w:tcPr>
          <w:p w:rsidR="00866EB6" w:rsidRPr="007F5D87" w:rsidRDefault="00866EB6" w:rsidP="006A75D0">
            <w:pPr>
              <w:jc w:val="left"/>
              <w:rPr>
                <w:sz w:val="16"/>
                <w:szCs w:val="16"/>
                <w:lang w:eastAsia="en-GB"/>
              </w:rPr>
            </w:pPr>
          </w:p>
        </w:tc>
        <w:tc>
          <w:tcPr>
            <w:tcW w:w="986" w:type="dxa"/>
            <w:shd w:val="clear" w:color="auto" w:fill="auto"/>
            <w:noWrap/>
            <w:vAlign w:val="center"/>
            <w:hideMark/>
          </w:tcPr>
          <w:p w:rsidR="00866EB6" w:rsidRPr="007F5D87" w:rsidRDefault="00866EB6" w:rsidP="006A75D0">
            <w:pPr>
              <w:jc w:val="lef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lang w:eastAsia="en-GB"/>
              </w:rPr>
            </w:pPr>
          </w:p>
        </w:tc>
      </w:tr>
      <w:tr w:rsidR="00866EB6" w:rsidRPr="007F5D87" w:rsidTr="006A75D0">
        <w:trPr>
          <w:trHeight w:val="172"/>
        </w:trPr>
        <w:tc>
          <w:tcPr>
            <w:tcW w:w="8385" w:type="dxa"/>
            <w:gridSpan w:val="6"/>
            <w:shd w:val="clear" w:color="auto" w:fill="CCFFCC"/>
            <w:noWrap/>
            <w:vAlign w:val="center"/>
            <w:hideMark/>
          </w:tcPr>
          <w:p w:rsidR="00866EB6" w:rsidRPr="007F5D87" w:rsidRDefault="00866EB6" w:rsidP="006A75D0">
            <w:pPr>
              <w:jc w:val="left"/>
              <w:rPr>
                <w:b/>
                <w:bCs/>
                <w:sz w:val="16"/>
                <w:szCs w:val="16"/>
              </w:rPr>
            </w:pPr>
            <w:r>
              <w:rPr>
                <w:b/>
                <w:bCs/>
                <w:sz w:val="16"/>
                <w:szCs w:val="16"/>
              </w:rPr>
              <w:t>TOTAL FEM</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7"/>
              </w:rPr>
              <w:t>5 460 000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1 668 620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1 799 120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1 349 140</w:t>
            </w:r>
          </w:p>
        </w:tc>
        <w:tc>
          <w:tcPr>
            <w:tcW w:w="923" w:type="dxa"/>
            <w:shd w:val="clear" w:color="000000" w:fill="CCFFCC"/>
            <w:vAlign w:val="center"/>
            <w:hideMark/>
          </w:tcPr>
          <w:p w:rsidR="00866EB6" w:rsidRPr="007F5D87" w:rsidRDefault="00866EB6" w:rsidP="006A75D0">
            <w:pPr>
              <w:jc w:val="right"/>
              <w:rPr>
                <w:b/>
                <w:bCs/>
                <w:sz w:val="16"/>
                <w:szCs w:val="16"/>
              </w:rPr>
            </w:pPr>
            <w:r>
              <w:rPr>
                <w:b/>
                <w:bCs/>
                <w:sz w:val="16"/>
                <w:szCs w:val="16"/>
              </w:rPr>
              <w:t>643 120</w:t>
            </w:r>
          </w:p>
        </w:tc>
        <w:tc>
          <w:tcPr>
            <w:tcW w:w="636" w:type="dxa"/>
            <w:shd w:val="clear" w:color="000000" w:fill="CCFFCC"/>
            <w:noWrap/>
            <w:vAlign w:val="center"/>
            <w:hideMark/>
          </w:tcPr>
          <w:p w:rsidR="00866EB6" w:rsidRPr="007F5D87" w:rsidRDefault="00866EB6" w:rsidP="006A75D0">
            <w:pPr>
              <w:jc w:val="center"/>
              <w:rPr>
                <w:b/>
                <w:bCs/>
                <w:i/>
                <w:iCs/>
                <w:sz w:val="16"/>
                <w:szCs w:val="16"/>
              </w:rPr>
            </w:pPr>
            <w:r>
              <w:rPr>
                <w:b/>
                <w:bCs/>
                <w:i/>
                <w:iCs/>
                <w:sz w:val="16"/>
                <w:szCs w:val="16"/>
              </w:rPr>
              <w:t> </w:t>
            </w:r>
          </w:p>
        </w:tc>
      </w:tr>
      <w:tr w:rsidR="00866EB6" w:rsidRPr="007F5D87" w:rsidTr="00695AC0">
        <w:trPr>
          <w:trHeight w:val="184"/>
        </w:trPr>
        <w:tc>
          <w:tcPr>
            <w:tcW w:w="8385" w:type="dxa"/>
            <w:gridSpan w:val="6"/>
            <w:shd w:val="clear" w:color="auto" w:fill="F7CAAC" w:themeFill="accent2" w:themeFillTint="66"/>
            <w:noWrap/>
            <w:vAlign w:val="center"/>
            <w:hideMark/>
          </w:tcPr>
          <w:p w:rsidR="00866EB6" w:rsidRPr="007F5D87" w:rsidRDefault="00866EB6" w:rsidP="006A75D0">
            <w:pPr>
              <w:jc w:val="left"/>
              <w:rPr>
                <w:b/>
                <w:bCs/>
                <w:sz w:val="16"/>
                <w:szCs w:val="16"/>
              </w:rPr>
            </w:pPr>
            <w:r>
              <w:rPr>
                <w:b/>
                <w:bCs/>
                <w:sz w:val="16"/>
                <w:szCs w:val="16"/>
              </w:rPr>
              <w:t>TOTAL PNUD TRAC</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500 000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137 500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142 500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97 500</w:t>
            </w:r>
          </w:p>
        </w:tc>
        <w:tc>
          <w:tcPr>
            <w:tcW w:w="923"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122 500</w:t>
            </w:r>
          </w:p>
        </w:tc>
        <w:tc>
          <w:tcPr>
            <w:tcW w:w="636" w:type="dxa"/>
            <w:shd w:val="clear" w:color="auto" w:fill="F7CAAC" w:themeFill="accent2" w:themeFillTint="66"/>
            <w:noWrap/>
            <w:vAlign w:val="center"/>
            <w:hideMark/>
          </w:tcPr>
          <w:p w:rsidR="00866EB6" w:rsidRPr="007F5D87" w:rsidRDefault="00866EB6" w:rsidP="006A75D0">
            <w:pPr>
              <w:jc w:val="center"/>
              <w:rPr>
                <w:b/>
                <w:bCs/>
                <w:i/>
                <w:iCs/>
                <w:sz w:val="16"/>
                <w:szCs w:val="16"/>
              </w:rPr>
            </w:pPr>
            <w:r>
              <w:rPr>
                <w:b/>
                <w:bCs/>
                <w:i/>
                <w:iCs/>
                <w:sz w:val="16"/>
                <w:szCs w:val="16"/>
              </w:rPr>
              <w:t> </w:t>
            </w:r>
          </w:p>
        </w:tc>
      </w:tr>
      <w:tr w:rsidR="00695AC0" w:rsidRPr="007F5D87" w:rsidTr="00695AC0">
        <w:trPr>
          <w:trHeight w:val="184"/>
        </w:trPr>
        <w:tc>
          <w:tcPr>
            <w:tcW w:w="8385" w:type="dxa"/>
            <w:gridSpan w:val="6"/>
            <w:shd w:val="clear" w:color="auto" w:fill="BDD6EE" w:themeFill="accent1" w:themeFillTint="66"/>
            <w:noWrap/>
            <w:vAlign w:val="center"/>
          </w:tcPr>
          <w:p w:rsidR="00695AC0" w:rsidRDefault="00695AC0" w:rsidP="006A75D0">
            <w:pPr>
              <w:jc w:val="left"/>
              <w:rPr>
                <w:b/>
                <w:bCs/>
                <w:sz w:val="16"/>
                <w:szCs w:val="16"/>
              </w:rPr>
            </w:pPr>
            <w:r>
              <w:rPr>
                <w:b/>
                <w:bCs/>
                <w:sz w:val="16"/>
                <w:szCs w:val="16"/>
              </w:rPr>
              <w:t>TOTAL BCI</w:t>
            </w:r>
          </w:p>
        </w:tc>
        <w:tc>
          <w:tcPr>
            <w:tcW w:w="986" w:type="dxa"/>
            <w:shd w:val="clear" w:color="auto" w:fill="BDD6EE" w:themeFill="accent1" w:themeFillTint="66"/>
            <w:vAlign w:val="center"/>
          </w:tcPr>
          <w:p w:rsidR="00695AC0" w:rsidRDefault="00707E38" w:rsidP="006A75D0">
            <w:pPr>
              <w:jc w:val="right"/>
              <w:rPr>
                <w:b/>
                <w:bCs/>
                <w:sz w:val="16"/>
                <w:szCs w:val="16"/>
              </w:rPr>
            </w:pPr>
            <w:r w:rsidRPr="0019592A">
              <w:rPr>
                <w:b/>
                <w:bCs/>
                <w:sz w:val="16"/>
                <w:szCs w:val="16"/>
                <w:highlight w:val="yellow"/>
              </w:rPr>
              <w:t>1 000 000</w:t>
            </w:r>
          </w:p>
        </w:tc>
        <w:tc>
          <w:tcPr>
            <w:tcW w:w="986" w:type="dxa"/>
            <w:shd w:val="clear" w:color="auto" w:fill="BDD6EE" w:themeFill="accent1" w:themeFillTint="66"/>
            <w:vAlign w:val="center"/>
          </w:tcPr>
          <w:p w:rsidR="00695AC0" w:rsidRDefault="00695AC0" w:rsidP="006A75D0">
            <w:pPr>
              <w:jc w:val="right"/>
              <w:rPr>
                <w:b/>
                <w:bCs/>
                <w:sz w:val="16"/>
                <w:szCs w:val="16"/>
              </w:rPr>
            </w:pPr>
            <w:r>
              <w:rPr>
                <w:b/>
                <w:bCs/>
                <w:sz w:val="16"/>
                <w:szCs w:val="16"/>
              </w:rPr>
              <w:t>322 500</w:t>
            </w:r>
          </w:p>
        </w:tc>
        <w:tc>
          <w:tcPr>
            <w:tcW w:w="986" w:type="dxa"/>
            <w:shd w:val="clear" w:color="auto" w:fill="BDD6EE" w:themeFill="accent1" w:themeFillTint="66"/>
            <w:vAlign w:val="center"/>
          </w:tcPr>
          <w:p w:rsidR="00695AC0" w:rsidRDefault="00A30627" w:rsidP="006A75D0">
            <w:pPr>
              <w:jc w:val="right"/>
              <w:rPr>
                <w:b/>
                <w:bCs/>
                <w:sz w:val="16"/>
                <w:szCs w:val="16"/>
              </w:rPr>
            </w:pPr>
            <w:r>
              <w:rPr>
                <w:b/>
                <w:bCs/>
                <w:sz w:val="16"/>
                <w:szCs w:val="16"/>
              </w:rPr>
              <w:t>312 000</w:t>
            </w:r>
          </w:p>
        </w:tc>
        <w:tc>
          <w:tcPr>
            <w:tcW w:w="986" w:type="dxa"/>
            <w:shd w:val="clear" w:color="auto" w:fill="BDD6EE" w:themeFill="accent1" w:themeFillTint="66"/>
            <w:vAlign w:val="center"/>
          </w:tcPr>
          <w:p w:rsidR="00695AC0" w:rsidRDefault="00A30627" w:rsidP="006A75D0">
            <w:pPr>
              <w:jc w:val="right"/>
              <w:rPr>
                <w:b/>
                <w:bCs/>
                <w:sz w:val="16"/>
                <w:szCs w:val="16"/>
              </w:rPr>
            </w:pPr>
            <w:r>
              <w:rPr>
                <w:b/>
                <w:bCs/>
                <w:sz w:val="16"/>
                <w:szCs w:val="16"/>
              </w:rPr>
              <w:t>216 500</w:t>
            </w:r>
          </w:p>
        </w:tc>
        <w:tc>
          <w:tcPr>
            <w:tcW w:w="923" w:type="dxa"/>
            <w:shd w:val="clear" w:color="auto" w:fill="BDD6EE" w:themeFill="accent1" w:themeFillTint="66"/>
            <w:vAlign w:val="center"/>
          </w:tcPr>
          <w:p w:rsidR="00695AC0" w:rsidRDefault="00A30627" w:rsidP="006A75D0">
            <w:pPr>
              <w:jc w:val="right"/>
              <w:rPr>
                <w:b/>
                <w:bCs/>
                <w:sz w:val="16"/>
                <w:szCs w:val="16"/>
              </w:rPr>
            </w:pPr>
            <w:r>
              <w:rPr>
                <w:b/>
                <w:bCs/>
                <w:sz w:val="16"/>
                <w:szCs w:val="16"/>
              </w:rPr>
              <w:t>149 000</w:t>
            </w:r>
          </w:p>
        </w:tc>
        <w:tc>
          <w:tcPr>
            <w:tcW w:w="636" w:type="dxa"/>
            <w:shd w:val="clear" w:color="auto" w:fill="BDD6EE" w:themeFill="accent1" w:themeFillTint="66"/>
            <w:noWrap/>
            <w:vAlign w:val="center"/>
          </w:tcPr>
          <w:p w:rsidR="00695AC0" w:rsidRDefault="00695AC0" w:rsidP="006A75D0">
            <w:pPr>
              <w:jc w:val="center"/>
              <w:rPr>
                <w:b/>
                <w:bCs/>
                <w:i/>
                <w:iCs/>
                <w:sz w:val="16"/>
                <w:szCs w:val="16"/>
              </w:rPr>
            </w:pPr>
          </w:p>
        </w:tc>
      </w:tr>
      <w:tr w:rsidR="00866EB6" w:rsidRPr="007F5D87" w:rsidTr="006A75D0">
        <w:trPr>
          <w:trHeight w:val="184"/>
        </w:trPr>
        <w:tc>
          <w:tcPr>
            <w:tcW w:w="1458" w:type="dxa"/>
            <w:shd w:val="clear" w:color="auto" w:fill="auto"/>
            <w:noWrap/>
            <w:vAlign w:val="center"/>
          </w:tcPr>
          <w:p w:rsidR="00866EB6" w:rsidRPr="007F5D87" w:rsidRDefault="00866EB6" w:rsidP="006A75D0">
            <w:pPr>
              <w:jc w:val="left"/>
              <w:rPr>
                <w:b/>
                <w:sz w:val="16"/>
                <w:szCs w:val="16"/>
              </w:rPr>
            </w:pPr>
            <w:r>
              <w:rPr>
                <w:b/>
                <w:sz w:val="16"/>
                <w:szCs w:val="16"/>
              </w:rPr>
              <w:t>TOTAL GÉNÉRAL</w:t>
            </w:r>
          </w:p>
        </w:tc>
        <w:tc>
          <w:tcPr>
            <w:tcW w:w="6927" w:type="dxa"/>
            <w:gridSpan w:val="5"/>
            <w:shd w:val="clear" w:color="auto" w:fill="BFBFBF"/>
            <w:noWrap/>
            <w:vAlign w:val="center"/>
          </w:tcPr>
          <w:p w:rsidR="00866EB6" w:rsidRPr="007F5D87" w:rsidRDefault="00866EB6" w:rsidP="006A75D0">
            <w:pPr>
              <w:jc w:val="left"/>
              <w:rPr>
                <w:b/>
                <w:bCs/>
                <w:sz w:val="16"/>
                <w:szCs w:val="16"/>
                <w:lang w:eastAsia="en-GB"/>
              </w:rPr>
            </w:pPr>
          </w:p>
        </w:tc>
        <w:tc>
          <w:tcPr>
            <w:tcW w:w="986" w:type="dxa"/>
            <w:shd w:val="clear" w:color="auto" w:fill="BFBFBF"/>
            <w:vAlign w:val="center"/>
          </w:tcPr>
          <w:p w:rsidR="00866EB6" w:rsidRPr="007F5D87" w:rsidRDefault="005D7183" w:rsidP="006A75D0">
            <w:pPr>
              <w:jc w:val="right"/>
              <w:rPr>
                <w:b/>
                <w:bCs/>
                <w:sz w:val="16"/>
                <w:szCs w:val="16"/>
              </w:rPr>
            </w:pPr>
            <w:r w:rsidRPr="0019592A">
              <w:rPr>
                <w:b/>
                <w:bCs/>
                <w:sz w:val="16"/>
                <w:szCs w:val="16"/>
                <w:highlight w:val="yellow"/>
              </w:rPr>
              <w:t>6 960 000</w:t>
            </w:r>
          </w:p>
        </w:tc>
        <w:tc>
          <w:tcPr>
            <w:tcW w:w="986" w:type="dxa"/>
            <w:shd w:val="clear" w:color="auto" w:fill="BFBFBF"/>
            <w:vAlign w:val="center"/>
          </w:tcPr>
          <w:p w:rsidR="00866EB6" w:rsidRPr="007F5D87" w:rsidRDefault="00695AC0" w:rsidP="006A75D0">
            <w:pPr>
              <w:jc w:val="right"/>
              <w:rPr>
                <w:b/>
                <w:bCs/>
                <w:sz w:val="16"/>
                <w:szCs w:val="16"/>
              </w:rPr>
            </w:pPr>
            <w:r>
              <w:rPr>
                <w:b/>
                <w:bCs/>
                <w:sz w:val="16"/>
                <w:szCs w:val="16"/>
              </w:rPr>
              <w:t>2 128 620</w:t>
            </w:r>
          </w:p>
        </w:tc>
        <w:tc>
          <w:tcPr>
            <w:tcW w:w="986" w:type="dxa"/>
            <w:shd w:val="clear" w:color="auto" w:fill="BFBFBF"/>
            <w:vAlign w:val="center"/>
          </w:tcPr>
          <w:p w:rsidR="00866EB6" w:rsidRPr="007F5D87" w:rsidRDefault="00A30627" w:rsidP="006A75D0">
            <w:pPr>
              <w:jc w:val="right"/>
              <w:rPr>
                <w:b/>
                <w:bCs/>
                <w:sz w:val="16"/>
                <w:szCs w:val="16"/>
              </w:rPr>
            </w:pPr>
            <w:r>
              <w:rPr>
                <w:b/>
                <w:bCs/>
                <w:sz w:val="16"/>
                <w:szCs w:val="16"/>
              </w:rPr>
              <w:t>2 253 620</w:t>
            </w:r>
          </w:p>
        </w:tc>
        <w:tc>
          <w:tcPr>
            <w:tcW w:w="986" w:type="dxa"/>
            <w:shd w:val="clear" w:color="auto" w:fill="BFBFBF"/>
            <w:vAlign w:val="center"/>
          </w:tcPr>
          <w:p w:rsidR="00866EB6" w:rsidRPr="007F5D87" w:rsidRDefault="00A30627" w:rsidP="006A75D0">
            <w:pPr>
              <w:jc w:val="right"/>
              <w:rPr>
                <w:b/>
                <w:bCs/>
                <w:sz w:val="16"/>
                <w:szCs w:val="16"/>
              </w:rPr>
            </w:pPr>
            <w:r>
              <w:rPr>
                <w:b/>
                <w:bCs/>
                <w:sz w:val="16"/>
                <w:szCs w:val="16"/>
              </w:rPr>
              <w:t>1 663 140</w:t>
            </w:r>
          </w:p>
        </w:tc>
        <w:tc>
          <w:tcPr>
            <w:tcW w:w="923" w:type="dxa"/>
            <w:shd w:val="clear" w:color="auto" w:fill="BFBFBF"/>
            <w:vAlign w:val="center"/>
          </w:tcPr>
          <w:p w:rsidR="00866EB6" w:rsidRPr="007F5D87" w:rsidRDefault="00A30627" w:rsidP="006A75D0">
            <w:pPr>
              <w:jc w:val="right"/>
              <w:rPr>
                <w:b/>
                <w:bCs/>
                <w:sz w:val="16"/>
                <w:szCs w:val="16"/>
              </w:rPr>
            </w:pPr>
            <w:r>
              <w:rPr>
                <w:b/>
                <w:bCs/>
                <w:sz w:val="16"/>
                <w:szCs w:val="16"/>
              </w:rPr>
              <w:t>914 620</w:t>
            </w:r>
          </w:p>
        </w:tc>
        <w:tc>
          <w:tcPr>
            <w:tcW w:w="636" w:type="dxa"/>
            <w:shd w:val="clear" w:color="auto" w:fill="BFBFBF"/>
            <w:noWrap/>
            <w:vAlign w:val="center"/>
          </w:tcPr>
          <w:p w:rsidR="00866EB6" w:rsidRPr="007F5D87" w:rsidRDefault="00866EB6" w:rsidP="006A75D0">
            <w:pPr>
              <w:jc w:val="center"/>
              <w:rPr>
                <w:b/>
                <w:bCs/>
                <w:i/>
                <w:iCs/>
                <w:sz w:val="16"/>
                <w:szCs w:val="16"/>
                <w:lang w:eastAsia="en-GB"/>
              </w:rPr>
            </w:pPr>
          </w:p>
        </w:tc>
      </w:tr>
    </w:tbl>
    <w:p w:rsidR="00866EB6" w:rsidRDefault="00866EB6" w:rsidP="00866EB6">
      <w:pPr>
        <w:jc w:val="left"/>
        <w:rPr>
          <w:szCs w:val="28"/>
        </w:rPr>
      </w:pPr>
    </w:p>
    <w:p w:rsidR="00530641" w:rsidRPr="007F5D87" w:rsidRDefault="00530641" w:rsidP="00866EB6">
      <w:pPr>
        <w:jc w:val="left"/>
        <w:rPr>
          <w:szCs w:val="28"/>
        </w:rPr>
      </w:pP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3717"/>
      </w:tblGrid>
      <w:tr w:rsidR="00714342" w:rsidRPr="007F5D87" w:rsidTr="00707E38">
        <w:trPr>
          <w:tblHeader/>
        </w:trPr>
        <w:tc>
          <w:tcPr>
            <w:tcW w:w="14606" w:type="dxa"/>
            <w:gridSpan w:val="2"/>
            <w:shd w:val="clear" w:color="auto" w:fill="FBD4B4"/>
            <w:vAlign w:val="center"/>
            <w:hideMark/>
          </w:tcPr>
          <w:p w:rsidR="00714342" w:rsidRPr="007F5D87" w:rsidRDefault="00714342" w:rsidP="00707E38">
            <w:pPr>
              <w:spacing w:after="40"/>
              <w:jc w:val="left"/>
              <w:rPr>
                <w:b/>
                <w:bCs/>
                <w:szCs w:val="20"/>
              </w:rPr>
            </w:pPr>
            <w:r>
              <w:rPr>
                <w:b/>
                <w:bCs/>
                <w:szCs w:val="20"/>
              </w:rPr>
              <w:t>Notes budgétaires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a</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Cinq collectes de fonds pour attirer des financements climatiques au niveau local (GIC Sokone, GIC Gandon-Gandiole, Ranérou, Tambacounda et Kédougou) cofinancées par les communes. Le FEM couvrira 100 % l’année 1, 70 % l’année 2, 40 % l’année 3 et 20 % l’année 4.</w:t>
            </w:r>
          </w:p>
          <w:p w:rsidR="00714342" w:rsidRPr="007F5D87" w:rsidRDefault="00714342" w:rsidP="00707E38">
            <w:pPr>
              <w:rPr>
                <w:color w:val="000000"/>
                <w:szCs w:val="20"/>
              </w:rPr>
            </w:pPr>
            <w:r>
              <w:rPr>
                <w:color w:val="000000"/>
                <w:szCs w:val="20"/>
              </w:rPr>
              <w:t>21 bénévoles (1 dans chaque commune) cofinancés par le FEM (rémunéré à 100 dollars des États-Unis/mois)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b</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sur la base d’honoraires payés d’avance pendant toute la durée du projet : appuyer la conception des Fonds climatiques décentralisés ; et soutenir la conception des mécanismes financiers novateurs (PPP, mécanisme de partage des avantages, compensations et RSE)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c</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nationaux à court terme sur la base d’honoraires payés d’avance pendant toute la durée du projet : concevoir des plans d’action clairs pour l’adaptation aux changements climatiques et un budget convaincant ; soutenir la conception et la mise en œuvre du FDAC ; soutenir la conception et la mise en œuvre de mécanismes financiers novateurs (PPP, mécanisme de partage des avantages, compensations et RSE).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d</w:t>
            </w:r>
          </w:p>
        </w:tc>
        <w:tc>
          <w:tcPr>
            <w:tcW w:w="13717" w:type="dxa"/>
            <w:shd w:val="clear" w:color="auto" w:fill="auto"/>
            <w:noWrap/>
            <w:vAlign w:val="bottom"/>
            <w:hideMark/>
          </w:tcPr>
          <w:p w:rsidR="00714342" w:rsidRPr="007F5D87" w:rsidRDefault="00714342" w:rsidP="00707E38">
            <w:pPr>
              <w:spacing w:after="0"/>
              <w:rPr>
                <w:color w:val="000000"/>
                <w:szCs w:val="20"/>
              </w:rPr>
            </w:pPr>
            <w:r>
              <w:rPr>
                <w:color w:val="000000"/>
                <w:szCs w:val="20"/>
              </w:rPr>
              <w:t>Missions internationales et visites de sites par l’équipe centrale :</w:t>
            </w:r>
          </w:p>
          <w:p w:rsidR="00714342" w:rsidRPr="007F5D87" w:rsidRDefault="00714342" w:rsidP="00707E38">
            <w:pPr>
              <w:spacing w:after="0"/>
              <w:rPr>
                <w:color w:val="000000"/>
                <w:szCs w:val="20"/>
              </w:rPr>
            </w:pPr>
            <w:r>
              <w:rPr>
                <w:color w:val="000000"/>
                <w:szCs w:val="20"/>
              </w:rPr>
              <w:t>10 vols à 2 000 USD/vol = 20 000 USD</w:t>
            </w:r>
          </w:p>
          <w:p w:rsidR="00714342" w:rsidRPr="007F5D87" w:rsidRDefault="00714342" w:rsidP="00707E38">
            <w:pPr>
              <w:spacing w:after="0"/>
              <w:rPr>
                <w:color w:val="000000"/>
                <w:szCs w:val="20"/>
              </w:rPr>
            </w:pPr>
            <w:r>
              <w:rPr>
                <w:color w:val="000000"/>
                <w:szCs w:val="20"/>
              </w:rPr>
              <w:t>IJS Dakar (247 USD x 40 jours) + IJS sites du projet (114 USD x 90 jours) + carburant pour les visites (7 860 USD).</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e</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Assistance technique au renforcement des capacités des mutuelles d’épargne et de crédit, à la formation des femmes à l’accès au crédit (produit 1.3) et à la formation du personnel communal.</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f</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Matériel pour la Mutuelle du Delta du Saloum.</w:t>
            </w:r>
          </w:p>
          <w:p w:rsidR="00714342" w:rsidRPr="007F5D87" w:rsidRDefault="00714342" w:rsidP="00707E38">
            <w:pPr>
              <w:rPr>
                <w:color w:val="000000"/>
                <w:szCs w:val="20"/>
              </w:rPr>
            </w:pPr>
            <w:r>
              <w:rPr>
                <w:color w:val="000000"/>
                <w:szCs w:val="20"/>
              </w:rPr>
              <w:t xml:space="preserve">Matériel informatique pour les communes (GIC) et les associations locales : acquisition d’ordinateurs portables, de licences de logiciels, d’imprimantes et d’autres périphériques pour renforcer les capacités des organisations communautaires locales </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g</w:t>
            </w:r>
          </w:p>
        </w:tc>
        <w:tc>
          <w:tcPr>
            <w:tcW w:w="13717" w:type="dxa"/>
            <w:shd w:val="clear" w:color="auto" w:fill="auto"/>
            <w:noWrap/>
            <w:vAlign w:val="bottom"/>
            <w:hideMark/>
          </w:tcPr>
          <w:p w:rsidR="00714342" w:rsidRPr="007F5D87" w:rsidRDefault="00714342" w:rsidP="00707E38">
            <w:pPr>
              <w:spacing w:after="0"/>
              <w:rPr>
                <w:color w:val="000000"/>
                <w:szCs w:val="20"/>
              </w:rPr>
            </w:pPr>
            <w:r>
              <w:rPr>
                <w:color w:val="000000"/>
                <w:szCs w:val="20"/>
              </w:rPr>
              <w:t>Coûts des ateliers et réunions du projet :</w:t>
            </w:r>
          </w:p>
          <w:p w:rsidR="00714342" w:rsidRPr="007F5D87" w:rsidRDefault="00714342" w:rsidP="00707E38">
            <w:pPr>
              <w:spacing w:after="0"/>
              <w:rPr>
                <w:color w:val="000000"/>
                <w:szCs w:val="20"/>
              </w:rPr>
            </w:pPr>
            <w:r>
              <w:rPr>
                <w:color w:val="000000"/>
                <w:szCs w:val="20"/>
              </w:rPr>
              <w:t>Ateliers de formation au niveau local (80 jours à 500 USD/jour), y compris l’impression des supports didactiques.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h</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Spécialiste des chaînes de valeur résilientes aux changements climatiques engagé à temps partiel ; diffuseur/vulgarisateur d’informations climatiques à temps partiel (cofinancé par l’ANACIM) ; spécialiste en communication (équipe UGP) ; deux agents locaux de l’équipe du projet.</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i</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sur la base d’honoraires payés à l’avance : développement et amélioration de chaînes de valeur résilientes au changement climatique ; et développement de petites entreprises résilientes par le biais de fonds renouvelables.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j</w:t>
            </w:r>
          </w:p>
        </w:tc>
        <w:tc>
          <w:tcPr>
            <w:tcW w:w="13717" w:type="dxa"/>
            <w:shd w:val="clear" w:color="auto" w:fill="auto"/>
            <w:noWrap/>
            <w:vAlign w:val="center"/>
            <w:hideMark/>
          </w:tcPr>
          <w:p w:rsidR="00714342" w:rsidRPr="007F5D87" w:rsidRDefault="00714342" w:rsidP="00707E38">
            <w:pPr>
              <w:rPr>
                <w:szCs w:val="20"/>
              </w:rPr>
            </w:pPr>
            <w:r>
              <w:rPr>
                <w:color w:val="000000"/>
                <w:szCs w:val="20"/>
              </w:rPr>
              <w:t>Consultants nationaux à court terme sur la base d’honoraires payés à l’avance pendant toute la durée du projet : un spécialiste forestier (restauration des RNC/UP), un spécialiste des semences résistantes au climat et un spécialiste des banques de céréales ; un formateur pour l’information climatique.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k</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Les déplacements sur les sites du projet pour le suivi des activités, y compris les déplacements pour les formations et les déplacements pour l’installation du matériel (par exemple pour l’installation de la station météorologique, 3 missions sont nécessaires : prospection, installation, suivi).</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 w:val="18"/>
                <w:szCs w:val="18"/>
              </w:rPr>
              <w:t>l</w:t>
            </w:r>
          </w:p>
        </w:tc>
        <w:tc>
          <w:tcPr>
            <w:tcW w:w="13717" w:type="dxa"/>
            <w:shd w:val="clear" w:color="auto" w:fill="auto"/>
            <w:noWrap/>
            <w:vAlign w:val="center"/>
            <w:hideMark/>
          </w:tcPr>
          <w:p w:rsidR="00714342" w:rsidRPr="007F5D87" w:rsidRDefault="00714342" w:rsidP="00707E38">
            <w:pPr>
              <w:rPr>
                <w:szCs w:val="20"/>
              </w:rPr>
            </w:pPr>
            <w:r>
              <w:t>Études techniques préalables aux investissements et contrôle qualité de l’investissement (foresterie, installation d’eau, etc.)</w:t>
            </w:r>
          </w:p>
          <w:p w:rsidR="00714342" w:rsidRPr="007F5D87" w:rsidRDefault="00714342" w:rsidP="00707E38">
            <w:pPr>
              <w:rPr>
                <w:szCs w:val="20"/>
              </w:rPr>
            </w:pPr>
            <w:r>
              <w:t>Vidéaste pour la diffusion des bonnes pratiques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m</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Investissements dans la foresterie, l’adduction d’eau, l’agriculture et les chaînes de valeur (produit 2.1) et les machines pour les chaînes de valeur de la transformation : 50 ha de terrains restaurés, 3 étangs réhabilités, interventions de lutte contre l’érosion sur 900 ha (plantation d’arbres), 25 ha d’adduction d’eau pour les AGR, protection côtière et de lutte contre la salinisation sur 60 ha, 570 000 ha de RNC/UP mieux gérées, 800 km de coupe-feux créés et entretenus, 6 chaînes de valeur résilientes développées (petites machines investies).</w:t>
            </w:r>
          </w:p>
        </w:tc>
      </w:tr>
      <w:tr w:rsidR="00714342" w:rsidRPr="007F5D87" w:rsidTr="00707E38">
        <w:tc>
          <w:tcPr>
            <w:tcW w:w="889" w:type="dxa"/>
            <w:shd w:val="clear" w:color="auto" w:fill="auto"/>
            <w:noWrap/>
            <w:vAlign w:val="center"/>
          </w:tcPr>
          <w:p w:rsidR="00714342" w:rsidRPr="007F5D87" w:rsidRDefault="00714342" w:rsidP="00707E38">
            <w:pPr>
              <w:jc w:val="center"/>
              <w:rPr>
                <w:i/>
                <w:iCs/>
                <w:szCs w:val="20"/>
              </w:rPr>
            </w:pPr>
            <w:r>
              <w:rPr>
                <w:i/>
                <w:iCs/>
                <w:szCs w:val="20"/>
              </w:rPr>
              <w:t>n</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Formations pour le renforcement des capacités et l’adoption de pratiques résilientes.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o</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 évaluateur (mi-parcours + final).</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p</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nationaux à court terme : évaluateur (mi-parcours + final).</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q</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Deux agents locaux de l’équipe du projet (l’agent du site du fleuve Sénégal n’offrira ses services que pendant les 2 premières années, les communes de Gandon et de Gandiole étant mieux outillées que les autres et l’ARD travaillant en étroite collaboration avec elles).</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r</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Voyages pour l’équipe des agents locaux. Voyages dans le cadre des ateliers de lancement et démarrage effectif du projet : au niveau national et quatre au niveau des sites.</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s</w:t>
            </w:r>
          </w:p>
        </w:tc>
        <w:tc>
          <w:tcPr>
            <w:tcW w:w="13717" w:type="dxa"/>
            <w:shd w:val="clear" w:color="auto" w:fill="auto"/>
            <w:noWrap/>
            <w:vAlign w:val="bottom"/>
          </w:tcPr>
          <w:p w:rsidR="00714342" w:rsidRPr="007F5D87" w:rsidRDefault="00714342" w:rsidP="00707E38">
            <w:pPr>
              <w:rPr>
                <w:color w:val="000000"/>
                <w:szCs w:val="20"/>
              </w:rPr>
            </w:pPr>
            <w:r>
              <w:rPr>
                <w:szCs w:val="20"/>
              </w:rPr>
              <w:t>Acquisition de : 1) matériel de communication ; 2) véhicules tout-terrain ; ordinateurs portables pour l’UGP et les sites, licences de logiciels et imprimantes et autres périphériques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p>
        </w:tc>
        <w:tc>
          <w:tcPr>
            <w:tcW w:w="13717" w:type="dxa"/>
            <w:shd w:val="clear" w:color="auto" w:fill="auto"/>
            <w:noWrap/>
            <w:vAlign w:val="bottom"/>
            <w:hideMark/>
          </w:tcPr>
          <w:p w:rsidR="00714342" w:rsidRPr="007F5D87" w:rsidRDefault="00714342" w:rsidP="00707E38">
            <w:pPr>
              <w:rPr>
                <w:color w:val="000000"/>
                <w:szCs w:val="20"/>
              </w:rPr>
            </w:pP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r>
              <w:rPr>
                <w:rFonts w:ascii="Times New Roman" w:hAnsi="Times New Roman"/>
                <w:i/>
                <w:iCs/>
                <w:sz w:val="18"/>
                <w:szCs w:val="18"/>
              </w:rPr>
              <w:t>t</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Acquisition de compléments/substitutions : 1) Véhicules tout-terrain ; et 2) petits bateaux à moteur pour les sites côtiers - selon les besoins.</w:t>
            </w: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r>
              <w:rPr>
                <w:rFonts w:ascii="Times New Roman" w:hAnsi="Times New Roman"/>
                <w:i/>
                <w:iCs/>
                <w:sz w:val="18"/>
                <w:szCs w:val="18"/>
              </w:rPr>
              <w:t>u</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Assurances, frais bancaires (y compris les frais d’administration) et autres frais divers pour l’unité de coordination du projet.</w:t>
            </w:r>
          </w:p>
        </w:tc>
      </w:tr>
      <w:tr w:rsidR="00714342" w:rsidRPr="007F5D87" w:rsidTr="00707E38">
        <w:tc>
          <w:tcPr>
            <w:tcW w:w="889" w:type="dxa"/>
            <w:shd w:val="clear" w:color="auto" w:fill="auto"/>
            <w:noWrap/>
            <w:vAlign w:val="center"/>
            <w:hideMark/>
          </w:tcPr>
          <w:p w:rsidR="00714342" w:rsidRPr="00CD6B29" w:rsidRDefault="00714342" w:rsidP="00707E38">
            <w:pPr>
              <w:jc w:val="center"/>
              <w:rPr>
                <w:rFonts w:ascii="Times New Roman" w:hAnsi="Times New Roman"/>
                <w:i/>
                <w:iCs/>
                <w:sz w:val="18"/>
                <w:szCs w:val="18"/>
                <w:highlight w:val="yellow"/>
              </w:rPr>
            </w:pPr>
            <w:r>
              <w:rPr>
                <w:rFonts w:ascii="Times New Roman" w:hAnsi="Times New Roman"/>
                <w:i/>
                <w:iCs/>
                <w:sz w:val="18"/>
                <w:szCs w:val="18"/>
              </w:rPr>
              <w:t>v</w:t>
            </w:r>
          </w:p>
        </w:tc>
        <w:tc>
          <w:tcPr>
            <w:tcW w:w="13717" w:type="dxa"/>
            <w:shd w:val="clear" w:color="auto" w:fill="auto"/>
            <w:noWrap/>
            <w:vAlign w:val="bottom"/>
            <w:hideMark/>
          </w:tcPr>
          <w:p w:rsidR="00714342" w:rsidRPr="00373179" w:rsidRDefault="00714342" w:rsidP="00707E38">
            <w:pPr>
              <w:rPr>
                <w:color w:val="000000"/>
                <w:szCs w:val="20"/>
              </w:rPr>
            </w:pPr>
            <w:r>
              <w:rPr>
                <w:color w:val="000000"/>
                <w:szCs w:val="20"/>
              </w:rPr>
              <w:t>Personnel national de l’UGP : coordonnateur national du projet</w:t>
            </w:r>
          </w:p>
          <w:p w:rsidR="00714342" w:rsidRPr="00373179" w:rsidRDefault="00714342" w:rsidP="00707E38">
            <w:pPr>
              <w:rPr>
                <w:color w:val="000000"/>
                <w:szCs w:val="20"/>
              </w:rPr>
            </w:pPr>
            <w:r>
              <w:rPr>
                <w:color w:val="000000"/>
                <w:szCs w:val="20"/>
              </w:rPr>
              <w:t>Personnel national de l’UGP : chauffeur</w:t>
            </w:r>
          </w:p>
        </w:tc>
      </w:tr>
      <w:tr w:rsidR="00714342" w:rsidRPr="007F5D87" w:rsidTr="00707E38">
        <w:tc>
          <w:tcPr>
            <w:tcW w:w="889" w:type="dxa"/>
            <w:shd w:val="clear" w:color="auto" w:fill="auto"/>
            <w:noWrap/>
            <w:vAlign w:val="center"/>
          </w:tcPr>
          <w:p w:rsidR="00714342" w:rsidRPr="00E832F8" w:rsidRDefault="00714342" w:rsidP="00707E38">
            <w:pPr>
              <w:jc w:val="center"/>
              <w:rPr>
                <w:rFonts w:ascii="Times New Roman" w:hAnsi="Times New Roman"/>
                <w:i/>
                <w:iCs/>
                <w:sz w:val="18"/>
                <w:szCs w:val="18"/>
                <w:highlight w:val="yellow"/>
              </w:rPr>
            </w:pPr>
            <w:r>
              <w:rPr>
                <w:rFonts w:ascii="Times New Roman" w:hAnsi="Times New Roman"/>
                <w:i/>
                <w:iCs/>
                <w:sz w:val="18"/>
                <w:szCs w:val="18"/>
              </w:rPr>
              <w:t>w</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Services d’audit financier annuel du projet</w:t>
            </w:r>
          </w:p>
        </w:tc>
      </w:tr>
      <w:tr w:rsidR="00714342" w:rsidRPr="007F5D87" w:rsidTr="00707E38">
        <w:tc>
          <w:tcPr>
            <w:tcW w:w="889" w:type="dxa"/>
            <w:shd w:val="clear" w:color="auto" w:fill="auto"/>
            <w:noWrap/>
            <w:vAlign w:val="center"/>
          </w:tcPr>
          <w:p w:rsidR="00714342" w:rsidRPr="00CD6B29" w:rsidRDefault="00714342" w:rsidP="00707E38">
            <w:pPr>
              <w:jc w:val="center"/>
              <w:rPr>
                <w:rFonts w:ascii="Times New Roman" w:hAnsi="Times New Roman"/>
                <w:i/>
                <w:iCs/>
                <w:sz w:val="18"/>
                <w:szCs w:val="18"/>
                <w:highlight w:val="yellow"/>
              </w:rPr>
            </w:pPr>
            <w:r>
              <w:rPr>
                <w:rFonts w:ascii="Times New Roman" w:hAnsi="Times New Roman"/>
                <w:i/>
                <w:iCs/>
                <w:sz w:val="18"/>
                <w:szCs w:val="18"/>
              </w:rPr>
              <w:t>x</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Services d’appui du PNUD (traitement des paiements, achats, recrutements, contrats, etc.</w:t>
            </w:r>
          </w:p>
        </w:tc>
      </w:tr>
      <w:tr w:rsidR="00714342" w:rsidRPr="007F5D87" w:rsidTr="00707E38">
        <w:tc>
          <w:tcPr>
            <w:tcW w:w="889" w:type="dxa"/>
            <w:shd w:val="clear" w:color="auto" w:fill="auto"/>
            <w:noWrap/>
            <w:vAlign w:val="center"/>
          </w:tcPr>
          <w:p w:rsidR="00714342" w:rsidRPr="00CD6B29" w:rsidRDefault="00714342" w:rsidP="00707E38">
            <w:pPr>
              <w:jc w:val="center"/>
              <w:rPr>
                <w:i/>
                <w:iCs/>
                <w:szCs w:val="20"/>
                <w:highlight w:val="yellow"/>
              </w:rPr>
            </w:pPr>
            <w:r>
              <w:rPr>
                <w:i/>
                <w:iCs/>
                <w:szCs w:val="20"/>
              </w:rPr>
              <w:t>y</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Personnel du projet : personnel national de l’UGP - Chargé du suivi et évaluation, Agent administratif et financier</w:t>
            </w:r>
          </w:p>
        </w:tc>
      </w:tr>
    </w:tbl>
    <w:p w:rsidR="00530641" w:rsidRPr="007F5D87" w:rsidRDefault="00530641" w:rsidP="00866EB6">
      <w:pPr>
        <w:rPr>
          <w:rFonts w:ascii="Arial" w:hAnsi="Arial" w:cs="Arial"/>
          <w:b/>
          <w:sz w:val="24"/>
        </w:rPr>
      </w:pPr>
      <w:bookmarkStart w:id="47" w:name="_Toc336401697"/>
    </w:p>
    <w:p w:rsidR="00866EB6" w:rsidRPr="007F5D87" w:rsidRDefault="00866EB6" w:rsidP="00866EB6">
      <w:pPr>
        <w:rPr>
          <w:rFonts w:ascii="Arial" w:hAnsi="Arial" w:cs="Arial"/>
          <w:b/>
          <w:sz w:val="24"/>
        </w:rPr>
      </w:pPr>
      <w:r>
        <w:rPr>
          <w:u w:val="single"/>
        </w:rPr>
        <w:t>Tableau 9</w:t>
      </w:r>
      <w:r w:rsidR="00384043">
        <w:rPr>
          <w:u w:val="single"/>
        </w:rPr>
        <w:t> </w:t>
      </w:r>
      <w:r>
        <w:rPr>
          <w:u w:val="single"/>
        </w:rPr>
        <w:t xml:space="preserve">: </w:t>
      </w:r>
      <w:r w:rsidR="00384043">
        <w:t>S</w:t>
      </w:r>
      <w:r>
        <w:t>ynthèse du financement et du cofinancement</w:t>
      </w:r>
    </w:p>
    <w:bookmarkEnd w:id="47"/>
    <w:p w:rsidR="00866EB6" w:rsidRPr="007F5D87" w:rsidRDefault="00866EB6" w:rsidP="00866EB6">
      <w:pPr>
        <w:pStyle w:val="Lgende"/>
        <w:jc w:val="both"/>
      </w:pPr>
    </w:p>
    <w:tbl>
      <w:tblPr>
        <w:tblW w:w="14007" w:type="dxa"/>
        <w:tblInd w:w="-34" w:type="dxa"/>
        <w:tblLook w:val="04A0" w:firstRow="1" w:lastRow="0" w:firstColumn="1" w:lastColumn="0" w:noHBand="0" w:noVBand="1"/>
      </w:tblPr>
      <w:tblGrid>
        <w:gridCol w:w="7215"/>
        <w:gridCol w:w="2288"/>
        <w:gridCol w:w="2288"/>
        <w:gridCol w:w="2216"/>
      </w:tblGrid>
      <w:tr w:rsidR="00866EB6" w:rsidRPr="007F5D87" w:rsidTr="005C0C6C">
        <w:trPr>
          <w:cantSplit/>
          <w:trHeight w:val="999"/>
          <w:tblHeader/>
        </w:trPr>
        <w:tc>
          <w:tcPr>
            <w:tcW w:w="7215" w:type="dxa"/>
            <w:tcBorders>
              <w:top w:val="single" w:sz="4" w:space="0" w:color="auto"/>
              <w:left w:val="single" w:sz="4" w:space="0" w:color="auto"/>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Composantes du projet (résultats)</w:t>
            </w:r>
          </w:p>
        </w:tc>
        <w:tc>
          <w:tcPr>
            <w:tcW w:w="2288"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FEM (USD)</w:t>
            </w:r>
          </w:p>
        </w:tc>
        <w:tc>
          <w:tcPr>
            <w:tcW w:w="2288"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PNUD (USD)</w:t>
            </w:r>
          </w:p>
        </w:tc>
        <w:tc>
          <w:tcPr>
            <w:tcW w:w="2216"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TOTAL des fonds provenant du TBW (USD)</w:t>
            </w:r>
          </w:p>
        </w:tc>
      </w:tr>
      <w:tr w:rsidR="00866EB6" w:rsidRPr="007F5D87" w:rsidTr="005C0C6C">
        <w:trPr>
          <w:cantSplit/>
          <w:trHeight w:val="603"/>
        </w:trPr>
        <w:tc>
          <w:tcPr>
            <w:tcW w:w="7215" w:type="dxa"/>
            <w:tcBorders>
              <w:top w:val="nil"/>
              <w:left w:val="single" w:sz="4" w:space="0" w:color="auto"/>
              <w:bottom w:val="single" w:sz="4" w:space="0" w:color="auto"/>
              <w:right w:val="single" w:sz="4" w:space="0" w:color="auto"/>
            </w:tcBorders>
            <w:shd w:val="clear" w:color="auto" w:fill="EEECE1"/>
            <w:noWrap/>
            <w:vAlign w:val="center"/>
          </w:tcPr>
          <w:p w:rsidR="00866EB6" w:rsidRPr="007F5D87" w:rsidRDefault="003B7D35" w:rsidP="006A75D0">
            <w:pPr>
              <w:jc w:val="left"/>
              <w:rPr>
                <w:rFonts w:ascii="Times New Roman" w:hAnsi="Times New Roman"/>
                <w:b/>
                <w:color w:val="000000"/>
                <w:sz w:val="22"/>
              </w:rPr>
            </w:pPr>
            <w:r>
              <w:rPr>
                <w:rFonts w:ascii="Times New Roman" w:hAnsi="Times New Roman"/>
                <w:b/>
                <w:sz w:val="22"/>
                <w:szCs w:val="22"/>
              </w:rPr>
              <w:t>1) </w:t>
            </w:r>
            <w:r w:rsidR="00866EB6">
              <w:rPr>
                <w:rFonts w:ascii="Times New Roman" w:hAnsi="Times New Roman"/>
                <w:b/>
                <w:sz w:val="22"/>
                <w:szCs w:val="22"/>
              </w:rPr>
              <w:t xml:space="preserve">Financement local </w:t>
            </w:r>
            <w:r w:rsidR="00311A1A">
              <w:rPr>
                <w:rFonts w:ascii="Times New Roman" w:hAnsi="Times New Roman"/>
                <w:b/>
                <w:sz w:val="22"/>
                <w:szCs w:val="22"/>
              </w:rPr>
              <w:t>novateur</w:t>
            </w:r>
            <w:r w:rsidR="00866EB6">
              <w:rPr>
                <w:rFonts w:ascii="Times New Roman" w:hAnsi="Times New Roman"/>
                <w:b/>
                <w:sz w:val="22"/>
                <w:szCs w:val="22"/>
              </w:rPr>
              <w:t xml:space="preserve"> pour les activités d’</w:t>
            </w:r>
            <w:r w:rsidR="00537B55">
              <w:rPr>
                <w:rFonts w:ascii="Times New Roman" w:hAnsi="Times New Roman"/>
                <w:b/>
                <w:sz w:val="22"/>
                <w:szCs w:val="22"/>
              </w:rPr>
              <w:t>adaptation aux changements climatiques</w:t>
            </w:r>
          </w:p>
        </w:tc>
        <w:tc>
          <w:tcPr>
            <w:tcW w:w="2288"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1 000 000</w:t>
            </w:r>
          </w:p>
        </w:tc>
        <w:tc>
          <w:tcPr>
            <w:tcW w:w="2288"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sz w:val="22"/>
              </w:rPr>
            </w:pPr>
            <w:r>
              <w:rPr>
                <w:rFonts w:ascii="Times New Roman" w:hAnsi="Times New Roman"/>
                <w:bCs/>
                <w:sz w:val="22"/>
                <w:szCs w:val="22"/>
              </w:rPr>
              <w:t>0</w:t>
            </w:r>
          </w:p>
        </w:tc>
        <w:tc>
          <w:tcPr>
            <w:tcW w:w="2216"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color w:val="17365D"/>
                <w:sz w:val="22"/>
                <w:szCs w:val="22"/>
              </w:rPr>
              <w:t>1 000 000</w:t>
            </w:r>
          </w:p>
        </w:tc>
      </w:tr>
      <w:tr w:rsidR="00866EB6" w:rsidRPr="007F5D87" w:rsidTr="005C0C6C">
        <w:trPr>
          <w:cantSplit/>
          <w:trHeight w:val="611"/>
        </w:trPr>
        <w:tc>
          <w:tcPr>
            <w:tcW w:w="7215" w:type="dxa"/>
            <w:tcBorders>
              <w:top w:val="nil"/>
              <w:left w:val="single" w:sz="4" w:space="0" w:color="auto"/>
              <w:bottom w:val="single" w:sz="4" w:space="0" w:color="auto"/>
              <w:right w:val="single" w:sz="4" w:space="0" w:color="auto"/>
            </w:tcBorders>
            <w:shd w:val="clear" w:color="auto" w:fill="EEECE1"/>
            <w:noWrap/>
            <w:vAlign w:val="center"/>
          </w:tcPr>
          <w:p w:rsidR="00866EB6" w:rsidRPr="007F5D87" w:rsidRDefault="003B7D35" w:rsidP="006A75D0">
            <w:pPr>
              <w:jc w:val="left"/>
              <w:rPr>
                <w:rFonts w:ascii="Times New Roman" w:hAnsi="Times New Roman"/>
                <w:b/>
                <w:color w:val="000000"/>
                <w:sz w:val="22"/>
              </w:rPr>
            </w:pPr>
            <w:r>
              <w:rPr>
                <w:rFonts w:ascii="Times New Roman" w:hAnsi="Times New Roman"/>
                <w:b/>
                <w:sz w:val="22"/>
                <w:szCs w:val="22"/>
              </w:rPr>
              <w:t>2) </w:t>
            </w:r>
            <w:r w:rsidR="00866EB6">
              <w:rPr>
                <w:rFonts w:ascii="Times New Roman" w:hAnsi="Times New Roman"/>
                <w:b/>
                <w:sz w:val="22"/>
                <w:szCs w:val="22"/>
              </w:rPr>
              <w:t>Investissements et adoption de pratiques résilientes diversifiées par les communautés vulnérables</w:t>
            </w:r>
          </w:p>
        </w:tc>
        <w:tc>
          <w:tcPr>
            <w:tcW w:w="2288"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4 200 000</w:t>
            </w:r>
          </w:p>
        </w:tc>
        <w:tc>
          <w:tcPr>
            <w:tcW w:w="2288"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240 000</w:t>
            </w:r>
          </w:p>
        </w:tc>
        <w:tc>
          <w:tcPr>
            <w:tcW w:w="2216"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color w:val="000000"/>
                <w:sz w:val="22"/>
                <w:szCs w:val="22"/>
              </w:rPr>
              <w:t>4 440 000</w:t>
            </w:r>
          </w:p>
        </w:tc>
      </w:tr>
      <w:tr w:rsidR="00866EB6" w:rsidRPr="007F5D87" w:rsidTr="005C0C6C">
        <w:trPr>
          <w:cantSplit/>
          <w:trHeight w:val="401"/>
        </w:trPr>
        <w:tc>
          <w:tcPr>
            <w:tcW w:w="721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66EB6" w:rsidRPr="007F5D87" w:rsidRDefault="00866EB6" w:rsidP="006A75D0">
            <w:pPr>
              <w:jc w:val="left"/>
              <w:rPr>
                <w:rFonts w:ascii="Times New Roman" w:hAnsi="Times New Roman"/>
                <w:b/>
                <w:bCs/>
                <w:sz w:val="22"/>
              </w:rPr>
            </w:pPr>
            <w:r>
              <w:rPr>
                <w:rFonts w:ascii="Times New Roman" w:hAnsi="Times New Roman"/>
                <w:b/>
                <w:color w:val="000000"/>
                <w:sz w:val="22"/>
                <w:szCs w:val="22"/>
              </w:rPr>
              <w:t>Gestion de projet</w:t>
            </w:r>
          </w:p>
        </w:tc>
        <w:tc>
          <w:tcPr>
            <w:tcW w:w="2288"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000000"/>
                <w:sz w:val="22"/>
              </w:rPr>
            </w:pPr>
            <w:r>
              <w:rPr>
                <w:rFonts w:ascii="Times New Roman" w:hAnsi="Times New Roman"/>
                <w:bCs/>
                <w:color w:val="000000"/>
                <w:sz w:val="22"/>
                <w:szCs w:val="22"/>
              </w:rPr>
              <w:t>260 000</w:t>
            </w:r>
          </w:p>
        </w:tc>
        <w:tc>
          <w:tcPr>
            <w:tcW w:w="2288"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bCs/>
                <w:color w:val="17365D"/>
                <w:sz w:val="22"/>
                <w:szCs w:val="22"/>
              </w:rPr>
              <w:t>260 000</w:t>
            </w:r>
          </w:p>
        </w:tc>
        <w:tc>
          <w:tcPr>
            <w:tcW w:w="2216"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bCs/>
                <w:color w:val="17365D"/>
                <w:sz w:val="22"/>
                <w:szCs w:val="22"/>
              </w:rPr>
              <w:t>520 000</w:t>
            </w:r>
          </w:p>
        </w:tc>
      </w:tr>
      <w:tr w:rsidR="00866EB6" w:rsidRPr="007F5D87" w:rsidTr="005C0C6C">
        <w:trPr>
          <w:cantSplit/>
          <w:trHeight w:val="401"/>
        </w:trPr>
        <w:tc>
          <w:tcPr>
            <w:tcW w:w="721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6EB6" w:rsidRPr="007F5D87" w:rsidRDefault="00866EB6" w:rsidP="006A75D0">
            <w:pPr>
              <w:rPr>
                <w:rFonts w:ascii="Times New Roman" w:hAnsi="Times New Roman"/>
                <w:b/>
                <w:bCs/>
                <w:sz w:val="22"/>
              </w:rPr>
            </w:pPr>
            <w:r>
              <w:rPr>
                <w:rFonts w:ascii="Times New Roman" w:hAnsi="Times New Roman"/>
                <w:b/>
                <w:bCs/>
                <w:sz w:val="22"/>
                <w:szCs w:val="22"/>
              </w:rPr>
              <w:t>Total</w:t>
            </w:r>
          </w:p>
        </w:tc>
        <w:tc>
          <w:tcPr>
            <w:tcW w:w="2288"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5 460 000</w:t>
            </w:r>
          </w:p>
        </w:tc>
        <w:tc>
          <w:tcPr>
            <w:tcW w:w="2288"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17365D"/>
                <w:sz w:val="22"/>
              </w:rPr>
            </w:pPr>
            <w:r>
              <w:rPr>
                <w:rFonts w:ascii="Times New Roman" w:hAnsi="Times New Roman"/>
                <w:b/>
                <w:bCs/>
                <w:color w:val="17365D"/>
                <w:sz w:val="22"/>
                <w:szCs w:val="22"/>
              </w:rPr>
              <w:t>500 000</w:t>
            </w:r>
          </w:p>
        </w:tc>
        <w:tc>
          <w:tcPr>
            <w:tcW w:w="2216"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17365D"/>
                <w:sz w:val="22"/>
              </w:rPr>
            </w:pPr>
            <w:r>
              <w:rPr>
                <w:rFonts w:ascii="Times New Roman" w:hAnsi="Times New Roman"/>
                <w:b/>
                <w:bCs/>
                <w:color w:val="17365D"/>
                <w:sz w:val="22"/>
                <w:szCs w:val="22"/>
              </w:rPr>
              <w:t>5 960 000</w:t>
            </w:r>
          </w:p>
        </w:tc>
      </w:tr>
    </w:tbl>
    <w:p w:rsidR="00866EB6" w:rsidRPr="007F5D87" w:rsidRDefault="00866EB6" w:rsidP="00866EB6">
      <w:pPr>
        <w:rPr>
          <w:rFonts w:ascii="Times New Roman" w:hAnsi="Times New Roman"/>
          <w:b/>
          <w:color w:val="000000"/>
        </w:rPr>
      </w:pPr>
    </w:p>
    <w:tbl>
      <w:tblPr>
        <w:tblW w:w="1242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1080"/>
        <w:gridCol w:w="1050"/>
        <w:gridCol w:w="30"/>
        <w:gridCol w:w="1050"/>
        <w:gridCol w:w="30"/>
        <w:gridCol w:w="1050"/>
        <w:gridCol w:w="30"/>
        <w:gridCol w:w="1050"/>
        <w:gridCol w:w="30"/>
        <w:gridCol w:w="1050"/>
        <w:gridCol w:w="30"/>
      </w:tblGrid>
      <w:tr w:rsidR="00866EB6" w:rsidRPr="007F5D87" w:rsidTr="006A75D0">
        <w:trPr>
          <w:cantSplit/>
        </w:trPr>
        <w:tc>
          <w:tcPr>
            <w:tcW w:w="1440" w:type="dxa"/>
            <w:shd w:val="clear" w:color="auto" w:fill="auto"/>
            <w:noWrap/>
            <w:vAlign w:val="bottom"/>
          </w:tcPr>
          <w:p w:rsidR="00866EB6" w:rsidRPr="007F5D87" w:rsidRDefault="00866EB6" w:rsidP="006A75D0">
            <w:pPr>
              <w:rPr>
                <w:rFonts w:ascii="Times New Roman" w:hAnsi="Times New Roman"/>
                <w:b/>
                <w:bCs/>
                <w:sz w:val="18"/>
                <w:szCs w:val="18"/>
              </w:rPr>
            </w:pPr>
            <w:r>
              <w:rPr>
                <w:rFonts w:ascii="Times New Roman" w:hAnsi="Times New Roman"/>
                <w:b/>
                <w:sz w:val="18"/>
                <w:szCs w:val="18"/>
              </w:rPr>
              <w:t>Récapitulatif des fonds</w:t>
            </w:r>
            <w:r w:rsidR="002575A2">
              <w:rPr>
                <w:rFonts w:ascii="Times New Roman" w:hAnsi="Times New Roman"/>
                <w:b/>
                <w:sz w:val="18"/>
                <w:szCs w:val="18"/>
              </w:rPr>
              <w:t> :</w:t>
            </w:r>
            <w:r>
              <w:rPr>
                <w:rStyle w:val="Appelnotedebasdep"/>
                <w:rFonts w:ascii="Times New Roman" w:hAnsi="Times New Roman"/>
                <w:szCs w:val="18"/>
              </w:rPr>
              <w:t xml:space="preserve"> </w:t>
            </w:r>
          </w:p>
        </w:tc>
        <w:tc>
          <w:tcPr>
            <w:tcW w:w="900" w:type="dxa"/>
          </w:tcPr>
          <w:p w:rsidR="00866EB6" w:rsidRPr="007F5D87" w:rsidRDefault="00866EB6" w:rsidP="006A75D0">
            <w:pPr>
              <w:rPr>
                <w:rFonts w:ascii="Times New Roman" w:hAnsi="Times New Roman"/>
                <w:b/>
                <w:bCs/>
                <w:sz w:val="18"/>
                <w:szCs w:val="18"/>
              </w:rPr>
            </w:pPr>
          </w:p>
        </w:tc>
        <w:tc>
          <w:tcPr>
            <w:tcW w:w="90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3"/>
            <w:shd w:val="clear" w:color="auto" w:fill="auto"/>
            <w:vAlign w:val="bottom"/>
          </w:tcPr>
          <w:p w:rsidR="00866EB6" w:rsidRPr="007F5D87" w:rsidRDefault="00866EB6" w:rsidP="006A75D0">
            <w:pPr>
              <w:rPr>
                <w:rFonts w:ascii="Times New Roman" w:hAnsi="Times New Roman"/>
                <w:b/>
                <w:bCs/>
                <w:sz w:val="18"/>
                <w:szCs w:val="18"/>
              </w:rPr>
            </w:pPr>
          </w:p>
        </w:tc>
        <w:tc>
          <w:tcPr>
            <w:tcW w:w="1620" w:type="dxa"/>
            <w:shd w:val="clear" w:color="auto" w:fill="auto"/>
            <w:vAlign w:val="bottom"/>
          </w:tcPr>
          <w:p w:rsidR="00866EB6" w:rsidRPr="007F5D87" w:rsidRDefault="00866EB6" w:rsidP="006A75D0">
            <w:pPr>
              <w:rPr>
                <w:rFonts w:ascii="Times New Roman" w:hAnsi="Times New Roman"/>
                <w:b/>
                <w:bCs/>
                <w:sz w:val="18"/>
                <w:szCs w:val="18"/>
              </w:rPr>
            </w:pPr>
          </w:p>
        </w:tc>
        <w:tc>
          <w:tcPr>
            <w:tcW w:w="1080" w:type="dxa"/>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Total</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 xml:space="preserve">FEM </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1 668 620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1 799 120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1 349 140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643 120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5 460 000 USD</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PNUD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137 500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142 500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97 500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122 500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500 000 USD</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TOTAL</w:t>
            </w:r>
          </w:p>
        </w:tc>
        <w:tc>
          <w:tcPr>
            <w:tcW w:w="1050" w:type="dxa"/>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1 806 120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1 941 620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1 446 640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765 620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5 960 000 USD</w:t>
            </w:r>
          </w:p>
        </w:tc>
      </w:tr>
    </w:tbl>
    <w:p w:rsidR="00866EB6" w:rsidRPr="007F5D87" w:rsidRDefault="00866EB6" w:rsidP="00866EB6">
      <w:pPr>
        <w:rPr>
          <w:rFonts w:ascii="Times New Roman" w:hAnsi="Times New Roman"/>
          <w:b/>
          <w:color w:val="000000"/>
        </w:rPr>
      </w:pPr>
    </w:p>
    <w:p w:rsidR="00866EB6" w:rsidRPr="007F5D87" w:rsidRDefault="00866EB6" w:rsidP="0009163D">
      <w:pPr>
        <w:rPr>
          <w:szCs w:val="28"/>
        </w:rPr>
      </w:pPr>
      <w:r>
        <w:rPr>
          <w:rFonts w:ascii="Times New Roman" w:hAnsi="Times New Roman"/>
          <w:color w:val="000000"/>
          <w:u w:val="single"/>
        </w:rPr>
        <w:t>Remarque</w:t>
      </w:r>
      <w:r w:rsidR="002575A2">
        <w:rPr>
          <w:rFonts w:ascii="Times New Roman" w:hAnsi="Times New Roman"/>
          <w:color w:val="000000"/>
        </w:rPr>
        <w:t> : o</w:t>
      </w:r>
      <w:r>
        <w:rPr>
          <w:rFonts w:ascii="Times New Roman" w:hAnsi="Times New Roman"/>
          <w:color w:val="000000"/>
        </w:rPr>
        <w:t>n trouvera de plus amples détails sur les activités à l’annexe F.</w:t>
      </w:r>
      <w:r w:rsidR="0009163D" w:rsidRPr="007F5D87">
        <w:rPr>
          <w:szCs w:val="28"/>
        </w:rPr>
        <w:t xml:space="preserve"> </w:t>
      </w:r>
    </w:p>
    <w:p w:rsidR="00866EB6" w:rsidRDefault="00866EB6">
      <w:pPr>
        <w:spacing w:after="160" w:line="259" w:lineRule="auto"/>
        <w:jc w:val="left"/>
        <w:rPr>
          <w:rFonts w:ascii="Times New Roman" w:eastAsia="Times New Roman" w:hAnsi="Times New Roman"/>
          <w:sz w:val="24"/>
          <w:szCs w:val="22"/>
        </w:rPr>
        <w:sectPr w:rsidR="00866EB6" w:rsidSect="00866EB6">
          <w:pgSz w:w="16838" w:h="11906" w:orient="landscape"/>
          <w:pgMar w:top="1417" w:right="1417" w:bottom="1417" w:left="1417" w:header="708" w:footer="708" w:gutter="0"/>
          <w:cols w:space="708"/>
          <w:docGrid w:linePitch="360"/>
        </w:sectPr>
      </w:pPr>
    </w:p>
    <w:p w:rsidR="00922D95" w:rsidRPr="007F5D87" w:rsidRDefault="00922D95" w:rsidP="00922D95">
      <w:pPr>
        <w:pStyle w:val="Titre1"/>
        <w:spacing w:before="0" w:after="60"/>
        <w:rPr>
          <w:rFonts w:ascii="Calibri" w:hAnsi="Calibri"/>
          <w:sz w:val="32"/>
          <w:szCs w:val="28"/>
        </w:rPr>
      </w:pPr>
      <w:bookmarkStart w:id="48" w:name="_Toc496886562"/>
      <w:bookmarkStart w:id="49" w:name="_Toc498638399"/>
      <w:r>
        <w:rPr>
          <w:rFonts w:ascii="Calibri" w:hAnsi="Calibri"/>
          <w:sz w:val="32"/>
          <w:szCs w:val="28"/>
        </w:rPr>
        <w:t>Contexte juridique</w:t>
      </w:r>
      <w:bookmarkEnd w:id="48"/>
      <w:bookmarkEnd w:id="49"/>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p>
    <w:p w:rsidR="00922D95" w:rsidRPr="00922D95" w:rsidRDefault="00381096" w:rsidP="00381096">
      <w:pPr>
        <w:spacing w:after="0"/>
        <w:rPr>
          <w:rFonts w:ascii="Times New Roman" w:eastAsia="Times New Roman" w:hAnsi="Times New Roman"/>
          <w:sz w:val="24"/>
          <w:szCs w:val="22"/>
          <w:u w:val="single"/>
          <w:lang w:eastAsia="fr-FR" w:bidi="fr-FR"/>
        </w:rPr>
      </w:pPr>
      <w:r w:rsidRPr="00922D95">
        <w:rPr>
          <w:rFonts w:ascii="Times New Roman" w:hAnsi="Times New Roman"/>
          <w:sz w:val="24"/>
          <w:lang w:eastAsia="fr-FR" w:bidi="fr-FR"/>
        </w:rPr>
        <w:t>164.</w:t>
      </w:r>
      <w:r>
        <w:rPr>
          <w:rFonts w:ascii="Times New Roman" w:hAnsi="Times New Roman"/>
          <w:sz w:val="24"/>
          <w:lang w:eastAsia="fr-FR" w:bidi="fr-FR"/>
        </w:rPr>
        <w:tab/>
      </w:r>
      <w:r w:rsidR="00922D95" w:rsidRPr="00922D95">
        <w:rPr>
          <w:rFonts w:ascii="Times New Roman" w:eastAsia="Times New Roman" w:hAnsi="Times New Roman"/>
          <w:sz w:val="24"/>
          <w:szCs w:val="22"/>
          <w:lang w:eastAsia="fr-FR" w:bidi="fr-FR"/>
        </w:rPr>
        <w:t xml:space="preserve">Le présent document, ainsi que le Plan d'action pour la mise en œuvre des programmes de pays incorporé par référence et signé par le Gouvernement et par le PNUD, constituent ensemble </w:t>
      </w:r>
      <w:r w:rsidR="00845CF0">
        <w:rPr>
          <w:rFonts w:ascii="Times New Roman" w:eastAsia="Times New Roman" w:hAnsi="Times New Roman"/>
          <w:sz w:val="24"/>
          <w:szCs w:val="22"/>
          <w:lang w:eastAsia="fr-FR" w:bidi="fr-FR"/>
        </w:rPr>
        <w:t>le</w:t>
      </w:r>
      <w:r w:rsidR="00922D95" w:rsidRPr="00922D95">
        <w:rPr>
          <w:rFonts w:ascii="Times New Roman" w:eastAsia="Times New Roman" w:hAnsi="Times New Roman"/>
          <w:sz w:val="24"/>
          <w:szCs w:val="22"/>
          <w:lang w:eastAsia="fr-FR" w:bidi="fr-FR"/>
        </w:rPr>
        <w:t xml:space="preserve"> Descriptif de projet tel que mentionné dans l'Accord de base type en matière d'assistance (ou dans tout autre accord gouvernemental approprié) et toutes les dispositions du Plan d'action s'</w:t>
      </w:r>
      <w:r w:rsidR="004533D6">
        <w:rPr>
          <w:rFonts w:ascii="Times New Roman" w:eastAsia="Times New Roman" w:hAnsi="Times New Roman"/>
          <w:sz w:val="24"/>
          <w:szCs w:val="22"/>
          <w:lang w:eastAsia="fr-FR" w:bidi="fr-FR"/>
        </w:rPr>
        <w:t>appliquent au présent document.</w:t>
      </w:r>
    </w:p>
    <w:p w:rsidR="00922D95" w:rsidRPr="00922D95" w:rsidRDefault="00922D95" w:rsidP="00922D95">
      <w:pPr>
        <w:rPr>
          <w:rFonts w:ascii="Times New Roman" w:hAnsi="Times New Roman"/>
          <w:sz w:val="24"/>
          <w:lang w:eastAsia="fr-FR" w:bidi="fr-FR"/>
        </w:rPr>
      </w:pPr>
    </w:p>
    <w:p w:rsidR="005736A0" w:rsidRDefault="00922D95" w:rsidP="009B3C60">
      <w:pPr>
        <w:pStyle w:val="NumberedParas"/>
        <w:rPr>
          <w:lang w:eastAsia="fr-FR" w:bidi="fr-FR"/>
        </w:rPr>
      </w:pPr>
      <w:r w:rsidRPr="00922D95">
        <w:rPr>
          <w:lang w:eastAsia="fr-FR" w:bidi="fr-FR"/>
        </w:rPr>
        <w:t xml:space="preserve">Conformément à l'article III de l'Accord de base type en matière d'assistance, la responsabilité de la sûreté et de la sécurité du Partenaire opérationnel, de son personnel et de ses biens, ainsi que des biens du PNUD dont le Partenaire opérationnel a la garde, incombe à ce dernier. </w:t>
      </w:r>
    </w:p>
    <w:p w:rsidR="005736A0" w:rsidRDefault="005736A0" w:rsidP="009B3C60">
      <w:pPr>
        <w:pStyle w:val="NumberedParas"/>
        <w:numPr>
          <w:ilvl w:val="0"/>
          <w:numId w:val="0"/>
        </w:numPr>
        <w:ind w:left="360"/>
        <w:rPr>
          <w:lang w:eastAsia="fr-FR" w:bidi="fr-FR"/>
        </w:rPr>
      </w:pPr>
    </w:p>
    <w:p w:rsidR="00381096" w:rsidRPr="00922D95" w:rsidRDefault="008A14B7" w:rsidP="009B3C60">
      <w:pPr>
        <w:pStyle w:val="NumberedParas"/>
        <w:numPr>
          <w:ilvl w:val="0"/>
          <w:numId w:val="0"/>
        </w:numPr>
        <w:ind w:left="360"/>
        <w:rPr>
          <w:lang w:eastAsia="fr-FR" w:bidi="fr-FR"/>
        </w:rPr>
      </w:pPr>
      <w:r>
        <w:rPr>
          <w:lang w:eastAsia="fr-FR" w:bidi="fr-FR"/>
        </w:rPr>
        <w:t xml:space="preserve">Toutes les acquisitions des biens et services destinés à la mise en œuvre du </w:t>
      </w:r>
      <w:r w:rsidR="005736A0">
        <w:rPr>
          <w:lang w:eastAsia="fr-FR" w:bidi="fr-FR"/>
        </w:rPr>
        <w:t>PFNAC</w:t>
      </w:r>
      <w:r>
        <w:rPr>
          <w:lang w:eastAsia="fr-FR" w:bidi="fr-FR"/>
        </w:rPr>
        <w:t xml:space="preserve"> en l’occurrence</w:t>
      </w:r>
      <w:r w:rsidR="00E87BA1">
        <w:rPr>
          <w:lang w:eastAsia="fr-FR" w:bidi="fr-FR"/>
        </w:rPr>
        <w:t xml:space="preserve"> les matériels et équipements, les fournitures de carburant et consommables, les prestations intellectuelles et services etc. seront exonérées de</w:t>
      </w:r>
      <w:r w:rsidR="005736A0">
        <w:rPr>
          <w:lang w:eastAsia="fr-FR" w:bidi="fr-FR"/>
        </w:rPr>
        <w:t>s</w:t>
      </w:r>
      <w:r w:rsidR="00E87BA1">
        <w:rPr>
          <w:lang w:eastAsia="fr-FR" w:bidi="fr-FR"/>
        </w:rPr>
        <w:t xml:space="preserve"> droits et taxes de toute nature.</w:t>
      </w:r>
      <w:r>
        <w:rPr>
          <w:lang w:eastAsia="fr-FR" w:bidi="fr-FR"/>
        </w:rPr>
        <w:t xml:space="preserve">  </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165.</w:t>
      </w:r>
      <w:r w:rsidRPr="00922D95">
        <w:rPr>
          <w:lang w:eastAsia="fr-FR" w:bidi="fr-FR"/>
        </w:rPr>
        <w:tab/>
      </w:r>
      <w:r w:rsidRPr="00922D95">
        <w:rPr>
          <w:rFonts w:ascii="Times New Roman" w:hAnsi="Times New Roman"/>
          <w:sz w:val="24"/>
          <w:lang w:eastAsia="fr-FR" w:bidi="fr-FR"/>
        </w:rPr>
        <w:t>Le Partenaire opérationnel :</w:t>
      </w: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w:t>
      </w:r>
      <w:r w:rsidRPr="00922D95">
        <w:rPr>
          <w:lang w:eastAsia="fr-FR" w:bidi="fr-FR"/>
        </w:rPr>
        <w:tab/>
      </w:r>
      <w:r w:rsidRPr="00922D95">
        <w:rPr>
          <w:rFonts w:ascii="Times New Roman" w:hAnsi="Times New Roman"/>
          <w:sz w:val="24"/>
          <w:lang w:eastAsia="fr-FR" w:bidi="fr-FR"/>
        </w:rPr>
        <w:t>met en œuvre un plan de sécurité approprié et le maintien, en tenant compte de la situation sécuritaire dan</w:t>
      </w:r>
      <w:r w:rsidR="004533D6">
        <w:rPr>
          <w:rFonts w:ascii="Times New Roman" w:hAnsi="Times New Roman"/>
          <w:sz w:val="24"/>
          <w:lang w:eastAsia="fr-FR" w:bidi="fr-FR"/>
        </w:rPr>
        <w:t>s le pays où le projet est mené</w:t>
      </w:r>
      <w:r w:rsidR="00D2405E">
        <w:rPr>
          <w:rFonts w:ascii="Times New Roman" w:hAnsi="Times New Roman"/>
          <w:sz w:val="24"/>
          <w:lang w:eastAsia="fr-FR" w:bidi="fr-FR"/>
        </w:rPr>
        <w:t> ;</w:t>
      </w: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w:t>
      </w:r>
      <w:r w:rsidRPr="00922D95">
        <w:rPr>
          <w:lang w:eastAsia="fr-FR" w:bidi="fr-FR"/>
        </w:rPr>
        <w:tab/>
      </w:r>
      <w:r w:rsidRPr="00922D95">
        <w:rPr>
          <w:rFonts w:ascii="Times New Roman" w:hAnsi="Times New Roman"/>
          <w:sz w:val="24"/>
          <w:lang w:eastAsia="fr-FR" w:bidi="fr-FR"/>
        </w:rPr>
        <w:t>assume tous les risques et toutes les responsabilités relatives à sa sécurité et à la mise en œuvre complète du plan de sécurité.</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166.</w:t>
      </w:r>
      <w:r w:rsidRPr="00922D95">
        <w:rPr>
          <w:lang w:eastAsia="fr-FR" w:bidi="fr-FR"/>
        </w:rPr>
        <w:tab/>
      </w:r>
      <w:r w:rsidRPr="00922D95">
        <w:rPr>
          <w:rFonts w:ascii="Times New Roman" w:hAnsi="Times New Roman"/>
          <w:sz w:val="24"/>
          <w:lang w:eastAsia="fr-FR" w:bidi="fr-FR"/>
        </w:rPr>
        <w:t>Le PNUD se réserve le droit de vérifier si un tel plan est mis en œuvre et d'y suggérer des modifications au besoin. Le manquement au maintien et à la mise en œuvre d'un plan de sécurité approprié, tel que cela est exigé en vertu des présentes dispositions, sera considéré comme une violation du présent Accord.</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167.</w:t>
      </w:r>
      <w:r w:rsidRPr="00922D95">
        <w:rPr>
          <w:lang w:eastAsia="fr-FR" w:bidi="fr-FR"/>
        </w:rPr>
        <w:tab/>
      </w:r>
      <w:r w:rsidRPr="00922D95">
        <w:rPr>
          <w:rFonts w:ascii="Times New Roman" w:hAnsi="Times New Roman"/>
          <w:sz w:val="24"/>
          <w:lang w:eastAsia="fr-FR" w:bidi="fr-FR"/>
        </w:rPr>
        <w:t xml:space="preserve">Le Partenaire opérationnel convient de faire tout ce qui est raisonnablement possible pour qu'aucun des fonds du PNUD reçus au titre du Descriptif de projet ne serve à fournir un appui à des personnes ou des entités liées au terrorisme et que les bénéficiaires des montants fournis par le PNUD au titre du présent projet ne figurent pas sur la liste tenue à jour par le Comité du Conseil de sécurité en vertu de la résolution 1267 (1999). Cette liste est accessible à l'adresse suivante : http://www.un.org/Docs/sc/committees/1267/1267ListEng.htm. Cette disposition doit être incluse dans tous les contrats de sous-traitance et dans tous les accords subsidiaires conclus au titre du présent Descriptif de projet. </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168.</w:t>
      </w:r>
      <w:r w:rsidRPr="00922D95">
        <w:rPr>
          <w:lang w:eastAsia="fr-FR" w:bidi="fr-FR"/>
        </w:rPr>
        <w:tab/>
      </w:r>
      <w:r w:rsidRPr="00922D95">
        <w:rPr>
          <w:rFonts w:ascii="Times New Roman" w:hAnsi="Times New Roman"/>
          <w:sz w:val="24"/>
          <w:lang w:eastAsia="fr-FR" w:bidi="fr-FR"/>
        </w:rPr>
        <w:t>Les désignations figurant sur les cartes ou autres références utilisées dans le présent Descriptif de projet n'impliquent de la part du PNUD aucune prise de position relative au statut juridique des pays, territoires, villes ou zones ou de leurs autorités ou relative au tracé de leurs frontières ou de leurs limites.</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lang w:eastAsia="fr-FR" w:bidi="fr-FR"/>
        </w:rPr>
      </w:pPr>
    </w:p>
    <w:p w:rsidR="00922D95" w:rsidRPr="00922D95" w:rsidRDefault="00922D95" w:rsidP="00922D95">
      <w:pPr>
        <w:rPr>
          <w:lang w:eastAsia="fr-FR" w:bidi="fr-FR"/>
        </w:rPr>
      </w:pPr>
    </w:p>
    <w:p w:rsidR="00922D95" w:rsidRPr="007F5D87" w:rsidRDefault="00922D95" w:rsidP="00922D95">
      <w:pPr>
        <w:pStyle w:val="Titre1"/>
        <w:spacing w:before="0" w:after="60"/>
        <w:rPr>
          <w:rFonts w:ascii="Calibri" w:hAnsi="Calibri"/>
          <w:sz w:val="32"/>
          <w:szCs w:val="28"/>
        </w:rPr>
      </w:pPr>
      <w:bookmarkStart w:id="50" w:name="_Toc496886563"/>
      <w:bookmarkStart w:id="51" w:name="_Toc498638400"/>
      <w:r>
        <w:rPr>
          <w:rFonts w:ascii="Calibri" w:hAnsi="Calibri"/>
          <w:sz w:val="32"/>
          <w:szCs w:val="28"/>
        </w:rPr>
        <w:t>Annexes obligatoires</w:t>
      </w:r>
      <w:bookmarkEnd w:id="50"/>
      <w:bookmarkEnd w:id="51"/>
    </w:p>
    <w:p w:rsidR="00922D95" w:rsidRPr="00922D95" w:rsidRDefault="00922D95" w:rsidP="00922D95">
      <w:pPr>
        <w:rPr>
          <w:rFonts w:ascii="Times New Roman" w:hAnsi="Times New Roman"/>
          <w:sz w:val="24"/>
          <w:lang w:eastAsia="fr-FR" w:bidi="fr-FR"/>
        </w:rPr>
      </w:pPr>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4" w:history="1">
        <w:r w:rsidR="00E42C74" w:rsidRPr="00E42C74">
          <w:rPr>
            <w:rStyle w:val="Lienhypertexte"/>
            <w:rFonts w:ascii="Century Gothic" w:hAnsi="Century Gothic"/>
            <w:b/>
            <w:smallCaps/>
            <w:noProof/>
            <w:color w:val="000000" w:themeColor="text1"/>
            <w:spacing w:val="-2"/>
          </w:rPr>
          <w:t>Annexe [A]. Plan de travail pluriannuel</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_Toc496886564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107</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5" w:history="1">
        <w:r w:rsidR="00E42C74" w:rsidRPr="00E42C74">
          <w:rPr>
            <w:rStyle w:val="Lienhypertexte"/>
            <w:rFonts w:ascii="Century Gothic" w:hAnsi="Century Gothic"/>
            <w:b/>
            <w:smallCaps/>
            <w:noProof/>
            <w:color w:val="000000" w:themeColor="text1"/>
            <w:spacing w:val="-2"/>
          </w:rPr>
          <w:t>Annexe [B]. Plan de suivi</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_Toc496886565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110</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6" w:history="1">
        <w:r w:rsidR="00E42C74" w:rsidRPr="00E42C74">
          <w:rPr>
            <w:rStyle w:val="Lienhypertexte"/>
            <w:rFonts w:ascii="Century Gothic" w:hAnsi="Century Gothic"/>
            <w:b/>
            <w:smallCaps/>
            <w:noProof/>
            <w:color w:val="000000" w:themeColor="text1"/>
            <w:spacing w:val="-2"/>
          </w:rPr>
          <w:t>Annexe [C]. Plan d’évaluation</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_Toc496886566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114</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7" w:history="1">
        <w:r w:rsidR="00E42C74" w:rsidRPr="00E42C74">
          <w:rPr>
            <w:rStyle w:val="Lienhypertexte"/>
            <w:rFonts w:ascii="Century Gothic" w:hAnsi="Century Gothic"/>
            <w:b/>
            <w:smallCaps/>
            <w:noProof/>
            <w:color w:val="000000" w:themeColor="text1"/>
            <w:spacing w:val="-2"/>
          </w:rPr>
          <w:t>Annexe [D]. Outil de suivi de référence du FEM</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_Toc496886567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115</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8" w:history="1">
        <w:r w:rsidR="00E42C74" w:rsidRPr="00E42C74">
          <w:rPr>
            <w:rStyle w:val="Lienhypertexte"/>
            <w:rFonts w:ascii="Century Gothic" w:hAnsi="Century Gothic"/>
            <w:b/>
            <w:smallCaps/>
            <w:noProof/>
            <w:color w:val="000000" w:themeColor="text1"/>
            <w:spacing w:val="-2"/>
          </w:rPr>
          <w:t>Annexe [E]. Descriptif d’emploi du personnel principal du projet</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_Toc496886568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116</w:t>
        </w:r>
        <w:r w:rsidR="00E42C74" w:rsidRPr="00E42C74">
          <w:rPr>
            <w:noProof/>
            <w:webHidden/>
            <w:color w:val="000000" w:themeColor="text1"/>
          </w:rPr>
          <w:fldChar w:fldCharType="end"/>
        </w:r>
      </w:hyperlink>
    </w:p>
    <w:p w:rsidR="00E42C74" w:rsidRPr="00E42C74" w:rsidRDefault="006470DA" w:rsidP="00E42C74">
      <w:pPr>
        <w:pStyle w:val="TM1"/>
        <w:rPr>
          <w:rFonts w:asciiTheme="minorHAnsi" w:eastAsiaTheme="minorEastAsia" w:hAnsiTheme="minorHAnsi" w:cstheme="minorBidi"/>
          <w:noProof/>
          <w:color w:val="000000" w:themeColor="text1"/>
          <w:sz w:val="22"/>
          <w:szCs w:val="22"/>
        </w:rPr>
      </w:pPr>
      <w:hyperlink w:anchor="_Toc496886569" w:history="1">
        <w:r w:rsidR="00E42C74" w:rsidRPr="00E42C74">
          <w:rPr>
            <w:rStyle w:val="Lienhypertexte"/>
            <w:rFonts w:ascii="Century Gothic" w:hAnsi="Century Gothic"/>
            <w:b/>
            <w:smallCaps/>
            <w:noProof/>
            <w:color w:val="000000" w:themeColor="text1"/>
            <w:spacing w:val="-2"/>
          </w:rPr>
          <w:t xml:space="preserve">Annexe [F]. Rapport d’évaluation principal pour la composante 1 : « Mécanismes de financement </w:t>
        </w:r>
        <w:r w:rsidR="00311A1A">
          <w:rPr>
            <w:rStyle w:val="Lienhypertexte"/>
            <w:rFonts w:ascii="Century Gothic" w:hAnsi="Century Gothic"/>
            <w:b/>
            <w:smallCaps/>
            <w:noProof/>
            <w:color w:val="000000" w:themeColor="text1"/>
            <w:spacing w:val="-2"/>
          </w:rPr>
          <w:t>novateur</w:t>
        </w:r>
        <w:r w:rsidR="00E42C74" w:rsidRPr="00E42C74">
          <w:rPr>
            <w:rStyle w:val="Lienhypertexte"/>
            <w:rFonts w:ascii="Century Gothic" w:hAnsi="Century Gothic"/>
            <w:b/>
            <w:smallCaps/>
            <w:noProof/>
            <w:color w:val="000000" w:themeColor="text1"/>
            <w:spacing w:val="-2"/>
          </w:rPr>
          <w:t>s »</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_Toc496886569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120</w:t>
        </w:r>
        <w:r w:rsidR="00E42C74" w:rsidRPr="00E42C74">
          <w:rPr>
            <w:noProof/>
            <w:webHidden/>
            <w:color w:val="000000" w:themeColor="text1"/>
          </w:rPr>
          <w:fldChar w:fldCharType="end"/>
        </w:r>
      </w:hyperlink>
    </w:p>
    <w:p w:rsidR="00E42C74" w:rsidRPr="00E42C74" w:rsidRDefault="00E42C74">
      <w:pPr>
        <w:spacing w:after="160" w:line="259" w:lineRule="auto"/>
        <w:jc w:val="left"/>
        <w:rPr>
          <w:lang w:eastAsia="fr-FR" w:bidi="fr-FR"/>
        </w:rPr>
      </w:pPr>
    </w:p>
    <w:p w:rsidR="00E42C74" w:rsidRPr="00E42C74" w:rsidRDefault="00E42C74">
      <w:pPr>
        <w:spacing w:after="160" w:line="259" w:lineRule="auto"/>
        <w:jc w:val="left"/>
        <w:rPr>
          <w:lang w:eastAsia="fr-FR" w:bidi="fr-FR"/>
        </w:rPr>
      </w:pPr>
    </w:p>
    <w:p w:rsidR="00743B0B" w:rsidRDefault="00743B0B">
      <w:pPr>
        <w:spacing w:after="160" w:line="259" w:lineRule="auto"/>
        <w:jc w:val="left"/>
        <w:rPr>
          <w:rFonts w:ascii="Times New Roman" w:eastAsia="Times New Roman" w:hAnsi="Times New Roman"/>
          <w:sz w:val="24"/>
          <w:szCs w:val="22"/>
        </w:rPr>
      </w:pPr>
      <w:r>
        <w:br w:type="page"/>
      </w:r>
    </w:p>
    <w:p w:rsidR="00743B0B" w:rsidRDefault="00743B0B" w:rsidP="00922D95">
      <w:pPr>
        <w:pStyle w:val="NumberedParas"/>
        <w:numPr>
          <w:ilvl w:val="0"/>
          <w:numId w:val="0"/>
        </w:numPr>
        <w:ind w:left="360" w:hanging="360"/>
        <w:sectPr w:rsidR="00743B0B" w:rsidSect="003F2B50">
          <w:pgSz w:w="11906" w:h="16838"/>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2" w:name="_Toc496886564"/>
      <w:bookmarkStart w:id="53" w:name="_Toc498638401"/>
      <w:r w:rsidRPr="00743B0B">
        <w:rPr>
          <w:rFonts w:ascii="Century Gothic" w:hAnsi="Century Gothic"/>
          <w:b/>
          <w:smallCaps/>
          <w:spacing w:val="-2"/>
          <w:sz w:val="28"/>
          <w:szCs w:val="20"/>
        </w:rPr>
        <w:t>Annexe [A].</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de travail pluriannuel</w:t>
      </w:r>
      <w:bookmarkEnd w:id="52"/>
      <w:bookmarkEnd w:id="53"/>
    </w:p>
    <w:p w:rsidR="00743B0B" w:rsidRPr="00743B0B" w:rsidRDefault="00743B0B" w:rsidP="00743B0B">
      <w:pPr>
        <w:spacing w:after="0"/>
        <w:jc w:val="left"/>
        <w:rPr>
          <w:rFonts w:ascii="Times New Roman" w:hAnsi="Times New Roman"/>
          <w:sz w:val="24"/>
        </w:rPr>
      </w:pPr>
    </w:p>
    <w:p w:rsidR="00743B0B" w:rsidRPr="00743B0B" w:rsidRDefault="00743B0B" w:rsidP="00743B0B">
      <w:pPr>
        <w:spacing w:after="0"/>
        <w:jc w:val="left"/>
        <w:rPr>
          <w:rFonts w:ascii="Times New Roman" w:hAnsi="Times New Roman"/>
          <w:sz w:val="24"/>
        </w:rPr>
      </w:pPr>
    </w:p>
    <w:tbl>
      <w:tblPr>
        <w:tblW w:w="1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90"/>
        <w:gridCol w:w="617"/>
        <w:gridCol w:w="617"/>
        <w:gridCol w:w="617"/>
        <w:gridCol w:w="617"/>
        <w:gridCol w:w="618"/>
        <w:gridCol w:w="618"/>
        <w:gridCol w:w="618"/>
        <w:gridCol w:w="618"/>
        <w:gridCol w:w="618"/>
        <w:gridCol w:w="618"/>
        <w:gridCol w:w="618"/>
        <w:gridCol w:w="618"/>
        <w:gridCol w:w="618"/>
        <w:gridCol w:w="618"/>
        <w:gridCol w:w="618"/>
        <w:gridCol w:w="618"/>
      </w:tblGrid>
      <w:tr w:rsidR="00743B0B" w:rsidRPr="00743B0B" w:rsidTr="00743B0B">
        <w:tc>
          <w:tcPr>
            <w:tcW w:w="3118" w:type="dxa"/>
            <w:vMerge w:val="restart"/>
            <w:shd w:val="clear" w:color="auto" w:fill="D9D9D9"/>
          </w:tcPr>
          <w:p w:rsidR="00743B0B" w:rsidRPr="00743B0B" w:rsidRDefault="00743B0B" w:rsidP="00743B0B">
            <w:pPr>
              <w:rPr>
                <w:b/>
              </w:rPr>
            </w:pPr>
            <w:r w:rsidRPr="00743B0B">
              <w:rPr>
                <w:b/>
                <w:szCs w:val="22"/>
              </w:rPr>
              <w:t>Tâche</w:t>
            </w:r>
          </w:p>
        </w:tc>
        <w:tc>
          <w:tcPr>
            <w:tcW w:w="1690" w:type="dxa"/>
            <w:vMerge w:val="restart"/>
            <w:shd w:val="clear" w:color="auto" w:fill="D9D9D9"/>
          </w:tcPr>
          <w:p w:rsidR="00743B0B" w:rsidRPr="00743B0B" w:rsidRDefault="00743B0B" w:rsidP="00743B0B">
            <w:pPr>
              <w:rPr>
                <w:b/>
              </w:rPr>
            </w:pPr>
            <w:r w:rsidRPr="00743B0B">
              <w:rPr>
                <w:b/>
                <w:szCs w:val="22"/>
              </w:rPr>
              <w:t>Partie responsable</w:t>
            </w:r>
          </w:p>
        </w:tc>
        <w:tc>
          <w:tcPr>
            <w:tcW w:w="2468" w:type="dxa"/>
            <w:gridSpan w:val="4"/>
            <w:shd w:val="clear" w:color="auto" w:fill="D9D9D9"/>
          </w:tcPr>
          <w:p w:rsidR="00743B0B" w:rsidRPr="00743B0B" w:rsidRDefault="00743B0B" w:rsidP="00743B0B">
            <w:pPr>
              <w:jc w:val="center"/>
              <w:rPr>
                <w:b/>
              </w:rPr>
            </w:pPr>
            <w:r w:rsidRPr="00743B0B">
              <w:rPr>
                <w:b/>
                <w:szCs w:val="22"/>
              </w:rPr>
              <w:t>Année 1</w:t>
            </w:r>
          </w:p>
        </w:tc>
        <w:tc>
          <w:tcPr>
            <w:tcW w:w="2472" w:type="dxa"/>
            <w:gridSpan w:val="4"/>
            <w:shd w:val="clear" w:color="auto" w:fill="D9D9D9"/>
          </w:tcPr>
          <w:p w:rsidR="00743B0B" w:rsidRPr="00743B0B" w:rsidRDefault="00743B0B" w:rsidP="00743B0B">
            <w:pPr>
              <w:jc w:val="center"/>
              <w:rPr>
                <w:b/>
              </w:rPr>
            </w:pPr>
            <w:r w:rsidRPr="00743B0B">
              <w:rPr>
                <w:b/>
                <w:szCs w:val="22"/>
              </w:rPr>
              <w:t>Année 2</w:t>
            </w:r>
          </w:p>
        </w:tc>
        <w:tc>
          <w:tcPr>
            <w:tcW w:w="2472" w:type="dxa"/>
            <w:gridSpan w:val="4"/>
            <w:shd w:val="clear" w:color="auto" w:fill="D9D9D9"/>
          </w:tcPr>
          <w:p w:rsidR="00743B0B" w:rsidRPr="00743B0B" w:rsidRDefault="00743B0B" w:rsidP="00743B0B">
            <w:pPr>
              <w:jc w:val="center"/>
              <w:rPr>
                <w:b/>
              </w:rPr>
            </w:pPr>
            <w:r w:rsidRPr="00743B0B">
              <w:rPr>
                <w:b/>
                <w:szCs w:val="22"/>
              </w:rPr>
              <w:t>Année 3</w:t>
            </w:r>
          </w:p>
        </w:tc>
        <w:tc>
          <w:tcPr>
            <w:tcW w:w="2472" w:type="dxa"/>
            <w:gridSpan w:val="4"/>
            <w:shd w:val="clear" w:color="auto" w:fill="D9D9D9"/>
          </w:tcPr>
          <w:p w:rsidR="00743B0B" w:rsidRPr="00743B0B" w:rsidRDefault="00743B0B" w:rsidP="00743B0B">
            <w:pPr>
              <w:jc w:val="center"/>
              <w:rPr>
                <w:b/>
              </w:rPr>
            </w:pPr>
            <w:r w:rsidRPr="00743B0B">
              <w:rPr>
                <w:b/>
                <w:szCs w:val="22"/>
              </w:rPr>
              <w:t>Année 4</w:t>
            </w:r>
          </w:p>
        </w:tc>
      </w:tr>
      <w:tr w:rsidR="00743B0B" w:rsidRPr="00743B0B" w:rsidTr="00743B0B">
        <w:tc>
          <w:tcPr>
            <w:tcW w:w="3118" w:type="dxa"/>
            <w:vMerge/>
            <w:shd w:val="clear" w:color="auto" w:fill="D9D9D9"/>
          </w:tcPr>
          <w:p w:rsidR="00743B0B" w:rsidRPr="00743B0B" w:rsidRDefault="00743B0B" w:rsidP="00743B0B"/>
        </w:tc>
        <w:tc>
          <w:tcPr>
            <w:tcW w:w="1690" w:type="dxa"/>
            <w:vMerge/>
            <w:shd w:val="clear" w:color="auto" w:fill="D9D9D9"/>
          </w:tcPr>
          <w:p w:rsidR="00743B0B" w:rsidRPr="00743B0B" w:rsidRDefault="00743B0B" w:rsidP="00743B0B"/>
        </w:tc>
        <w:tc>
          <w:tcPr>
            <w:tcW w:w="617" w:type="dxa"/>
            <w:shd w:val="clear" w:color="auto" w:fill="D9D9D9"/>
          </w:tcPr>
          <w:p w:rsidR="00743B0B" w:rsidRPr="00743B0B" w:rsidRDefault="00743B0B" w:rsidP="00743B0B">
            <w:r w:rsidRPr="00743B0B">
              <w:t>T1</w:t>
            </w:r>
          </w:p>
        </w:tc>
        <w:tc>
          <w:tcPr>
            <w:tcW w:w="617" w:type="dxa"/>
            <w:shd w:val="clear" w:color="auto" w:fill="D9D9D9"/>
          </w:tcPr>
          <w:p w:rsidR="00743B0B" w:rsidRPr="00743B0B" w:rsidRDefault="00743B0B" w:rsidP="00743B0B">
            <w:r w:rsidRPr="00743B0B">
              <w:t>T2</w:t>
            </w:r>
          </w:p>
        </w:tc>
        <w:tc>
          <w:tcPr>
            <w:tcW w:w="617" w:type="dxa"/>
            <w:shd w:val="clear" w:color="auto" w:fill="D9D9D9"/>
          </w:tcPr>
          <w:p w:rsidR="00743B0B" w:rsidRPr="00743B0B" w:rsidRDefault="00743B0B" w:rsidP="00743B0B">
            <w:r w:rsidRPr="00743B0B">
              <w:t>T3</w:t>
            </w:r>
          </w:p>
        </w:tc>
        <w:tc>
          <w:tcPr>
            <w:tcW w:w="617"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r>
      <w:tr w:rsidR="00743B0B" w:rsidRPr="00743B0B" w:rsidTr="00743B0B">
        <w:tc>
          <w:tcPr>
            <w:tcW w:w="3118" w:type="dxa"/>
            <w:shd w:val="clear" w:color="auto" w:fill="auto"/>
          </w:tcPr>
          <w:p w:rsidR="00743B0B" w:rsidRPr="00743B0B" w:rsidRDefault="00743B0B" w:rsidP="00743B0B">
            <w:r w:rsidRPr="00743B0B">
              <w:t>1.1.1. Concevoir un plan d’action d’adaptation clair (+ budget)</w:t>
            </w:r>
          </w:p>
        </w:tc>
        <w:tc>
          <w:tcPr>
            <w:tcW w:w="1690" w:type="dxa"/>
            <w:shd w:val="clear" w:color="auto" w:fill="auto"/>
          </w:tcPr>
          <w:p w:rsidR="00743B0B" w:rsidRPr="00743B0B" w:rsidRDefault="00743B0B" w:rsidP="00743B0B">
            <w:r w:rsidRPr="00743B0B">
              <w:t>UGP (avec les consultants locaux)</w:t>
            </w:r>
          </w:p>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 xml:space="preserve">1.1.2. Établir un </w:t>
            </w:r>
            <w:r w:rsidR="00A5434B">
              <w:t>FCD</w:t>
            </w:r>
          </w:p>
        </w:tc>
        <w:tc>
          <w:tcPr>
            <w:tcW w:w="1690" w:type="dxa"/>
            <w:shd w:val="clear" w:color="auto" w:fill="auto"/>
          </w:tcPr>
          <w:p w:rsidR="00743B0B" w:rsidRPr="00743B0B" w:rsidRDefault="00743B0B" w:rsidP="00743B0B">
            <w:r w:rsidRPr="00743B0B">
              <w:t>UGP (avec les consultants locaux)</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1.1.3. Cartographier les sources existantes de financement climatique</w:t>
            </w:r>
          </w:p>
        </w:tc>
        <w:tc>
          <w:tcPr>
            <w:tcW w:w="1690" w:type="dxa"/>
            <w:shd w:val="clear" w:color="auto" w:fill="auto"/>
          </w:tcPr>
          <w:p w:rsidR="00743B0B" w:rsidRPr="00743B0B" w:rsidRDefault="00743B0B" w:rsidP="00743B0B">
            <w:r w:rsidRPr="00743B0B">
              <w:t>UGP</w:t>
            </w:r>
          </w:p>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1.2.1. Établir un PPP</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1.2.2. Développer des mécanismes de partage des bénéfices pour les revenus provenant des chaînes de valeur</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1.2.3. Développer des compensations et la RSE</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1.3.1. Procéder à une évaluation approfondie des succès et des échecs des mutuelles</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1.3.2. Renforcer le réseau de mutuelles</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1.3.3. Organiser des formations pour les groupements de femmes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1.3.4. Nouer des partenariats avec d’autres IMF</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1.4.1. Formation sur les options d’adaptation et la gestion de microprojets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1.4.2. Appuyer les GIC dans la définition des interventions prioritaires pour l’</w:t>
            </w:r>
            <w:r w:rsidR="00537B55">
              <w:t>adaptation aux changements climatiques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1.4.3. Sensibiliser les jeunes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2.1.1. Restauration des UP/RNC</w:t>
            </w:r>
          </w:p>
        </w:tc>
        <w:tc>
          <w:tcPr>
            <w:tcW w:w="1690" w:type="dxa"/>
            <w:shd w:val="clear" w:color="auto" w:fill="auto"/>
          </w:tcPr>
          <w:p w:rsidR="00743B0B" w:rsidRPr="00743B0B" w:rsidRDefault="00743B0B" w:rsidP="00743B0B">
            <w:r w:rsidRPr="00743B0B">
              <w:t>UGP (avec le PADAER)</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 xml:space="preserve">2.1.2. </w:t>
            </w:r>
            <w:r w:rsidR="00BD0111">
              <w:t>Aménagement d’</w:t>
            </w:r>
            <w:r w:rsidR="004A36C3">
              <w:t>mares</w:t>
            </w:r>
            <w:r w:rsidRPr="00743B0B">
              <w:t xml:space="preserve"> et adduction d’eau</w:t>
            </w:r>
          </w:p>
        </w:tc>
        <w:tc>
          <w:tcPr>
            <w:tcW w:w="1690" w:type="dxa"/>
            <w:shd w:val="clear" w:color="auto" w:fill="auto"/>
          </w:tcPr>
          <w:p w:rsidR="00743B0B" w:rsidRPr="00743B0B" w:rsidRDefault="00743B0B" w:rsidP="00743B0B">
            <w:r w:rsidRPr="00743B0B">
              <w:t xml:space="preserve">UGP (avec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2.1.3. Restauration de 50 ha de bas-fonds</w:t>
            </w:r>
          </w:p>
        </w:tc>
        <w:tc>
          <w:tcPr>
            <w:tcW w:w="1690" w:type="dxa"/>
            <w:shd w:val="clear" w:color="auto" w:fill="auto"/>
          </w:tcPr>
          <w:p w:rsidR="00743B0B" w:rsidRPr="00743B0B" w:rsidRDefault="00743B0B" w:rsidP="00743B0B">
            <w:r w:rsidRPr="00743B0B">
              <w:t xml:space="preserve">UGP (avec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2.1.4. Semences certifiées résilientes</w:t>
            </w:r>
          </w:p>
        </w:tc>
        <w:tc>
          <w:tcPr>
            <w:tcW w:w="1690" w:type="dxa"/>
            <w:shd w:val="clear" w:color="auto" w:fill="auto"/>
          </w:tcPr>
          <w:p w:rsidR="00743B0B" w:rsidRPr="00743B0B" w:rsidRDefault="00743B0B" w:rsidP="00743B0B">
            <w:r w:rsidRPr="00743B0B">
              <w:t>UGP (avec le PADAER)</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2.1.5. Amélioration des activités productives résilientes</w:t>
            </w:r>
          </w:p>
        </w:tc>
        <w:tc>
          <w:tcPr>
            <w:tcW w:w="1690" w:type="dxa"/>
            <w:shd w:val="clear" w:color="auto" w:fill="auto"/>
          </w:tcPr>
          <w:p w:rsidR="00743B0B" w:rsidRPr="00743B0B" w:rsidRDefault="00743B0B" w:rsidP="00743B0B">
            <w:r w:rsidRPr="00743B0B">
              <w:t xml:space="preserve">UGP (avec le PADAER et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2.2.1. Créer des groupements de producteurs</w:t>
            </w:r>
          </w:p>
        </w:tc>
        <w:tc>
          <w:tcPr>
            <w:tcW w:w="1690" w:type="dxa"/>
            <w:shd w:val="clear" w:color="auto" w:fill="auto"/>
          </w:tcPr>
          <w:p w:rsidR="00743B0B" w:rsidRPr="00743B0B" w:rsidRDefault="00743B0B" w:rsidP="00743B0B">
            <w:r w:rsidRPr="00743B0B">
              <w:t xml:space="preserve">UGP (avec le PADAER et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2.2.2. Concevoir un mécanisme de partage des avantages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2.2.3. Structurer les fonds renouvelables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2.2.4. Assurer le suivi de l’expérience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2.3.1. Investir dans 3 stations météorologiques</w:t>
            </w:r>
          </w:p>
        </w:tc>
        <w:tc>
          <w:tcPr>
            <w:tcW w:w="1690" w:type="dxa"/>
            <w:shd w:val="clear" w:color="auto" w:fill="auto"/>
          </w:tcPr>
          <w:p w:rsidR="00743B0B" w:rsidRPr="00743B0B" w:rsidRDefault="00743B0B" w:rsidP="00743B0B">
            <w:r w:rsidRPr="00743B0B">
              <w:t>UGP et ANACIM</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2.3.2. Diffusion de l’information climatique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2.3.3. Renforcement des capacités des producteurs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2.4.1. Renforcement des capacités de l’UGP</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2.4.2. Outils de communication</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2.4.3. Visites d’étude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2.4.4. Site Internet</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bl>
    <w:p w:rsidR="00743B0B" w:rsidRPr="00743B0B" w:rsidRDefault="00743B0B" w:rsidP="00743B0B">
      <w:pPr>
        <w:spacing w:after="0"/>
        <w:jc w:val="left"/>
        <w:rPr>
          <w:rFonts w:ascii="Times New Roman" w:hAnsi="Times New Roman"/>
          <w:sz w:val="24"/>
        </w:rPr>
      </w:pPr>
    </w:p>
    <w:p w:rsidR="00743B0B" w:rsidRPr="00743B0B" w:rsidRDefault="00743B0B" w:rsidP="00743B0B">
      <w:pPr>
        <w:spacing w:after="0"/>
        <w:jc w:val="left"/>
        <w:rPr>
          <w:rFonts w:ascii="Times New Roman" w:hAnsi="Times New Roman"/>
          <w:sz w:val="24"/>
        </w:rPr>
      </w:pPr>
    </w:p>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395E0E">
      <w:pPr>
        <w:keepNext/>
        <w:pBdr>
          <w:top w:val="single" w:sz="4" w:space="1" w:color="auto"/>
        </w:pBdr>
        <w:suppressAutoHyphens/>
        <w:spacing w:before="104" w:after="226"/>
        <w:outlineLvl w:val="0"/>
        <w:rPr>
          <w:rFonts w:ascii="Times New Roman" w:hAnsi="Times New Roman"/>
          <w:sz w:val="24"/>
        </w:rPr>
      </w:pPr>
      <w:bookmarkStart w:id="54" w:name="_Toc496886565"/>
      <w:bookmarkStart w:id="55" w:name="_Toc498638402"/>
      <w:r w:rsidRPr="00743B0B">
        <w:rPr>
          <w:rFonts w:ascii="Century Gothic" w:hAnsi="Century Gothic"/>
          <w:b/>
          <w:smallCaps/>
          <w:spacing w:val="-2"/>
          <w:sz w:val="28"/>
          <w:szCs w:val="20"/>
        </w:rPr>
        <w:t>Annexe [B].</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de suivi</w:t>
      </w:r>
      <w:bookmarkEnd w:id="54"/>
      <w:bookmarkEnd w:id="55"/>
    </w:p>
    <w:tbl>
      <w:tblPr>
        <w:tblW w:w="14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4536"/>
        <w:gridCol w:w="1984"/>
        <w:gridCol w:w="1418"/>
        <w:gridCol w:w="1134"/>
        <w:gridCol w:w="1134"/>
        <w:gridCol w:w="1448"/>
      </w:tblGrid>
      <w:tr w:rsidR="00743B0B" w:rsidRPr="00743B0B" w:rsidTr="00FA15C6">
        <w:trPr>
          <w:trHeight w:val="980"/>
          <w:tblHeader/>
        </w:trPr>
        <w:tc>
          <w:tcPr>
            <w:tcW w:w="2807" w:type="dxa"/>
            <w:shd w:val="clear" w:color="auto" w:fill="D9D9D9"/>
            <w:vAlign w:val="center"/>
          </w:tcPr>
          <w:p w:rsidR="00743B0B" w:rsidRPr="00743B0B" w:rsidRDefault="00743B0B" w:rsidP="00743B0B">
            <w:pPr>
              <w:jc w:val="center"/>
              <w:rPr>
                <w:b/>
                <w:szCs w:val="20"/>
              </w:rPr>
            </w:pPr>
            <w:r w:rsidRPr="00743B0B">
              <w:rPr>
                <w:b/>
                <w:szCs w:val="20"/>
              </w:rPr>
              <w:t xml:space="preserve">Suivi </w:t>
            </w:r>
          </w:p>
        </w:tc>
        <w:tc>
          <w:tcPr>
            <w:tcW w:w="4536" w:type="dxa"/>
            <w:shd w:val="clear" w:color="auto" w:fill="D9D9D9"/>
            <w:vAlign w:val="center"/>
          </w:tcPr>
          <w:p w:rsidR="00743B0B" w:rsidRPr="00743B0B" w:rsidRDefault="00743B0B" w:rsidP="00743B0B">
            <w:pPr>
              <w:jc w:val="center"/>
              <w:rPr>
                <w:b/>
                <w:szCs w:val="20"/>
              </w:rPr>
            </w:pPr>
            <w:r w:rsidRPr="00743B0B">
              <w:rPr>
                <w:b/>
                <w:szCs w:val="20"/>
              </w:rPr>
              <w:t>Indicateurs</w:t>
            </w:r>
          </w:p>
        </w:tc>
        <w:tc>
          <w:tcPr>
            <w:tcW w:w="1984" w:type="dxa"/>
            <w:shd w:val="clear" w:color="auto" w:fill="D9D9D9"/>
            <w:vAlign w:val="center"/>
          </w:tcPr>
          <w:p w:rsidR="00743B0B" w:rsidRPr="00743B0B" w:rsidRDefault="00743B0B" w:rsidP="00743B0B">
            <w:pPr>
              <w:jc w:val="center"/>
              <w:rPr>
                <w:b/>
                <w:szCs w:val="20"/>
              </w:rPr>
            </w:pPr>
            <w:r w:rsidRPr="00743B0B">
              <w:rPr>
                <w:b/>
                <w:szCs w:val="20"/>
              </w:rPr>
              <w:t>Source de données/méthodes de collecte</w:t>
            </w:r>
          </w:p>
          <w:p w:rsidR="00743B0B" w:rsidRPr="00743B0B" w:rsidRDefault="00743B0B" w:rsidP="00743B0B">
            <w:pPr>
              <w:jc w:val="center"/>
              <w:rPr>
                <w:b/>
                <w:szCs w:val="20"/>
              </w:rPr>
            </w:pPr>
          </w:p>
        </w:tc>
        <w:tc>
          <w:tcPr>
            <w:tcW w:w="1418" w:type="dxa"/>
            <w:shd w:val="clear" w:color="auto" w:fill="D9D9D9"/>
            <w:vAlign w:val="center"/>
          </w:tcPr>
          <w:p w:rsidR="00743B0B" w:rsidRPr="00743B0B" w:rsidRDefault="00743B0B" w:rsidP="00743B0B">
            <w:pPr>
              <w:jc w:val="center"/>
              <w:rPr>
                <w:b/>
                <w:szCs w:val="20"/>
              </w:rPr>
            </w:pPr>
            <w:r w:rsidRPr="00743B0B">
              <w:rPr>
                <w:b/>
                <w:szCs w:val="20"/>
              </w:rPr>
              <w:t>Fréquence</w:t>
            </w:r>
          </w:p>
          <w:p w:rsidR="00743B0B" w:rsidRPr="00743B0B" w:rsidRDefault="00743B0B" w:rsidP="00743B0B">
            <w:pPr>
              <w:jc w:val="center"/>
              <w:rPr>
                <w:b/>
                <w:szCs w:val="20"/>
              </w:rPr>
            </w:pPr>
          </w:p>
        </w:tc>
        <w:tc>
          <w:tcPr>
            <w:tcW w:w="1134" w:type="dxa"/>
            <w:shd w:val="clear" w:color="auto" w:fill="D9D9D9"/>
            <w:vAlign w:val="center"/>
          </w:tcPr>
          <w:p w:rsidR="00743B0B" w:rsidRPr="00743B0B" w:rsidRDefault="00743B0B" w:rsidP="00743B0B">
            <w:pPr>
              <w:jc w:val="center"/>
              <w:rPr>
                <w:b/>
                <w:szCs w:val="20"/>
              </w:rPr>
            </w:pPr>
            <w:r w:rsidRPr="00743B0B">
              <w:rPr>
                <w:b/>
                <w:szCs w:val="20"/>
              </w:rPr>
              <w:t>Responsable de la collecte des données</w:t>
            </w:r>
          </w:p>
        </w:tc>
        <w:tc>
          <w:tcPr>
            <w:tcW w:w="1134" w:type="dxa"/>
            <w:shd w:val="clear" w:color="auto" w:fill="D9D9D9"/>
            <w:vAlign w:val="center"/>
          </w:tcPr>
          <w:p w:rsidR="00743B0B" w:rsidRPr="00743B0B" w:rsidRDefault="00743B0B" w:rsidP="00743B0B">
            <w:pPr>
              <w:jc w:val="center"/>
              <w:rPr>
                <w:b/>
                <w:szCs w:val="20"/>
              </w:rPr>
            </w:pPr>
            <w:r w:rsidRPr="00743B0B">
              <w:rPr>
                <w:b/>
                <w:szCs w:val="20"/>
              </w:rPr>
              <w:t>Moyens de vérification</w:t>
            </w:r>
          </w:p>
        </w:tc>
        <w:tc>
          <w:tcPr>
            <w:tcW w:w="1448" w:type="dxa"/>
            <w:shd w:val="clear" w:color="auto" w:fill="D9D9D9"/>
            <w:vAlign w:val="center"/>
          </w:tcPr>
          <w:p w:rsidR="00743B0B" w:rsidRPr="00743B0B" w:rsidRDefault="00743B0B" w:rsidP="00743B0B">
            <w:pPr>
              <w:jc w:val="center"/>
              <w:rPr>
                <w:b/>
                <w:szCs w:val="20"/>
              </w:rPr>
            </w:pPr>
            <w:r w:rsidRPr="00743B0B">
              <w:rPr>
                <w:b/>
                <w:szCs w:val="20"/>
              </w:rPr>
              <w:t>Hypothèses et risques</w:t>
            </w:r>
          </w:p>
          <w:p w:rsidR="00743B0B" w:rsidRPr="00743B0B" w:rsidRDefault="00743B0B" w:rsidP="00743B0B">
            <w:pPr>
              <w:jc w:val="center"/>
              <w:rPr>
                <w:b/>
                <w:szCs w:val="20"/>
              </w:rPr>
            </w:pPr>
          </w:p>
        </w:tc>
      </w:tr>
      <w:tr w:rsidR="00743B0B" w:rsidRPr="00743B0B" w:rsidTr="00FA15C6">
        <w:trPr>
          <w:trHeight w:val="1169"/>
          <w:tblHeader/>
        </w:trPr>
        <w:tc>
          <w:tcPr>
            <w:tcW w:w="2807" w:type="dxa"/>
            <w:vMerge w:val="restart"/>
            <w:shd w:val="clear" w:color="auto" w:fill="auto"/>
          </w:tcPr>
          <w:p w:rsidR="00743B0B" w:rsidRPr="00743B0B" w:rsidRDefault="00743B0B" w:rsidP="00743B0B">
            <w:pPr>
              <w:rPr>
                <w:b/>
                <w:sz w:val="18"/>
                <w:szCs w:val="18"/>
              </w:rPr>
            </w:pPr>
            <w:r w:rsidRPr="00743B0B">
              <w:rPr>
                <w:b/>
                <w:sz w:val="18"/>
                <w:szCs w:val="18"/>
              </w:rPr>
              <w:t>Objectif de projet</w:t>
            </w:r>
            <w:r w:rsidR="002575A2">
              <w:rPr>
                <w:b/>
                <w:sz w:val="18"/>
                <w:szCs w:val="18"/>
              </w:rPr>
              <w:t> : p</w:t>
            </w:r>
            <w:r w:rsidRPr="00743B0B">
              <w:rPr>
                <w:b/>
                <w:sz w:val="18"/>
                <w:szCs w:val="18"/>
              </w:rPr>
              <w:t>romouvoir la finance novatrice et l’adaptation communautaire dans les communes autour des RNC</w:t>
            </w:r>
          </w:p>
        </w:tc>
        <w:tc>
          <w:tcPr>
            <w:tcW w:w="4536" w:type="dxa"/>
            <w:shd w:val="clear" w:color="auto" w:fill="auto"/>
          </w:tcPr>
          <w:p w:rsidR="00743B0B" w:rsidRPr="00743B0B" w:rsidRDefault="00743B0B" w:rsidP="00743B0B">
            <w:pPr>
              <w:rPr>
                <w:i/>
                <w:sz w:val="18"/>
                <w:szCs w:val="18"/>
              </w:rPr>
            </w:pPr>
            <w:r w:rsidRPr="00743B0B">
              <w:rPr>
                <w:b/>
                <w:i/>
                <w:sz w:val="18"/>
                <w:szCs w:val="18"/>
              </w:rPr>
              <w:t>Indicateur 1</w:t>
            </w:r>
            <w:r w:rsidR="002575A2">
              <w:rPr>
                <w:b/>
                <w:i/>
                <w:sz w:val="18"/>
                <w:szCs w:val="18"/>
              </w:rPr>
              <w:t> : m</w:t>
            </w:r>
            <w:r w:rsidRPr="00743B0B">
              <w:rPr>
                <w:b/>
                <w:i/>
                <w:sz w:val="18"/>
                <w:szCs w:val="18"/>
              </w:rPr>
              <w:t>ontant supplémentaire du budget communal dédié à l’</w:t>
            </w:r>
            <w:r w:rsidR="00537B55">
              <w:rPr>
                <w:b/>
                <w:i/>
                <w:sz w:val="18"/>
                <w:szCs w:val="18"/>
              </w:rPr>
              <w:t>adaptation aux changements climatiques</w:t>
            </w:r>
            <w:r w:rsidRPr="00743B0B">
              <w:rPr>
                <w:b/>
                <w:i/>
                <w:sz w:val="18"/>
                <w:szCs w:val="18"/>
              </w:rPr>
              <w:t xml:space="preserve"> et montant supplémentaire du fonds des IMF accordé aux populations vulnérables.</w:t>
            </w:r>
          </w:p>
        </w:tc>
        <w:tc>
          <w:tcPr>
            <w:tcW w:w="1984" w:type="dxa"/>
            <w:shd w:val="clear" w:color="auto" w:fill="auto"/>
          </w:tcPr>
          <w:p w:rsidR="00743B0B" w:rsidRPr="00743B0B" w:rsidRDefault="00743B0B" w:rsidP="00743B0B">
            <w:pPr>
              <w:jc w:val="left"/>
              <w:rPr>
                <w:i/>
                <w:sz w:val="18"/>
                <w:szCs w:val="18"/>
              </w:rPr>
            </w:pPr>
            <w:r w:rsidRPr="00743B0B">
              <w:rPr>
                <w:i/>
                <w:sz w:val="18"/>
                <w:szCs w:val="18"/>
              </w:rPr>
              <w:t>Les données budgétaires des communes seront collectées annuellement par l’UGP.</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Annuelle </w:t>
            </w:r>
          </w:p>
          <w:p w:rsidR="00743B0B" w:rsidRPr="00743B0B" w:rsidRDefault="00743B0B" w:rsidP="00743B0B">
            <w:pPr>
              <w:jc w:val="left"/>
              <w:rPr>
                <w:sz w:val="18"/>
                <w:szCs w:val="18"/>
              </w:rPr>
            </w:pPr>
          </w:p>
          <w:p w:rsidR="00743B0B" w:rsidRPr="00743B0B" w:rsidRDefault="00743B0B" w:rsidP="00743B0B">
            <w:pPr>
              <w:jc w:val="left"/>
              <w:rPr>
                <w:sz w:val="18"/>
                <w:szCs w:val="18"/>
              </w:rPr>
            </w:pPr>
          </w:p>
        </w:tc>
        <w:tc>
          <w:tcPr>
            <w:tcW w:w="1134" w:type="dxa"/>
            <w:shd w:val="clear" w:color="auto" w:fill="auto"/>
          </w:tcPr>
          <w:p w:rsidR="00743B0B" w:rsidRPr="00743B0B" w:rsidRDefault="00743B0B" w:rsidP="00743B0B">
            <w:pPr>
              <w:jc w:val="left"/>
              <w:rPr>
                <w:i/>
                <w:sz w:val="18"/>
                <w:szCs w:val="18"/>
              </w:rPr>
            </w:pPr>
            <w:r w:rsidRPr="00743B0B">
              <w:rPr>
                <w:i/>
                <w:sz w:val="18"/>
                <w:szCs w:val="18"/>
              </w:rPr>
              <w:t>UGP</w:t>
            </w:r>
          </w:p>
          <w:p w:rsidR="00743B0B" w:rsidRPr="00743B0B" w:rsidRDefault="00743B0B" w:rsidP="00743B0B">
            <w:pPr>
              <w:jc w:val="left"/>
              <w:rPr>
                <w:i/>
                <w:sz w:val="18"/>
                <w:szCs w:val="18"/>
              </w:rPr>
            </w:pPr>
          </w:p>
        </w:tc>
        <w:tc>
          <w:tcPr>
            <w:tcW w:w="1134" w:type="dxa"/>
            <w:shd w:val="clear" w:color="auto" w:fill="auto"/>
          </w:tcPr>
          <w:p w:rsidR="00743B0B" w:rsidRPr="00743B0B" w:rsidRDefault="00743B0B" w:rsidP="00743B0B">
            <w:pPr>
              <w:jc w:val="left"/>
              <w:rPr>
                <w:i/>
                <w:sz w:val="18"/>
                <w:szCs w:val="18"/>
              </w:rPr>
            </w:pPr>
            <w:r w:rsidRPr="00743B0B">
              <w:rPr>
                <w:i/>
                <w:sz w:val="18"/>
                <w:szCs w:val="18"/>
              </w:rPr>
              <w:t>Budget des communes.</w:t>
            </w:r>
          </w:p>
        </w:tc>
        <w:tc>
          <w:tcPr>
            <w:tcW w:w="1448" w:type="dxa"/>
            <w:shd w:val="clear" w:color="auto" w:fill="auto"/>
          </w:tcPr>
          <w:p w:rsidR="00743B0B" w:rsidRPr="00743B0B" w:rsidRDefault="00743B0B" w:rsidP="00743B0B">
            <w:pPr>
              <w:jc w:val="left"/>
              <w:rPr>
                <w:i/>
                <w:sz w:val="18"/>
                <w:szCs w:val="18"/>
              </w:rPr>
            </w:pPr>
            <w:r w:rsidRPr="00743B0B">
              <w:rPr>
                <w:i/>
                <w:sz w:val="18"/>
                <w:szCs w:val="18"/>
              </w:rPr>
              <w:t>Coopération des collectivités locales et d’autres départements ministériels.</w:t>
            </w:r>
          </w:p>
        </w:tc>
      </w:tr>
      <w:tr w:rsidR="00743B0B" w:rsidRPr="00743B0B" w:rsidTr="00FA15C6">
        <w:trPr>
          <w:trHeight w:val="278"/>
          <w:tblHeader/>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2575A2">
            <w:pPr>
              <w:rPr>
                <w:b/>
                <w:i/>
                <w:sz w:val="18"/>
                <w:szCs w:val="18"/>
              </w:rPr>
            </w:pPr>
            <w:r w:rsidRPr="00743B0B">
              <w:rPr>
                <w:b/>
                <w:i/>
                <w:sz w:val="18"/>
                <w:szCs w:val="18"/>
              </w:rPr>
              <w:t>Indicateur 2</w:t>
            </w:r>
            <w:r w:rsidR="002575A2">
              <w:rPr>
                <w:b/>
                <w:i/>
                <w:sz w:val="18"/>
                <w:szCs w:val="18"/>
              </w:rPr>
              <w:t> :</w:t>
            </w:r>
            <w:r w:rsidRPr="00743B0B">
              <w:rPr>
                <w:b/>
                <w:i/>
                <w:sz w:val="18"/>
                <w:szCs w:val="18"/>
              </w:rPr>
              <w:t xml:space="preserve"> </w:t>
            </w:r>
            <w:r w:rsidR="002575A2">
              <w:rPr>
                <w:b/>
                <w:i/>
                <w:sz w:val="18"/>
                <w:szCs w:val="18"/>
              </w:rPr>
              <w:t>n</w:t>
            </w:r>
            <w:r w:rsidRPr="00743B0B">
              <w:rPr>
                <w:b/>
                <w:i/>
                <w:sz w:val="18"/>
                <w:szCs w:val="18"/>
              </w:rPr>
              <w:t>ombre de ménages cibles adoptant des moyens de subsistance résilients pour faire face aux effets actuels et futurs du changement climatique (indicateur AMAT 1.3.1.1).</w:t>
            </w:r>
          </w:p>
        </w:tc>
        <w:tc>
          <w:tcPr>
            <w:tcW w:w="1984" w:type="dxa"/>
            <w:shd w:val="clear" w:color="auto" w:fill="auto"/>
          </w:tcPr>
          <w:p w:rsidR="00743B0B" w:rsidRPr="00743B0B" w:rsidRDefault="00743B0B" w:rsidP="00743B0B">
            <w:pPr>
              <w:jc w:val="left"/>
              <w:rPr>
                <w:i/>
                <w:sz w:val="18"/>
                <w:szCs w:val="18"/>
              </w:rPr>
            </w:pPr>
            <w:r w:rsidRPr="00743B0B">
              <w:rPr>
                <w:i/>
                <w:sz w:val="18"/>
                <w:szCs w:val="18"/>
              </w:rPr>
              <w:t>Les données seront recueillies par le personnel local du projet au moyen de rapports périodiques et de rapports d’entretien.</w:t>
            </w:r>
          </w:p>
        </w:tc>
        <w:tc>
          <w:tcPr>
            <w:tcW w:w="1418" w:type="dxa"/>
            <w:shd w:val="clear" w:color="auto" w:fill="auto"/>
          </w:tcPr>
          <w:p w:rsidR="00743B0B" w:rsidRPr="00743B0B" w:rsidRDefault="00743B0B" w:rsidP="00743B0B">
            <w:pPr>
              <w:jc w:val="left"/>
              <w:rPr>
                <w:sz w:val="18"/>
                <w:szCs w:val="18"/>
              </w:rPr>
            </w:pPr>
            <w:r w:rsidRPr="00743B0B">
              <w:rPr>
                <w:i/>
                <w:sz w:val="18"/>
                <w:szCs w:val="18"/>
              </w:rPr>
              <w:t>Semestrielle</w:t>
            </w:r>
          </w:p>
        </w:tc>
        <w:tc>
          <w:tcPr>
            <w:tcW w:w="1134" w:type="dxa"/>
            <w:shd w:val="clear" w:color="auto" w:fill="auto"/>
          </w:tcPr>
          <w:p w:rsidR="00743B0B" w:rsidRPr="00743B0B" w:rsidRDefault="00743B0B" w:rsidP="00743B0B">
            <w:pPr>
              <w:jc w:val="left"/>
              <w:rPr>
                <w:i/>
                <w:sz w:val="18"/>
                <w:szCs w:val="18"/>
              </w:rPr>
            </w:pPr>
            <w:r w:rsidRPr="00743B0B">
              <w:rPr>
                <w:i/>
                <w:sz w:val="18"/>
                <w:szCs w:val="18"/>
              </w:rPr>
              <w:t>UGP</w:t>
            </w:r>
          </w:p>
        </w:tc>
        <w:tc>
          <w:tcPr>
            <w:tcW w:w="1134" w:type="dxa"/>
            <w:shd w:val="clear" w:color="auto" w:fill="auto"/>
          </w:tcPr>
          <w:p w:rsidR="00743B0B" w:rsidRPr="00743B0B" w:rsidRDefault="00743B0B" w:rsidP="00743B0B">
            <w:pPr>
              <w:jc w:val="left"/>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jc w:val="left"/>
              <w:rPr>
                <w:i/>
                <w:sz w:val="18"/>
                <w:szCs w:val="18"/>
              </w:rPr>
            </w:pPr>
            <w:r w:rsidRPr="00743B0B">
              <w:rPr>
                <w:i/>
                <w:sz w:val="18"/>
                <w:szCs w:val="18"/>
              </w:rPr>
              <w:t>Participation de la population locale.</w:t>
            </w:r>
          </w:p>
        </w:tc>
      </w:tr>
      <w:tr w:rsidR="00743B0B" w:rsidRPr="00743B0B" w:rsidTr="00FA15C6">
        <w:trPr>
          <w:trHeight w:val="424"/>
          <w:tblHeader/>
        </w:trPr>
        <w:tc>
          <w:tcPr>
            <w:tcW w:w="2807" w:type="dxa"/>
            <w:vMerge w:val="restart"/>
            <w:shd w:val="clear" w:color="auto" w:fill="auto"/>
          </w:tcPr>
          <w:p w:rsidR="00743B0B" w:rsidRPr="00743B0B" w:rsidRDefault="00743B0B" w:rsidP="00743B0B">
            <w:pPr>
              <w:rPr>
                <w:b/>
                <w:sz w:val="18"/>
                <w:szCs w:val="18"/>
              </w:rPr>
            </w:pPr>
          </w:p>
          <w:p w:rsidR="00743B0B" w:rsidRPr="00743B0B" w:rsidRDefault="00743B0B" w:rsidP="00743B0B">
            <w:pPr>
              <w:rPr>
                <w:b/>
                <w:sz w:val="18"/>
                <w:szCs w:val="18"/>
              </w:rPr>
            </w:pPr>
            <w:r w:rsidRPr="00743B0B">
              <w:rPr>
                <w:b/>
                <w:sz w:val="18"/>
                <w:szCs w:val="18"/>
              </w:rPr>
              <w:t>Résultat de projet 1</w:t>
            </w:r>
            <w:r w:rsidR="002575A2">
              <w:rPr>
                <w:b/>
                <w:sz w:val="18"/>
                <w:szCs w:val="18"/>
              </w:rPr>
              <w:t> : d</w:t>
            </w:r>
            <w:r w:rsidRPr="00743B0B">
              <w:rPr>
                <w:b/>
                <w:sz w:val="18"/>
                <w:szCs w:val="18"/>
              </w:rPr>
              <w:t xml:space="preserve">es mécanismes </w:t>
            </w:r>
            <w:r w:rsidR="00311A1A">
              <w:rPr>
                <w:b/>
                <w:sz w:val="18"/>
                <w:szCs w:val="18"/>
              </w:rPr>
              <w:t>novateur</w:t>
            </w:r>
            <w:r w:rsidRPr="00743B0B">
              <w:rPr>
                <w:b/>
                <w:sz w:val="18"/>
                <w:szCs w:val="18"/>
              </w:rPr>
              <w:t>s financent des actions d’</w:t>
            </w:r>
            <w:r w:rsidR="00537B55">
              <w:rPr>
                <w:b/>
                <w:sz w:val="18"/>
                <w:szCs w:val="18"/>
              </w:rPr>
              <w:t>adaptation aux changements climatiques</w:t>
            </w:r>
            <w:r w:rsidRPr="00743B0B">
              <w:rPr>
                <w:b/>
                <w:sz w:val="18"/>
                <w:szCs w:val="18"/>
              </w:rPr>
              <w:t xml:space="preserve"> au niveau local.</w:t>
            </w:r>
          </w:p>
        </w:tc>
        <w:tc>
          <w:tcPr>
            <w:tcW w:w="4536" w:type="dxa"/>
            <w:shd w:val="clear" w:color="auto" w:fill="auto"/>
          </w:tcPr>
          <w:p w:rsidR="00743B0B" w:rsidRPr="00743B0B" w:rsidRDefault="00743B0B" w:rsidP="00743B0B">
            <w:pPr>
              <w:jc w:val="left"/>
              <w:rPr>
                <w:sz w:val="18"/>
                <w:szCs w:val="18"/>
              </w:rPr>
            </w:pPr>
            <w:r w:rsidRPr="00743B0B">
              <w:rPr>
                <w:b/>
                <w:i/>
                <w:sz w:val="18"/>
                <w:szCs w:val="18"/>
              </w:rPr>
              <w:t>Indicateur 3</w:t>
            </w:r>
            <w:r w:rsidR="002575A2">
              <w:rPr>
                <w:b/>
                <w:i/>
                <w:sz w:val="18"/>
                <w:szCs w:val="18"/>
              </w:rPr>
              <w:t> : n</w:t>
            </w:r>
            <w:r w:rsidRPr="00743B0B">
              <w:rPr>
                <w:b/>
                <w:i/>
                <w:sz w:val="18"/>
                <w:szCs w:val="18"/>
              </w:rPr>
              <w:t>ombre de communes qui incluent l’</w:t>
            </w:r>
            <w:r w:rsidR="00537B55">
              <w:rPr>
                <w:b/>
                <w:i/>
                <w:sz w:val="18"/>
                <w:szCs w:val="18"/>
              </w:rPr>
              <w:t>adaptation aux changements climatiques</w:t>
            </w:r>
            <w:r w:rsidRPr="00743B0B">
              <w:rPr>
                <w:b/>
                <w:i/>
                <w:sz w:val="18"/>
                <w:szCs w:val="18"/>
              </w:rPr>
              <w:t xml:space="preserve"> dans leurs plans de développement, budgets communaux et plans d’aménagement et de gestion des sols des UP/RNC.</w:t>
            </w:r>
          </w:p>
        </w:tc>
        <w:tc>
          <w:tcPr>
            <w:tcW w:w="1984" w:type="dxa"/>
            <w:shd w:val="clear" w:color="auto" w:fill="auto"/>
          </w:tcPr>
          <w:p w:rsidR="00743B0B" w:rsidRPr="00743B0B" w:rsidRDefault="00743B0B" w:rsidP="00743B0B">
            <w:pPr>
              <w:rPr>
                <w:sz w:val="18"/>
                <w:szCs w:val="18"/>
              </w:rPr>
            </w:pPr>
            <w:r w:rsidRPr="00743B0B">
              <w:rPr>
                <w:i/>
                <w:color w:val="000000"/>
              </w:rPr>
              <w:t>PDC et budget des communes</w:t>
            </w:r>
            <w:r w:rsidR="00D2405E">
              <w:rPr>
                <w:i/>
                <w:color w:val="000000"/>
              </w:rPr>
              <w:t> ;</w:t>
            </w:r>
            <w:r w:rsidRPr="00743B0B">
              <w:rPr>
                <w:i/>
                <w:color w:val="000000"/>
              </w:rPr>
              <w:t xml:space="preserve"> plans de gestion de l’UP/RNC.</w:t>
            </w:r>
          </w:p>
        </w:tc>
        <w:tc>
          <w:tcPr>
            <w:tcW w:w="1418" w:type="dxa"/>
            <w:shd w:val="clear" w:color="auto" w:fill="auto"/>
          </w:tcPr>
          <w:p w:rsidR="00743B0B" w:rsidRPr="00743B0B" w:rsidRDefault="00743B0B" w:rsidP="00743B0B">
            <w:pPr>
              <w:rPr>
                <w:sz w:val="18"/>
                <w:szCs w:val="18"/>
              </w:rPr>
            </w:pPr>
            <w:r w:rsidRPr="00743B0B">
              <w:rPr>
                <w:i/>
                <w:sz w:val="18"/>
                <w:szCs w:val="18"/>
              </w:rPr>
              <w:t>Annuelle</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jc w:val="left"/>
              <w:rPr>
                <w:sz w:val="18"/>
                <w:szCs w:val="18"/>
              </w:rPr>
            </w:pPr>
            <w:r w:rsidRPr="00743B0B">
              <w:rPr>
                <w:b/>
                <w:i/>
                <w:sz w:val="18"/>
                <w:szCs w:val="18"/>
              </w:rPr>
              <w:t>Indicateur 4</w:t>
            </w:r>
            <w:r w:rsidR="002575A2">
              <w:rPr>
                <w:b/>
                <w:i/>
                <w:sz w:val="18"/>
                <w:szCs w:val="18"/>
              </w:rPr>
              <w:t> :</w:t>
            </w:r>
            <w:r w:rsidRPr="00743B0B">
              <w:rPr>
                <w:b/>
                <w:i/>
                <w:sz w:val="18"/>
                <w:szCs w:val="18"/>
              </w:rPr>
              <w:t xml:space="preserve"> % de ressources financières supplémentaires dédiées à l’</w:t>
            </w:r>
            <w:r w:rsidR="00537B55">
              <w:rPr>
                <w:b/>
                <w:i/>
                <w:sz w:val="18"/>
                <w:szCs w:val="18"/>
              </w:rPr>
              <w:t>adaptation aux changements climatiques</w:t>
            </w:r>
            <w:r w:rsidRPr="00743B0B">
              <w:rPr>
                <w:b/>
                <w:i/>
                <w:sz w:val="18"/>
                <w:szCs w:val="18"/>
              </w:rPr>
              <w:t xml:space="preserve"> et générées par des mécanismes financiers </w:t>
            </w:r>
            <w:r w:rsidR="00311A1A">
              <w:rPr>
                <w:b/>
                <w:i/>
                <w:sz w:val="18"/>
                <w:szCs w:val="18"/>
              </w:rPr>
              <w:t>novateur</w:t>
            </w:r>
            <w:r w:rsidRPr="00743B0B">
              <w:rPr>
                <w:b/>
                <w:i/>
                <w:sz w:val="18"/>
                <w:szCs w:val="18"/>
              </w:rPr>
              <w:t>s (PPP, RSE, écotaxe, etc.) disponibles pour les communes.</w:t>
            </w:r>
          </w:p>
        </w:tc>
        <w:tc>
          <w:tcPr>
            <w:tcW w:w="1984" w:type="dxa"/>
            <w:shd w:val="clear" w:color="auto" w:fill="auto"/>
          </w:tcPr>
          <w:p w:rsidR="00743B0B" w:rsidRPr="00743B0B" w:rsidRDefault="00743B0B" w:rsidP="00743B0B">
            <w:pPr>
              <w:rPr>
                <w:i/>
                <w:sz w:val="18"/>
                <w:szCs w:val="18"/>
              </w:rPr>
            </w:pPr>
            <w:r w:rsidRPr="00743B0B">
              <w:rPr>
                <w:i/>
                <w:color w:val="000000"/>
              </w:rPr>
              <w:t>Budget communal et suivi et évaluation</w:t>
            </w:r>
          </w:p>
        </w:tc>
        <w:tc>
          <w:tcPr>
            <w:tcW w:w="1418" w:type="dxa"/>
            <w:shd w:val="clear" w:color="auto" w:fill="auto"/>
          </w:tcPr>
          <w:p w:rsidR="00743B0B" w:rsidRPr="00743B0B" w:rsidRDefault="00743B0B" w:rsidP="00743B0B">
            <w:pPr>
              <w:jc w:val="left"/>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jc w:val="left"/>
              <w:rPr>
                <w:b/>
                <w:i/>
                <w:sz w:val="18"/>
                <w:szCs w:val="18"/>
              </w:rPr>
            </w:pPr>
            <w:r w:rsidRPr="00743B0B">
              <w:rPr>
                <w:b/>
                <w:i/>
                <w:sz w:val="18"/>
                <w:szCs w:val="18"/>
              </w:rPr>
              <w:t>Indicateur 5</w:t>
            </w:r>
            <w:r w:rsidR="002575A2">
              <w:rPr>
                <w:b/>
                <w:i/>
                <w:sz w:val="18"/>
                <w:szCs w:val="18"/>
              </w:rPr>
              <w:t> : a</w:t>
            </w:r>
            <w:r w:rsidRPr="00743B0B">
              <w:rPr>
                <w:b/>
                <w:i/>
                <w:sz w:val="18"/>
                <w:szCs w:val="18"/>
              </w:rPr>
              <w:t>ugmentation du volume des prêts accordés aux populations vulnérables par les établissements de crédit et les institutions de microfinance</w:t>
            </w:r>
          </w:p>
        </w:tc>
        <w:tc>
          <w:tcPr>
            <w:tcW w:w="1984" w:type="dxa"/>
            <w:shd w:val="clear" w:color="auto" w:fill="auto"/>
          </w:tcPr>
          <w:p w:rsidR="00743B0B" w:rsidRPr="00743B0B" w:rsidRDefault="00743B0B" w:rsidP="00743B0B">
            <w:pPr>
              <w:rPr>
                <w:i/>
                <w:sz w:val="18"/>
                <w:szCs w:val="18"/>
              </w:rPr>
            </w:pPr>
            <w:r w:rsidRPr="00743B0B">
              <w:rPr>
                <w:i/>
                <w:color w:val="000000"/>
              </w:rPr>
              <w:t>Livres comptables des mutuelles et rapports financiers des IMF et des MEC.</w:t>
            </w:r>
          </w:p>
        </w:tc>
        <w:tc>
          <w:tcPr>
            <w:tcW w:w="1418" w:type="dxa"/>
            <w:shd w:val="clear" w:color="auto" w:fill="auto"/>
          </w:tcPr>
          <w:p w:rsidR="00743B0B" w:rsidRPr="00743B0B" w:rsidRDefault="00743B0B" w:rsidP="00743B0B">
            <w:pPr>
              <w:jc w:val="left"/>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2575A2">
            <w:pPr>
              <w:jc w:val="left"/>
              <w:rPr>
                <w:b/>
                <w:sz w:val="18"/>
                <w:szCs w:val="18"/>
              </w:rPr>
            </w:pPr>
            <w:r w:rsidRPr="00743B0B">
              <w:rPr>
                <w:b/>
                <w:sz w:val="18"/>
                <w:szCs w:val="18"/>
              </w:rPr>
              <w:t>Indicateur 6</w:t>
            </w:r>
            <w:r w:rsidR="002575A2">
              <w:rPr>
                <w:b/>
                <w:sz w:val="18"/>
                <w:szCs w:val="18"/>
              </w:rPr>
              <w:t> :</w:t>
            </w:r>
            <w:r w:rsidRPr="00743B0B">
              <w:rPr>
                <w:b/>
                <w:sz w:val="18"/>
                <w:szCs w:val="18"/>
              </w:rPr>
              <w:t xml:space="preserve"> </w:t>
            </w:r>
            <w:r w:rsidR="002575A2">
              <w:rPr>
                <w:b/>
                <w:sz w:val="18"/>
                <w:szCs w:val="18"/>
              </w:rPr>
              <w:t>n</w:t>
            </w:r>
            <w:r w:rsidRPr="00743B0B">
              <w:rPr>
                <w:b/>
                <w:sz w:val="18"/>
                <w:szCs w:val="18"/>
              </w:rPr>
              <w:t xml:space="preserve">ombre de financements non gouvernementaux obtenus </w:t>
            </w:r>
          </w:p>
        </w:tc>
        <w:tc>
          <w:tcPr>
            <w:tcW w:w="1984" w:type="dxa"/>
            <w:shd w:val="clear" w:color="auto" w:fill="auto"/>
          </w:tcPr>
          <w:p w:rsidR="00743B0B" w:rsidRPr="00743B0B" w:rsidRDefault="00743B0B" w:rsidP="00743B0B">
            <w:pPr>
              <w:rPr>
                <w:i/>
                <w:sz w:val="18"/>
                <w:szCs w:val="18"/>
              </w:rPr>
            </w:pPr>
            <w:r w:rsidRPr="00743B0B">
              <w:rPr>
                <w:i/>
                <w:sz w:val="18"/>
                <w:szCs w:val="18"/>
              </w:rPr>
              <w:t>Formulaire de demande de subvention et accords de partenariat.</w:t>
            </w:r>
          </w:p>
          <w:p w:rsidR="00743B0B" w:rsidRPr="00743B0B" w:rsidRDefault="00743B0B" w:rsidP="00743B0B">
            <w:pPr>
              <w:rPr>
                <w:i/>
                <w:sz w:val="18"/>
                <w:szCs w:val="18"/>
              </w:rPr>
            </w:pPr>
            <w:r w:rsidRPr="00743B0B">
              <w:rPr>
                <w:i/>
                <w:sz w:val="18"/>
                <w:szCs w:val="18"/>
              </w:rPr>
              <w:t>Élaboration du document de CIC.</w:t>
            </w:r>
          </w:p>
        </w:tc>
        <w:tc>
          <w:tcPr>
            <w:tcW w:w="1418" w:type="dxa"/>
            <w:shd w:val="clear" w:color="auto" w:fill="auto"/>
          </w:tcPr>
          <w:p w:rsidR="00743B0B" w:rsidRPr="00743B0B" w:rsidRDefault="00743B0B" w:rsidP="00743B0B">
            <w:pPr>
              <w:jc w:val="left"/>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val="restart"/>
            <w:shd w:val="clear" w:color="auto" w:fill="auto"/>
          </w:tcPr>
          <w:p w:rsidR="00743B0B" w:rsidRPr="00743B0B" w:rsidRDefault="00743B0B" w:rsidP="00743B0B">
            <w:pPr>
              <w:rPr>
                <w:b/>
                <w:sz w:val="18"/>
                <w:szCs w:val="18"/>
              </w:rPr>
            </w:pPr>
          </w:p>
          <w:p w:rsidR="00743B0B" w:rsidRPr="00743B0B" w:rsidRDefault="00743B0B" w:rsidP="00743B0B">
            <w:pPr>
              <w:rPr>
                <w:b/>
                <w:sz w:val="18"/>
                <w:szCs w:val="18"/>
              </w:rPr>
            </w:pPr>
            <w:r w:rsidRPr="00743B0B">
              <w:rPr>
                <w:b/>
                <w:sz w:val="18"/>
                <w:szCs w:val="18"/>
              </w:rPr>
              <w:t>Résultat de projet 2</w:t>
            </w:r>
            <w:r w:rsidR="002575A2">
              <w:rPr>
                <w:b/>
                <w:sz w:val="18"/>
                <w:szCs w:val="18"/>
              </w:rPr>
              <w:t> : l</w:t>
            </w:r>
            <w:r w:rsidRPr="00743B0B">
              <w:rPr>
                <w:b/>
                <w:sz w:val="18"/>
                <w:szCs w:val="18"/>
              </w:rPr>
              <w:t>es ménages vulnérables adoptent des investissements, des pratiques de subsistance diversifiées et résilientes (ciblant les groupements de femmes) en tant que stratégies essentiel</w:t>
            </w:r>
            <w:r w:rsidR="00845CF0">
              <w:rPr>
                <w:b/>
                <w:sz w:val="18"/>
                <w:szCs w:val="18"/>
              </w:rPr>
              <w:t>les</w:t>
            </w:r>
            <w:r w:rsidRPr="00743B0B">
              <w:rPr>
                <w:b/>
                <w:sz w:val="18"/>
                <w:szCs w:val="18"/>
              </w:rPr>
              <w:t xml:space="preserve"> pour la g</w:t>
            </w:r>
            <w:r w:rsidR="00FA15C6">
              <w:rPr>
                <w:b/>
                <w:sz w:val="18"/>
                <w:szCs w:val="18"/>
              </w:rPr>
              <w:t>estion des risques climatiques.</w:t>
            </w:r>
            <w:r w:rsidRPr="00743B0B">
              <w:rPr>
                <w:b/>
                <w:sz w:val="18"/>
                <w:szCs w:val="18"/>
              </w:rPr>
              <w:t xml:space="preserve"> </w:t>
            </w:r>
          </w:p>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7</w:t>
            </w:r>
            <w:r w:rsidR="002575A2">
              <w:rPr>
                <w:b/>
                <w:i/>
                <w:sz w:val="18"/>
                <w:szCs w:val="18"/>
              </w:rPr>
              <w:t> : i</w:t>
            </w:r>
            <w:r w:rsidRPr="00743B0B">
              <w:rPr>
                <w:b/>
                <w:i/>
                <w:sz w:val="18"/>
                <w:szCs w:val="18"/>
              </w:rPr>
              <w:t>nvestissements et pratiques résilientes (gestion durable de l’eau, production agrosylvopastorale durable, système d’alerte précoce, restauration de RNC/UP, filières agroforestières résilientes, etc.) formatés pour augmenter les revenus agricoles face aux effets actuels et futurs du changement climatique (AMAT 1.2.1.5.)</w:t>
            </w:r>
          </w:p>
        </w:tc>
        <w:tc>
          <w:tcPr>
            <w:tcW w:w="1984" w:type="dxa"/>
            <w:shd w:val="clear" w:color="auto" w:fill="auto"/>
          </w:tcPr>
          <w:p w:rsidR="00743B0B" w:rsidRPr="00743B0B" w:rsidRDefault="00743B0B" w:rsidP="00743B0B">
            <w:pPr>
              <w:rPr>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8</w:t>
            </w:r>
            <w:r w:rsidR="002575A2">
              <w:rPr>
                <w:b/>
                <w:i/>
                <w:sz w:val="18"/>
                <w:szCs w:val="18"/>
              </w:rPr>
              <w:t> : n</w:t>
            </w:r>
            <w:r w:rsidRPr="00743B0B">
              <w:rPr>
                <w:b/>
                <w:i/>
                <w:sz w:val="18"/>
                <w:szCs w:val="18"/>
              </w:rPr>
              <w:t>ombre de crédits renouvelables octroyés permettant le financement des microentreprises rurales ainsi que le financement des chaînes de valeur résilientes et rentables.</w:t>
            </w:r>
          </w:p>
        </w:tc>
        <w:tc>
          <w:tcPr>
            <w:tcW w:w="1984" w:type="dxa"/>
            <w:shd w:val="clear" w:color="auto" w:fill="auto"/>
          </w:tcPr>
          <w:p w:rsidR="00743B0B" w:rsidRPr="00743B0B" w:rsidRDefault="00743B0B" w:rsidP="00743B0B">
            <w:pPr>
              <w:rPr>
                <w:i/>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565"/>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9</w:t>
            </w:r>
            <w:r w:rsidR="002575A2">
              <w:rPr>
                <w:b/>
                <w:i/>
                <w:sz w:val="18"/>
                <w:szCs w:val="18"/>
              </w:rPr>
              <w:t> :</w:t>
            </w:r>
            <w:r w:rsidRPr="00743B0B">
              <w:rPr>
                <w:b/>
                <w:i/>
                <w:sz w:val="18"/>
                <w:szCs w:val="18"/>
              </w:rPr>
              <w:t xml:space="preserve"> % de la population cible comprenant les effets négatifs du changement climatique et les solutions appropriées (indicateur AMAT 2.3.1.)</w:t>
            </w:r>
          </w:p>
        </w:tc>
        <w:tc>
          <w:tcPr>
            <w:tcW w:w="1984" w:type="dxa"/>
            <w:shd w:val="clear" w:color="auto" w:fill="auto"/>
          </w:tcPr>
          <w:p w:rsidR="00743B0B" w:rsidRPr="00743B0B" w:rsidRDefault="00743B0B" w:rsidP="00743B0B">
            <w:pPr>
              <w:rPr>
                <w:i/>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shd w:val="clear" w:color="auto" w:fill="auto"/>
          </w:tcPr>
          <w:p w:rsidR="00743B0B" w:rsidRPr="00743B0B" w:rsidRDefault="00743B0B" w:rsidP="00743B0B">
            <w:pPr>
              <w:jc w:val="left"/>
              <w:rPr>
                <w:b/>
                <w:i/>
                <w:sz w:val="18"/>
                <w:szCs w:val="18"/>
              </w:rPr>
            </w:pPr>
            <w:r w:rsidRPr="00743B0B">
              <w:rPr>
                <w:b/>
                <w:i/>
                <w:sz w:val="18"/>
                <w:szCs w:val="18"/>
              </w:rPr>
              <w:t>Outil de suivi à moyen terme du FEM (pour les projets de grande envergure uniquement)</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Outil de suivi de référence du FEM inclus dans l’annexe D.</w:t>
            </w:r>
          </w:p>
          <w:p w:rsidR="00743B0B" w:rsidRPr="00743B0B" w:rsidRDefault="00743B0B" w:rsidP="00743B0B">
            <w:pPr>
              <w:jc w:val="left"/>
              <w:rPr>
                <w:sz w:val="18"/>
                <w:szCs w:val="18"/>
              </w:rPr>
            </w:pP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Après soumission du 2e </w:t>
            </w:r>
            <w:r w:rsidR="00FE1153">
              <w:rPr>
                <w:sz w:val="18"/>
                <w:szCs w:val="18"/>
              </w:rPr>
              <w:t>REP</w:t>
            </w:r>
            <w:r w:rsidRPr="00743B0B">
              <w:rPr>
                <w:sz w:val="18"/>
                <w:szCs w:val="18"/>
              </w:rPr>
              <w:t xml:space="preserve"> au FEM</w:t>
            </w:r>
          </w:p>
        </w:tc>
        <w:tc>
          <w:tcPr>
            <w:tcW w:w="1134" w:type="dxa"/>
            <w:shd w:val="clear" w:color="auto" w:fill="auto"/>
          </w:tcPr>
          <w:p w:rsidR="00743B0B" w:rsidRPr="00743B0B" w:rsidRDefault="00743B0B" w:rsidP="00743B0B">
            <w:pPr>
              <w:jc w:val="left"/>
              <w:rPr>
                <w:i/>
                <w:sz w:val="18"/>
                <w:szCs w:val="18"/>
              </w:rPr>
            </w:pPr>
            <w:r w:rsidRPr="00743B0B">
              <w:rPr>
                <w:i/>
                <w:sz w:val="18"/>
                <w:szCs w:val="18"/>
              </w:rPr>
              <w:t>UGP – consultants</w:t>
            </w:r>
          </w:p>
        </w:tc>
        <w:tc>
          <w:tcPr>
            <w:tcW w:w="1134" w:type="dxa"/>
            <w:shd w:val="clear" w:color="auto" w:fill="auto"/>
          </w:tcPr>
          <w:p w:rsidR="00743B0B" w:rsidRPr="00743B0B" w:rsidRDefault="00743B0B" w:rsidP="00743B0B">
            <w:pPr>
              <w:jc w:val="left"/>
              <w:rPr>
                <w:sz w:val="18"/>
                <w:szCs w:val="18"/>
              </w:rPr>
            </w:pPr>
            <w:r w:rsidRPr="00743B0B">
              <w:rPr>
                <w:sz w:val="18"/>
                <w:szCs w:val="18"/>
              </w:rPr>
              <w:t>Outil de suivi du FEM renseigné</w:t>
            </w:r>
          </w:p>
        </w:tc>
        <w:tc>
          <w:tcPr>
            <w:tcW w:w="1448" w:type="dxa"/>
            <w:shd w:val="clear" w:color="auto" w:fill="auto"/>
          </w:tcPr>
          <w:p w:rsidR="00743B0B" w:rsidRPr="00743B0B" w:rsidRDefault="00743B0B" w:rsidP="00743B0B">
            <w:pPr>
              <w:rPr>
                <w:sz w:val="18"/>
                <w:szCs w:val="18"/>
              </w:rPr>
            </w:pPr>
            <w:r w:rsidRPr="00743B0B">
              <w:rPr>
                <w:i/>
                <w:sz w:val="18"/>
                <w:szCs w:val="18"/>
              </w:rPr>
              <w:t xml:space="preserve">Idem </w:t>
            </w:r>
          </w:p>
        </w:tc>
      </w:tr>
      <w:tr w:rsidR="00743B0B" w:rsidRPr="00743B0B" w:rsidTr="00FA15C6">
        <w:trPr>
          <w:trHeight w:val="424"/>
        </w:trPr>
        <w:tc>
          <w:tcPr>
            <w:tcW w:w="2807" w:type="dxa"/>
            <w:shd w:val="clear" w:color="auto" w:fill="auto"/>
          </w:tcPr>
          <w:p w:rsidR="00743B0B" w:rsidRPr="00743B0B" w:rsidRDefault="00743B0B" w:rsidP="00743B0B">
            <w:pPr>
              <w:jc w:val="left"/>
              <w:rPr>
                <w:b/>
                <w:sz w:val="18"/>
                <w:szCs w:val="18"/>
              </w:rPr>
            </w:pPr>
            <w:r w:rsidRPr="00743B0B">
              <w:rPr>
                <w:b/>
                <w:sz w:val="18"/>
                <w:szCs w:val="18"/>
              </w:rPr>
              <w:t>Outil de suivi final du FEM</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Outil de suivi de référence du FEM inclus dans l’annexe D.</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Après soumission du </w:t>
            </w:r>
            <w:r w:rsidR="00FE1153">
              <w:rPr>
                <w:sz w:val="18"/>
                <w:szCs w:val="18"/>
              </w:rPr>
              <w:t>REP</w:t>
            </w:r>
            <w:r w:rsidRPr="00743B0B">
              <w:rPr>
                <w:sz w:val="18"/>
                <w:szCs w:val="18"/>
              </w:rPr>
              <w:t xml:space="preserve"> final au FEM</w:t>
            </w:r>
          </w:p>
        </w:tc>
        <w:tc>
          <w:tcPr>
            <w:tcW w:w="1134" w:type="dxa"/>
            <w:shd w:val="clear" w:color="auto" w:fill="auto"/>
          </w:tcPr>
          <w:p w:rsidR="00743B0B" w:rsidRPr="00743B0B" w:rsidRDefault="00743B0B" w:rsidP="00743B0B">
            <w:pPr>
              <w:jc w:val="left"/>
              <w:rPr>
                <w:sz w:val="18"/>
                <w:szCs w:val="18"/>
              </w:rPr>
            </w:pPr>
            <w:r w:rsidRPr="00743B0B">
              <w:rPr>
                <w:i/>
                <w:sz w:val="18"/>
                <w:szCs w:val="18"/>
              </w:rPr>
              <w:t>UGP – consultants</w:t>
            </w:r>
          </w:p>
        </w:tc>
        <w:tc>
          <w:tcPr>
            <w:tcW w:w="1134" w:type="dxa"/>
            <w:shd w:val="clear" w:color="auto" w:fill="auto"/>
          </w:tcPr>
          <w:p w:rsidR="00743B0B" w:rsidRPr="00743B0B" w:rsidRDefault="00743B0B" w:rsidP="00743B0B">
            <w:pPr>
              <w:jc w:val="left"/>
              <w:rPr>
                <w:sz w:val="18"/>
                <w:szCs w:val="18"/>
              </w:rPr>
            </w:pPr>
            <w:r w:rsidRPr="00743B0B">
              <w:rPr>
                <w:sz w:val="18"/>
                <w:szCs w:val="18"/>
              </w:rPr>
              <w:t>Outil de suivi du FEM renseigné</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shd w:val="clear" w:color="auto" w:fill="auto"/>
          </w:tcPr>
          <w:p w:rsidR="00743B0B" w:rsidRPr="00743B0B" w:rsidRDefault="00743B0B" w:rsidP="00743B0B">
            <w:pPr>
              <w:jc w:val="left"/>
              <w:rPr>
                <w:b/>
                <w:i/>
                <w:sz w:val="18"/>
                <w:szCs w:val="18"/>
              </w:rPr>
            </w:pPr>
            <w:r w:rsidRPr="00743B0B">
              <w:rPr>
                <w:b/>
                <w:i/>
                <w:sz w:val="18"/>
                <w:szCs w:val="18"/>
              </w:rPr>
              <w:t xml:space="preserve">Examen à mi-parcours </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À préciser dans le rapport initial de l’examen à mi-parcours</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Soumis au FEM la même année que le 3e </w:t>
            </w:r>
            <w:r w:rsidR="00FE1153">
              <w:rPr>
                <w:sz w:val="18"/>
                <w:szCs w:val="18"/>
              </w:rPr>
              <w:t>REP</w:t>
            </w:r>
          </w:p>
        </w:tc>
        <w:tc>
          <w:tcPr>
            <w:tcW w:w="1134" w:type="dxa"/>
            <w:shd w:val="clear" w:color="auto" w:fill="auto"/>
          </w:tcPr>
          <w:p w:rsidR="00743B0B" w:rsidRPr="00743B0B" w:rsidRDefault="00743B0B" w:rsidP="00743B0B">
            <w:pPr>
              <w:rPr>
                <w:i/>
                <w:sz w:val="18"/>
                <w:szCs w:val="18"/>
              </w:rPr>
            </w:pPr>
            <w:r w:rsidRPr="00743B0B">
              <w:rPr>
                <w:i/>
                <w:sz w:val="18"/>
                <w:szCs w:val="18"/>
              </w:rPr>
              <w:t>Évaluateur indépendant</w:t>
            </w:r>
          </w:p>
        </w:tc>
        <w:tc>
          <w:tcPr>
            <w:tcW w:w="1134" w:type="dxa"/>
            <w:shd w:val="clear" w:color="auto" w:fill="auto"/>
          </w:tcPr>
          <w:p w:rsidR="00743B0B" w:rsidRPr="00743B0B" w:rsidRDefault="00743B0B" w:rsidP="00743B0B">
            <w:pPr>
              <w:rPr>
                <w:sz w:val="18"/>
                <w:szCs w:val="18"/>
              </w:rPr>
            </w:pPr>
            <w:r w:rsidRPr="00743B0B">
              <w:rPr>
                <w:sz w:val="18"/>
                <w:szCs w:val="18"/>
              </w:rPr>
              <w:t>Examen à mi-parcours réalisé</w:t>
            </w:r>
          </w:p>
        </w:tc>
        <w:tc>
          <w:tcPr>
            <w:tcW w:w="1448" w:type="dxa"/>
            <w:shd w:val="clear" w:color="auto" w:fill="auto"/>
          </w:tcPr>
          <w:p w:rsidR="00743B0B" w:rsidRPr="00743B0B" w:rsidRDefault="00743B0B" w:rsidP="00743B0B">
            <w:pPr>
              <w:rPr>
                <w:i/>
                <w:sz w:val="18"/>
                <w:szCs w:val="18"/>
              </w:rPr>
            </w:pPr>
          </w:p>
        </w:tc>
      </w:tr>
      <w:tr w:rsidR="00743B0B" w:rsidRPr="00743B0B" w:rsidTr="00FA15C6">
        <w:trPr>
          <w:trHeight w:val="1204"/>
        </w:trPr>
        <w:tc>
          <w:tcPr>
            <w:tcW w:w="2807" w:type="dxa"/>
            <w:shd w:val="clear" w:color="auto" w:fill="auto"/>
          </w:tcPr>
          <w:p w:rsidR="00743B0B" w:rsidRPr="00743B0B" w:rsidRDefault="00743B0B" w:rsidP="00743B0B">
            <w:pPr>
              <w:jc w:val="left"/>
              <w:rPr>
                <w:b/>
                <w:sz w:val="18"/>
                <w:szCs w:val="18"/>
              </w:rPr>
            </w:pPr>
            <w:r w:rsidRPr="00743B0B">
              <w:rPr>
                <w:b/>
                <w:sz w:val="18"/>
                <w:szCs w:val="18"/>
              </w:rPr>
              <w:t>Risques environnementaux et sociaux et plans de gestion, le cas échéant.</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 xml:space="preserve">Mise à jour du </w:t>
            </w:r>
            <w:r w:rsidR="004628C7">
              <w:rPr>
                <w:sz w:val="18"/>
                <w:szCs w:val="18"/>
              </w:rPr>
              <w:t>PD</w:t>
            </w:r>
            <w:r w:rsidR="00661212" w:rsidRPr="00661212">
              <w:rPr>
                <w:sz w:val="18"/>
                <w:szCs w:val="18"/>
              </w:rPr>
              <w:t>ES</w:t>
            </w:r>
            <w:r w:rsidRPr="00743B0B">
              <w:rPr>
                <w:sz w:val="18"/>
                <w:szCs w:val="18"/>
              </w:rPr>
              <w:t xml:space="preserve"> et des plans de gestion</w:t>
            </w:r>
          </w:p>
        </w:tc>
        <w:tc>
          <w:tcPr>
            <w:tcW w:w="1418" w:type="dxa"/>
            <w:shd w:val="clear" w:color="auto" w:fill="auto"/>
          </w:tcPr>
          <w:p w:rsidR="00743B0B" w:rsidRPr="00743B0B" w:rsidRDefault="00743B0B" w:rsidP="00743B0B">
            <w:pPr>
              <w:jc w:val="left"/>
              <w:rPr>
                <w:sz w:val="18"/>
                <w:szCs w:val="18"/>
              </w:rPr>
            </w:pPr>
            <w:r w:rsidRPr="00743B0B">
              <w:rPr>
                <w:sz w:val="18"/>
                <w:szCs w:val="18"/>
              </w:rPr>
              <w:t>Annuelle</w:t>
            </w:r>
          </w:p>
        </w:tc>
        <w:tc>
          <w:tcPr>
            <w:tcW w:w="1134" w:type="dxa"/>
            <w:shd w:val="clear" w:color="auto" w:fill="auto"/>
          </w:tcPr>
          <w:p w:rsidR="00743B0B" w:rsidRPr="00743B0B" w:rsidRDefault="00743B0B" w:rsidP="00743B0B">
            <w:pPr>
              <w:jc w:val="left"/>
              <w:rPr>
                <w:sz w:val="18"/>
                <w:szCs w:val="18"/>
              </w:rPr>
            </w:pPr>
            <w:r w:rsidRPr="00743B0B">
              <w:rPr>
                <w:sz w:val="18"/>
                <w:szCs w:val="18"/>
              </w:rPr>
              <w:t>Gestionnaire de projet</w:t>
            </w:r>
          </w:p>
          <w:p w:rsidR="00743B0B" w:rsidRPr="00743B0B" w:rsidRDefault="00743B0B" w:rsidP="00743B0B">
            <w:pPr>
              <w:rPr>
                <w:i/>
                <w:sz w:val="18"/>
                <w:szCs w:val="18"/>
              </w:rPr>
            </w:pPr>
            <w:r w:rsidRPr="00743B0B">
              <w:rPr>
                <w:sz w:val="18"/>
                <w:szCs w:val="18"/>
              </w:rPr>
              <w:t>BP du PNUD</w:t>
            </w:r>
          </w:p>
        </w:tc>
        <w:tc>
          <w:tcPr>
            <w:tcW w:w="1134" w:type="dxa"/>
            <w:shd w:val="clear" w:color="auto" w:fill="auto"/>
          </w:tcPr>
          <w:p w:rsidR="00743B0B" w:rsidRPr="00743B0B" w:rsidRDefault="00661212" w:rsidP="00661212">
            <w:pPr>
              <w:rPr>
                <w:sz w:val="18"/>
                <w:szCs w:val="18"/>
              </w:rPr>
            </w:pPr>
            <w:r w:rsidRPr="00661212">
              <w:rPr>
                <w:sz w:val="18"/>
                <w:szCs w:val="18"/>
              </w:rPr>
              <w:t>P</w:t>
            </w:r>
            <w:r w:rsidR="004628C7">
              <w:rPr>
                <w:sz w:val="18"/>
                <w:szCs w:val="18"/>
              </w:rPr>
              <w:t>D</w:t>
            </w:r>
            <w:r w:rsidR="00743B0B" w:rsidRPr="00661212">
              <w:rPr>
                <w:sz w:val="18"/>
                <w:szCs w:val="18"/>
              </w:rPr>
              <w:t>ES</w:t>
            </w:r>
            <w:r w:rsidR="00743B0B" w:rsidRPr="00743B0B">
              <w:rPr>
                <w:sz w:val="18"/>
                <w:szCs w:val="18"/>
              </w:rPr>
              <w:t xml:space="preserve"> mis à jour</w:t>
            </w:r>
          </w:p>
        </w:tc>
        <w:tc>
          <w:tcPr>
            <w:tcW w:w="1448" w:type="dxa"/>
            <w:shd w:val="clear" w:color="auto" w:fill="auto"/>
          </w:tcPr>
          <w:p w:rsidR="00743B0B" w:rsidRPr="00743B0B" w:rsidRDefault="00743B0B" w:rsidP="00743B0B">
            <w:pPr>
              <w:rPr>
                <w:i/>
                <w:sz w:val="18"/>
                <w:szCs w:val="18"/>
              </w:rPr>
            </w:pPr>
          </w:p>
        </w:tc>
      </w:tr>
    </w:tbl>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6" w:name="_Toc496886566"/>
      <w:bookmarkStart w:id="57" w:name="_Toc498638403"/>
      <w:r w:rsidRPr="00743B0B">
        <w:rPr>
          <w:rFonts w:ascii="Century Gothic" w:hAnsi="Century Gothic"/>
          <w:b/>
          <w:smallCaps/>
          <w:spacing w:val="-2"/>
          <w:sz w:val="28"/>
          <w:szCs w:val="20"/>
        </w:rPr>
        <w:t>Annexe [C].</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d’évaluation</w:t>
      </w:r>
      <w:bookmarkEnd w:id="56"/>
      <w:bookmarkEnd w:id="57"/>
    </w:p>
    <w:p w:rsidR="00743B0B" w:rsidRPr="00743B0B" w:rsidRDefault="00743B0B" w:rsidP="00743B0B">
      <w:pPr>
        <w:rPr>
          <w:rFonts w:ascii="Times New Roman" w:hAnsi="Times New Roman"/>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625"/>
        <w:gridCol w:w="2691"/>
        <w:gridCol w:w="2427"/>
        <w:gridCol w:w="2065"/>
        <w:gridCol w:w="1673"/>
        <w:gridCol w:w="1924"/>
      </w:tblGrid>
      <w:tr w:rsidR="00743B0B" w:rsidRPr="00743B0B" w:rsidTr="00743B0B">
        <w:trPr>
          <w:trHeight w:val="980"/>
        </w:trPr>
        <w:tc>
          <w:tcPr>
            <w:tcW w:w="1621" w:type="dxa"/>
            <w:shd w:val="clear" w:color="auto" w:fill="D9D9D9"/>
          </w:tcPr>
          <w:p w:rsidR="00743B0B" w:rsidRPr="00743B0B" w:rsidRDefault="00743B0B" w:rsidP="00743B0B">
            <w:pPr>
              <w:jc w:val="center"/>
              <w:rPr>
                <w:b/>
                <w:szCs w:val="20"/>
              </w:rPr>
            </w:pPr>
            <w:r w:rsidRPr="00743B0B">
              <w:rPr>
                <w:b/>
                <w:szCs w:val="20"/>
              </w:rPr>
              <w:t>Titre de l’évaluation</w:t>
            </w:r>
          </w:p>
        </w:tc>
        <w:tc>
          <w:tcPr>
            <w:tcW w:w="1650" w:type="dxa"/>
            <w:shd w:val="clear" w:color="auto" w:fill="D9D9D9"/>
          </w:tcPr>
          <w:p w:rsidR="00743B0B" w:rsidRPr="00743B0B" w:rsidRDefault="00743B0B" w:rsidP="00743B0B">
            <w:pPr>
              <w:jc w:val="center"/>
              <w:rPr>
                <w:b/>
                <w:szCs w:val="20"/>
              </w:rPr>
            </w:pPr>
            <w:r w:rsidRPr="00743B0B">
              <w:rPr>
                <w:b/>
                <w:szCs w:val="20"/>
              </w:rPr>
              <w:t>Date prévue de début</w:t>
            </w:r>
          </w:p>
          <w:p w:rsidR="00743B0B" w:rsidRPr="00743B0B" w:rsidRDefault="00743B0B" w:rsidP="00743B0B">
            <w:pPr>
              <w:jc w:val="center"/>
              <w:rPr>
                <w:b/>
                <w:szCs w:val="20"/>
              </w:rPr>
            </w:pPr>
            <w:r w:rsidRPr="00743B0B">
              <w:rPr>
                <w:b/>
                <w:szCs w:val="20"/>
              </w:rPr>
              <w:t>Mois/année</w:t>
            </w:r>
          </w:p>
        </w:tc>
        <w:tc>
          <w:tcPr>
            <w:tcW w:w="2782" w:type="dxa"/>
            <w:shd w:val="clear" w:color="auto" w:fill="D9D9D9"/>
          </w:tcPr>
          <w:p w:rsidR="00743B0B" w:rsidRPr="00743B0B" w:rsidRDefault="00743B0B" w:rsidP="00743B0B">
            <w:pPr>
              <w:jc w:val="center"/>
              <w:rPr>
                <w:b/>
                <w:szCs w:val="20"/>
              </w:rPr>
            </w:pPr>
            <w:r w:rsidRPr="00743B0B">
              <w:rPr>
                <w:b/>
                <w:szCs w:val="20"/>
              </w:rPr>
              <w:t>Date prévue de fin</w:t>
            </w:r>
          </w:p>
          <w:p w:rsidR="00743B0B" w:rsidRPr="00743B0B" w:rsidRDefault="00743B0B" w:rsidP="00743B0B">
            <w:pPr>
              <w:jc w:val="center"/>
              <w:rPr>
                <w:b/>
                <w:szCs w:val="20"/>
              </w:rPr>
            </w:pPr>
            <w:r w:rsidRPr="00743B0B">
              <w:rPr>
                <w:b/>
                <w:szCs w:val="20"/>
              </w:rPr>
              <w:t>Mois/année</w:t>
            </w:r>
          </w:p>
        </w:tc>
        <w:tc>
          <w:tcPr>
            <w:tcW w:w="2509" w:type="dxa"/>
            <w:shd w:val="clear" w:color="auto" w:fill="D9D9D9"/>
          </w:tcPr>
          <w:p w:rsidR="00743B0B" w:rsidRPr="00743B0B" w:rsidRDefault="00743B0B" w:rsidP="00743B0B">
            <w:pPr>
              <w:jc w:val="center"/>
              <w:rPr>
                <w:b/>
                <w:szCs w:val="20"/>
              </w:rPr>
            </w:pPr>
            <w:r w:rsidRPr="00743B0B">
              <w:rPr>
                <w:b/>
                <w:szCs w:val="20"/>
              </w:rPr>
              <w:t>Incluse dans le plan d’évaluation du bureau de pays</w:t>
            </w:r>
          </w:p>
        </w:tc>
        <w:tc>
          <w:tcPr>
            <w:tcW w:w="2128" w:type="dxa"/>
            <w:shd w:val="clear" w:color="auto" w:fill="D9D9D9"/>
          </w:tcPr>
          <w:p w:rsidR="00743B0B" w:rsidRPr="00743B0B" w:rsidRDefault="00743B0B" w:rsidP="00743B0B">
            <w:pPr>
              <w:jc w:val="center"/>
              <w:rPr>
                <w:b/>
                <w:szCs w:val="20"/>
              </w:rPr>
            </w:pPr>
            <w:r w:rsidRPr="00743B0B">
              <w:rPr>
                <w:b/>
                <w:szCs w:val="20"/>
              </w:rPr>
              <w:t>Budget pour les consultants</w:t>
            </w:r>
          </w:p>
          <w:p w:rsidR="00743B0B" w:rsidRPr="00743B0B" w:rsidRDefault="00743B0B" w:rsidP="00743B0B">
            <w:pPr>
              <w:jc w:val="center"/>
              <w:rPr>
                <w:b/>
                <w:szCs w:val="20"/>
              </w:rPr>
            </w:pPr>
          </w:p>
        </w:tc>
        <w:tc>
          <w:tcPr>
            <w:tcW w:w="1722" w:type="dxa"/>
            <w:shd w:val="clear" w:color="auto" w:fill="D9D9D9"/>
          </w:tcPr>
          <w:p w:rsidR="00743B0B" w:rsidRPr="00743B0B" w:rsidRDefault="00743B0B" w:rsidP="00743B0B">
            <w:pPr>
              <w:jc w:val="center"/>
              <w:rPr>
                <w:b/>
                <w:szCs w:val="20"/>
              </w:rPr>
            </w:pPr>
            <w:r w:rsidRPr="00743B0B">
              <w:rPr>
                <w:b/>
                <w:szCs w:val="20"/>
              </w:rPr>
              <w:t>Autre budget (à savoir, voyages, visites de terrain, etc.)</w:t>
            </w:r>
          </w:p>
        </w:tc>
        <w:tc>
          <w:tcPr>
            <w:tcW w:w="1983" w:type="dxa"/>
            <w:shd w:val="clear" w:color="auto" w:fill="D9D9D9"/>
          </w:tcPr>
          <w:p w:rsidR="00743B0B" w:rsidRPr="00743B0B" w:rsidRDefault="00743B0B" w:rsidP="00743B0B">
            <w:pPr>
              <w:jc w:val="center"/>
              <w:rPr>
                <w:b/>
                <w:szCs w:val="20"/>
              </w:rPr>
            </w:pPr>
            <w:r w:rsidRPr="00743B0B">
              <w:rPr>
                <w:b/>
                <w:szCs w:val="20"/>
              </w:rPr>
              <w:t xml:space="preserve">Budget pour la traduction </w:t>
            </w:r>
          </w:p>
        </w:tc>
      </w:tr>
      <w:tr w:rsidR="00743B0B" w:rsidRPr="00743B0B" w:rsidTr="00743B0B">
        <w:trPr>
          <w:trHeight w:val="424"/>
        </w:trPr>
        <w:tc>
          <w:tcPr>
            <w:tcW w:w="1621" w:type="dxa"/>
            <w:shd w:val="clear" w:color="auto" w:fill="auto"/>
          </w:tcPr>
          <w:p w:rsidR="00743B0B" w:rsidRPr="00743B0B" w:rsidRDefault="00743B0B" w:rsidP="00743B0B">
            <w:pPr>
              <w:rPr>
                <w:b/>
                <w:sz w:val="18"/>
                <w:szCs w:val="18"/>
              </w:rPr>
            </w:pPr>
            <w:r w:rsidRPr="00743B0B">
              <w:rPr>
                <w:b/>
                <w:sz w:val="18"/>
                <w:szCs w:val="18"/>
              </w:rPr>
              <w:t>Évaluation à mi-parcours</w:t>
            </w:r>
          </w:p>
        </w:tc>
        <w:tc>
          <w:tcPr>
            <w:tcW w:w="1650" w:type="dxa"/>
            <w:shd w:val="clear" w:color="auto" w:fill="auto"/>
          </w:tcPr>
          <w:p w:rsidR="00743B0B" w:rsidRPr="00743B0B" w:rsidRDefault="00743B0B" w:rsidP="00743B0B">
            <w:pPr>
              <w:jc w:val="left"/>
              <w:rPr>
                <w:i/>
                <w:sz w:val="18"/>
                <w:szCs w:val="18"/>
              </w:rPr>
            </w:pPr>
            <w:r w:rsidRPr="00743B0B">
              <w:rPr>
                <w:i/>
                <w:sz w:val="18"/>
                <w:szCs w:val="18"/>
              </w:rPr>
              <w:t>2 ans après le début du projet</w:t>
            </w:r>
          </w:p>
          <w:p w:rsidR="00743B0B" w:rsidRPr="00743B0B" w:rsidRDefault="00743B0B" w:rsidP="00743B0B">
            <w:pPr>
              <w:jc w:val="left"/>
              <w:rPr>
                <w:i/>
                <w:sz w:val="18"/>
                <w:szCs w:val="18"/>
              </w:rPr>
            </w:pPr>
            <w:r w:rsidRPr="00743B0B">
              <w:rPr>
                <w:i/>
                <w:sz w:val="18"/>
                <w:szCs w:val="18"/>
              </w:rPr>
              <w:t>Juin 2019</w:t>
            </w:r>
          </w:p>
        </w:tc>
        <w:tc>
          <w:tcPr>
            <w:tcW w:w="2782" w:type="dxa"/>
          </w:tcPr>
          <w:p w:rsidR="00743B0B" w:rsidRPr="00743B0B" w:rsidRDefault="00743B0B" w:rsidP="00743B0B">
            <w:pPr>
              <w:jc w:val="left"/>
              <w:rPr>
                <w:i/>
                <w:sz w:val="18"/>
                <w:szCs w:val="18"/>
              </w:rPr>
            </w:pPr>
            <w:r w:rsidRPr="00743B0B">
              <w:rPr>
                <w:i/>
                <w:sz w:val="18"/>
                <w:szCs w:val="18"/>
              </w:rPr>
              <w:t>À soumettre au FEM avant septembre 2019</w:t>
            </w:r>
          </w:p>
        </w:tc>
        <w:tc>
          <w:tcPr>
            <w:tcW w:w="2509" w:type="dxa"/>
          </w:tcPr>
          <w:p w:rsidR="00743B0B" w:rsidRPr="00743B0B" w:rsidRDefault="00743B0B" w:rsidP="00743B0B">
            <w:pPr>
              <w:jc w:val="center"/>
              <w:rPr>
                <w:sz w:val="18"/>
                <w:szCs w:val="18"/>
              </w:rPr>
            </w:pPr>
            <w:r w:rsidRPr="00743B0B">
              <w:rPr>
                <w:sz w:val="18"/>
                <w:szCs w:val="18"/>
              </w:rPr>
              <w:t>Oui</w:t>
            </w:r>
          </w:p>
        </w:tc>
        <w:tc>
          <w:tcPr>
            <w:tcW w:w="2128" w:type="dxa"/>
            <w:shd w:val="clear" w:color="auto" w:fill="auto"/>
          </w:tcPr>
          <w:p w:rsidR="00743B0B" w:rsidRPr="00743B0B" w:rsidRDefault="00743B0B" w:rsidP="00743B0B">
            <w:pPr>
              <w:jc w:val="center"/>
              <w:rPr>
                <w:i/>
                <w:sz w:val="18"/>
                <w:szCs w:val="18"/>
              </w:rPr>
            </w:pPr>
            <w:r w:rsidRPr="00743B0B">
              <w:rPr>
                <w:i/>
                <w:sz w:val="18"/>
                <w:szCs w:val="18"/>
              </w:rPr>
              <w:t xml:space="preserve">30 000 USD </w:t>
            </w:r>
          </w:p>
        </w:tc>
        <w:tc>
          <w:tcPr>
            <w:tcW w:w="1722" w:type="dxa"/>
          </w:tcPr>
          <w:p w:rsidR="00743B0B" w:rsidRPr="00743B0B" w:rsidRDefault="00743B0B" w:rsidP="00743B0B">
            <w:pPr>
              <w:jc w:val="center"/>
              <w:rPr>
                <w:i/>
                <w:sz w:val="18"/>
                <w:szCs w:val="18"/>
              </w:rPr>
            </w:pPr>
            <w:r w:rsidRPr="00743B0B">
              <w:rPr>
                <w:i/>
                <w:sz w:val="18"/>
                <w:szCs w:val="18"/>
              </w:rPr>
              <w:t>5 000 USD</w:t>
            </w:r>
          </w:p>
        </w:tc>
        <w:tc>
          <w:tcPr>
            <w:tcW w:w="1983" w:type="dxa"/>
          </w:tcPr>
          <w:p w:rsidR="00743B0B" w:rsidRPr="00743B0B" w:rsidRDefault="00743B0B" w:rsidP="00743B0B">
            <w:pPr>
              <w:jc w:val="center"/>
              <w:rPr>
                <w:i/>
                <w:sz w:val="18"/>
                <w:szCs w:val="18"/>
              </w:rPr>
            </w:pPr>
            <w:r w:rsidRPr="00743B0B">
              <w:rPr>
                <w:i/>
                <w:sz w:val="18"/>
                <w:szCs w:val="18"/>
              </w:rPr>
              <w:t>5 000 USD</w:t>
            </w:r>
          </w:p>
        </w:tc>
      </w:tr>
      <w:tr w:rsidR="00743B0B" w:rsidRPr="00743B0B" w:rsidTr="00743B0B">
        <w:trPr>
          <w:trHeight w:val="424"/>
        </w:trPr>
        <w:tc>
          <w:tcPr>
            <w:tcW w:w="1621" w:type="dxa"/>
            <w:shd w:val="clear" w:color="auto" w:fill="auto"/>
          </w:tcPr>
          <w:p w:rsidR="00743B0B" w:rsidRPr="00743B0B" w:rsidRDefault="00743B0B" w:rsidP="00743B0B">
            <w:pPr>
              <w:rPr>
                <w:b/>
                <w:sz w:val="18"/>
                <w:szCs w:val="18"/>
              </w:rPr>
            </w:pPr>
            <w:r w:rsidRPr="00743B0B">
              <w:rPr>
                <w:b/>
                <w:sz w:val="18"/>
                <w:szCs w:val="18"/>
              </w:rPr>
              <w:t>Évaluation finale</w:t>
            </w:r>
          </w:p>
        </w:tc>
        <w:tc>
          <w:tcPr>
            <w:tcW w:w="1650" w:type="dxa"/>
            <w:shd w:val="clear" w:color="auto" w:fill="auto"/>
          </w:tcPr>
          <w:p w:rsidR="00743B0B" w:rsidRPr="00743B0B" w:rsidRDefault="00743B0B" w:rsidP="00743B0B">
            <w:pPr>
              <w:jc w:val="left"/>
              <w:rPr>
                <w:i/>
                <w:sz w:val="18"/>
                <w:szCs w:val="18"/>
              </w:rPr>
            </w:pPr>
            <w:r w:rsidRPr="00743B0B">
              <w:rPr>
                <w:i/>
                <w:sz w:val="18"/>
                <w:szCs w:val="18"/>
              </w:rPr>
              <w:t>3 mois avant la clôture opérationnelle</w:t>
            </w:r>
          </w:p>
          <w:p w:rsidR="00743B0B" w:rsidRPr="00743B0B" w:rsidRDefault="00743B0B" w:rsidP="00743B0B">
            <w:pPr>
              <w:jc w:val="left"/>
              <w:rPr>
                <w:i/>
                <w:sz w:val="18"/>
                <w:szCs w:val="18"/>
              </w:rPr>
            </w:pPr>
            <w:r w:rsidRPr="00743B0B">
              <w:rPr>
                <w:i/>
                <w:sz w:val="18"/>
                <w:szCs w:val="18"/>
              </w:rPr>
              <w:t>Mars 2021</w:t>
            </w:r>
          </w:p>
        </w:tc>
        <w:tc>
          <w:tcPr>
            <w:tcW w:w="2782" w:type="dxa"/>
          </w:tcPr>
          <w:p w:rsidR="00743B0B" w:rsidRPr="00743B0B" w:rsidRDefault="00743B0B" w:rsidP="00743B0B">
            <w:pPr>
              <w:jc w:val="left"/>
              <w:rPr>
                <w:i/>
                <w:sz w:val="18"/>
                <w:szCs w:val="18"/>
              </w:rPr>
            </w:pPr>
            <w:r w:rsidRPr="00743B0B">
              <w:rPr>
                <w:i/>
                <w:sz w:val="18"/>
                <w:szCs w:val="18"/>
              </w:rPr>
              <w:t>À soumettre au FEM trois mois avant la clôture opérationnelle</w:t>
            </w:r>
          </w:p>
        </w:tc>
        <w:tc>
          <w:tcPr>
            <w:tcW w:w="2509" w:type="dxa"/>
          </w:tcPr>
          <w:p w:rsidR="00743B0B" w:rsidRPr="00743B0B" w:rsidRDefault="00743B0B" w:rsidP="00743B0B">
            <w:pPr>
              <w:jc w:val="center"/>
              <w:rPr>
                <w:sz w:val="18"/>
                <w:szCs w:val="18"/>
              </w:rPr>
            </w:pPr>
            <w:r w:rsidRPr="00743B0B">
              <w:rPr>
                <w:sz w:val="18"/>
                <w:szCs w:val="18"/>
              </w:rPr>
              <w:t>Oui</w:t>
            </w:r>
          </w:p>
          <w:p w:rsidR="00743B0B" w:rsidRPr="00743B0B" w:rsidRDefault="00743B0B" w:rsidP="00743B0B">
            <w:pPr>
              <w:jc w:val="center"/>
              <w:rPr>
                <w:i/>
                <w:sz w:val="18"/>
                <w:szCs w:val="18"/>
              </w:rPr>
            </w:pPr>
            <w:r w:rsidRPr="00743B0B">
              <w:rPr>
                <w:i/>
                <w:sz w:val="18"/>
                <w:szCs w:val="18"/>
              </w:rPr>
              <w:t>Obligatoire</w:t>
            </w:r>
          </w:p>
        </w:tc>
        <w:tc>
          <w:tcPr>
            <w:tcW w:w="2128" w:type="dxa"/>
            <w:shd w:val="clear" w:color="auto" w:fill="auto"/>
          </w:tcPr>
          <w:p w:rsidR="00743B0B" w:rsidRPr="00743B0B" w:rsidRDefault="00743B0B" w:rsidP="00743B0B">
            <w:pPr>
              <w:jc w:val="center"/>
              <w:rPr>
                <w:i/>
                <w:sz w:val="18"/>
                <w:szCs w:val="18"/>
              </w:rPr>
            </w:pPr>
            <w:r w:rsidRPr="00743B0B">
              <w:rPr>
                <w:i/>
                <w:sz w:val="18"/>
                <w:szCs w:val="18"/>
              </w:rPr>
              <w:t xml:space="preserve">40 000 USD </w:t>
            </w:r>
          </w:p>
        </w:tc>
        <w:tc>
          <w:tcPr>
            <w:tcW w:w="1722" w:type="dxa"/>
          </w:tcPr>
          <w:p w:rsidR="00743B0B" w:rsidRPr="00743B0B" w:rsidRDefault="00743B0B" w:rsidP="00743B0B">
            <w:pPr>
              <w:jc w:val="center"/>
              <w:rPr>
                <w:i/>
                <w:sz w:val="18"/>
                <w:szCs w:val="18"/>
              </w:rPr>
            </w:pPr>
            <w:r w:rsidRPr="00743B0B">
              <w:rPr>
                <w:i/>
                <w:sz w:val="18"/>
                <w:szCs w:val="18"/>
              </w:rPr>
              <w:t>5 000 USD</w:t>
            </w:r>
          </w:p>
        </w:tc>
        <w:tc>
          <w:tcPr>
            <w:tcW w:w="1983" w:type="dxa"/>
          </w:tcPr>
          <w:p w:rsidR="00743B0B" w:rsidRPr="00743B0B" w:rsidRDefault="00743B0B" w:rsidP="00743B0B">
            <w:pPr>
              <w:jc w:val="center"/>
              <w:rPr>
                <w:i/>
                <w:sz w:val="18"/>
                <w:szCs w:val="18"/>
              </w:rPr>
            </w:pPr>
            <w:r w:rsidRPr="00743B0B">
              <w:rPr>
                <w:i/>
                <w:sz w:val="18"/>
                <w:szCs w:val="18"/>
              </w:rPr>
              <w:t>5 000 USD</w:t>
            </w:r>
          </w:p>
        </w:tc>
      </w:tr>
      <w:tr w:rsidR="00743B0B" w:rsidRPr="00743B0B" w:rsidTr="00743B0B">
        <w:trPr>
          <w:trHeight w:val="424"/>
        </w:trPr>
        <w:tc>
          <w:tcPr>
            <w:tcW w:w="8562" w:type="dxa"/>
            <w:gridSpan w:val="4"/>
            <w:shd w:val="clear" w:color="auto" w:fill="auto"/>
          </w:tcPr>
          <w:p w:rsidR="00743B0B" w:rsidRPr="00743B0B" w:rsidRDefault="00743B0B" w:rsidP="00743B0B">
            <w:pPr>
              <w:jc w:val="right"/>
              <w:rPr>
                <w:b/>
                <w:sz w:val="18"/>
                <w:szCs w:val="18"/>
              </w:rPr>
            </w:pPr>
            <w:r w:rsidRPr="00743B0B">
              <w:rPr>
                <w:b/>
                <w:sz w:val="18"/>
                <w:szCs w:val="18"/>
              </w:rPr>
              <w:t>Budget total de l’évaluation</w:t>
            </w:r>
          </w:p>
        </w:tc>
        <w:tc>
          <w:tcPr>
            <w:tcW w:w="5833" w:type="dxa"/>
            <w:gridSpan w:val="3"/>
            <w:shd w:val="clear" w:color="auto" w:fill="auto"/>
          </w:tcPr>
          <w:p w:rsidR="00743B0B" w:rsidRPr="00743B0B" w:rsidRDefault="00743B0B" w:rsidP="00743B0B">
            <w:pPr>
              <w:rPr>
                <w:sz w:val="18"/>
                <w:szCs w:val="18"/>
              </w:rPr>
            </w:pPr>
            <w:r w:rsidRPr="00743B0B">
              <w:rPr>
                <w:sz w:val="18"/>
                <w:szCs w:val="18"/>
              </w:rPr>
              <w:t>90 000 USD</w:t>
            </w:r>
          </w:p>
        </w:tc>
      </w:tr>
    </w:tbl>
    <w:p w:rsidR="00743B0B" w:rsidRPr="00743B0B" w:rsidRDefault="00743B0B" w:rsidP="00743B0B">
      <w:pPr>
        <w:rPr>
          <w:rFonts w:ascii="Times New Roman" w:hAnsi="Times New Roman"/>
          <w:sz w:val="24"/>
        </w:rPr>
      </w:pPr>
    </w:p>
    <w:p w:rsidR="00743B0B" w:rsidRDefault="00743B0B">
      <w:pPr>
        <w:spacing w:after="160" w:line="259" w:lineRule="auto"/>
        <w:jc w:val="left"/>
        <w:rPr>
          <w:rFonts w:ascii="Times New Roman" w:hAnsi="Times New Roman"/>
          <w:sz w:val="24"/>
        </w:rPr>
      </w:pPr>
      <w:r>
        <w:rPr>
          <w:rFonts w:ascii="Times New Roman" w:hAnsi="Times New Roman"/>
          <w:sz w:val="24"/>
        </w:rPr>
        <w:br w:type="page"/>
      </w: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8" w:name="_Toc496886567"/>
      <w:bookmarkStart w:id="59" w:name="_Toc498638404"/>
      <w:r w:rsidRPr="00743B0B">
        <w:rPr>
          <w:rFonts w:ascii="Century Gothic" w:hAnsi="Century Gothic"/>
          <w:b/>
          <w:smallCaps/>
          <w:spacing w:val="-2"/>
          <w:sz w:val="28"/>
          <w:szCs w:val="20"/>
        </w:rPr>
        <w:t>Annexe [D].</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Outil de suivi de référence du FEM</w:t>
      </w:r>
      <w:bookmarkEnd w:id="58"/>
      <w:bookmarkEnd w:id="59"/>
    </w:p>
    <w:p w:rsidR="00743B0B" w:rsidRPr="00743B0B" w:rsidRDefault="00743B0B" w:rsidP="00743B0B">
      <w:pPr>
        <w:rPr>
          <w:rFonts w:ascii="Times New Roman" w:hAnsi="Times New Roman"/>
          <w:sz w:val="24"/>
        </w:rPr>
      </w:pPr>
    </w:p>
    <w:p w:rsidR="00743B0B" w:rsidRDefault="00743B0B" w:rsidP="00743B0B">
      <w:pPr>
        <w:rPr>
          <w:rFonts w:ascii="Times New Roman" w:hAnsi="Times New Roman"/>
          <w:sz w:val="24"/>
        </w:rPr>
      </w:pPr>
      <w:r w:rsidRPr="00743B0B">
        <w:rPr>
          <w:rFonts w:ascii="Times New Roman" w:hAnsi="Times New Roman"/>
          <w:sz w:val="24"/>
        </w:rPr>
        <w:t>Voir le fichier Excel ci-joint.</w:t>
      </w: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Pr="00743B0B" w:rsidRDefault="00714342" w:rsidP="00743B0B">
      <w:pPr>
        <w:rPr>
          <w:rFonts w:ascii="Times New Roman" w:hAnsi="Times New Roman"/>
          <w:sz w:val="24"/>
        </w:rPr>
      </w:pPr>
    </w:p>
    <w:p w:rsidR="00743B0B" w:rsidRPr="00743B0B" w:rsidRDefault="00743B0B" w:rsidP="00743B0B">
      <w:pPr>
        <w:rPr>
          <w:rFonts w:ascii="Times New Roman" w:hAnsi="Times New Roman"/>
          <w:sz w:val="24"/>
        </w:rPr>
      </w:pPr>
    </w:p>
    <w:p w:rsidR="00743B0B" w:rsidRPr="00743B0B" w:rsidRDefault="00743B0B" w:rsidP="00743B0B">
      <w:pPr>
        <w:rPr>
          <w:rFonts w:ascii="Times New Roman" w:hAnsi="Times New Roman"/>
          <w:sz w:val="24"/>
        </w:rPr>
      </w:pPr>
    </w:p>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60" w:name="_Toc496886568"/>
      <w:bookmarkStart w:id="61" w:name="_Toc498638405"/>
      <w:r w:rsidRPr="00743B0B">
        <w:rPr>
          <w:rFonts w:ascii="Century Gothic" w:hAnsi="Century Gothic"/>
          <w:b/>
          <w:smallCaps/>
          <w:spacing w:val="-2"/>
          <w:sz w:val="28"/>
          <w:szCs w:val="20"/>
        </w:rPr>
        <w:t>Annexe [E].</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Descriptif d’emploi du personnel principal du projet</w:t>
      </w:r>
      <w:bookmarkEnd w:id="60"/>
      <w:bookmarkEnd w:id="61"/>
    </w:p>
    <w:p w:rsidR="00743B0B" w:rsidRPr="00743B0B" w:rsidRDefault="00743B0B" w:rsidP="00743B0B">
      <w:pPr>
        <w:spacing w:after="0"/>
        <w:jc w:val="left"/>
        <w:rPr>
          <w:rFonts w:ascii="Times New Roman" w:hAnsi="Times New Roman"/>
          <w:sz w:val="24"/>
        </w:rPr>
      </w:pPr>
    </w:p>
    <w:p w:rsidR="00743B0B" w:rsidRPr="00743B0B" w:rsidRDefault="00743B0B" w:rsidP="00743B0B">
      <w:pPr>
        <w:rPr>
          <w:rFonts w:ascii="Times New Roman" w:hAnsi="Times New Roman"/>
          <w:b/>
          <w:sz w:val="24"/>
        </w:rPr>
      </w:pPr>
    </w:p>
    <w:p w:rsidR="00743B0B" w:rsidRPr="00743B0B" w:rsidRDefault="00743B0B" w:rsidP="00743B0B">
      <w:pPr>
        <w:rPr>
          <w:rFonts w:ascii="Times New Roman" w:hAnsi="Times New Roman"/>
          <w:b/>
          <w:sz w:val="24"/>
        </w:rPr>
      </w:pPr>
      <w:bookmarkStart w:id="62" w:name="_Toc257682761"/>
      <w:bookmarkStart w:id="63" w:name="_Toc353464528"/>
      <w:r w:rsidRPr="00743B0B">
        <w:rPr>
          <w:rFonts w:ascii="Times New Roman" w:hAnsi="Times New Roman"/>
          <w:b/>
          <w:sz w:val="24"/>
        </w:rPr>
        <w:t>Coordonnateur national de projet</w:t>
      </w:r>
      <w:bookmarkEnd w:id="62"/>
      <w:r w:rsidRPr="00743B0B">
        <w:rPr>
          <w:rFonts w:ascii="Times New Roman" w:hAnsi="Times New Roman"/>
          <w:b/>
          <w:sz w:val="24"/>
        </w:rPr>
        <w:t xml:space="preserve"> (Gestionnaire de projet)</w:t>
      </w:r>
      <w:bookmarkEnd w:id="63"/>
    </w:p>
    <w:p w:rsidR="00743B0B" w:rsidRPr="00743B0B" w:rsidRDefault="00743B0B" w:rsidP="00743B0B">
      <w:pPr>
        <w:rPr>
          <w:rFonts w:ascii="Times New Roman" w:hAnsi="Times New Roman"/>
          <w:b/>
          <w:sz w:val="24"/>
          <w:u w:val="single"/>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Contexte</w:t>
      </w:r>
    </w:p>
    <w:p w:rsidR="00743B0B" w:rsidRPr="00743B0B" w:rsidRDefault="00743B0B" w:rsidP="00743B0B">
      <w:pPr>
        <w:rPr>
          <w:rFonts w:ascii="Times New Roman" w:hAnsi="Times New Roman"/>
          <w:sz w:val="22"/>
        </w:rPr>
      </w:pPr>
      <w:r w:rsidRPr="00743B0B">
        <w:rPr>
          <w:rFonts w:ascii="Times New Roman" w:hAnsi="Times New Roman"/>
          <w:sz w:val="22"/>
        </w:rPr>
        <w:t>Le Coordonnateur de projet sera recruté au niveau régional sur la base d’un processus concurrentiel ouvert. Il/elle aura la responsabilité générale de la réalisation des produits dans les délais, conformément à la portée et dans les limites du budget. Il/elle veillera au respect de toutes les procédures administratives et financières du PNUD. Il/elle met en relation les interventions de l’équipe d’appui technique et du spécialiste pour mettre en œuvre des actions concrètes sur site, selon les objectifs et des produits à livrer du projet. Il/elle s’assure de la cohérence et des principes d’intervention sur chaque site.</w:t>
      </w:r>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Fonctions et responsabilités</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la réalisation des produits du projet, conformément au document de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le travail de tout le personnel du projet, des consultants et des sous-traitants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le recrutement et la sélection du personnel du projet</w:t>
      </w:r>
      <w:r w:rsidR="00D2405E">
        <w:rPr>
          <w:rFonts w:ascii="Times New Roman" w:hAnsi="Times New Roman"/>
          <w:sz w:val="22"/>
        </w:rPr>
        <w:t> ;</w:t>
      </w:r>
      <w:r w:rsidRPr="00743B0B">
        <w:rPr>
          <w:rFonts w:ascii="Times New Roman" w:hAnsi="Times New Roman"/>
          <w:sz w:val="22"/>
        </w:rPr>
        <w:t xml:space="preserve">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supervision du personnel du projet, une fois engagé sous contrat pour s’acquitter de leurs tâches au titre du projet, en procédant à l’évaluation des performances et en établissant un lien avec le renouvellement éventuel du contrat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Élaborer et réviser les plans de travail et les plans financiers du projet, à la demande du MEDD et du PNUD</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liaison avec le PNUD, le MEDD, les agences gouvernementales compétentes et tous les partenaires du projet (PADAER, etc.), y compris les organisations donatrices et les ONG partenaires pour une coordination efficace de toutes les activités du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 xml:space="preserve">Faciliter les activités de formation </w:t>
      </w:r>
      <w:r w:rsidR="00D87EA2">
        <w:rPr>
          <w:rFonts w:ascii="Times New Roman" w:hAnsi="Times New Roman"/>
          <w:sz w:val="22"/>
        </w:rPr>
        <w:t>appuyées</w:t>
      </w:r>
      <w:r w:rsidRPr="00743B0B">
        <w:rPr>
          <w:rFonts w:ascii="Times New Roman" w:hAnsi="Times New Roman"/>
          <w:sz w:val="22"/>
        </w:rPr>
        <w:t xml:space="preserve"> par le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Préparer et réviser le ra</w:t>
      </w:r>
      <w:r w:rsidR="00D87EA2">
        <w:rPr>
          <w:rFonts w:ascii="Times New Roman" w:hAnsi="Times New Roman"/>
          <w:sz w:val="22"/>
        </w:rPr>
        <w:t>pport initial, le rapport sur l’exécution</w:t>
      </w:r>
      <w:r w:rsidRPr="00743B0B">
        <w:rPr>
          <w:rFonts w:ascii="Times New Roman" w:hAnsi="Times New Roman"/>
          <w:sz w:val="22"/>
        </w:rPr>
        <w:t xml:space="preserve"> </w:t>
      </w:r>
      <w:r w:rsidR="00785E03">
        <w:rPr>
          <w:rFonts w:ascii="Times New Roman" w:hAnsi="Times New Roman"/>
          <w:sz w:val="22"/>
        </w:rPr>
        <w:t>combinée du projet</w:t>
      </w:r>
      <w:r w:rsidR="00D87EA2">
        <w:rPr>
          <w:rFonts w:ascii="Times New Roman" w:hAnsi="Times New Roman"/>
          <w:sz w:val="22"/>
        </w:rPr>
        <w:t xml:space="preserve"> </w:t>
      </w:r>
      <w:r w:rsidR="00785E03">
        <w:rPr>
          <w:rFonts w:ascii="Times New Roman" w:hAnsi="Times New Roman"/>
          <w:sz w:val="22"/>
        </w:rPr>
        <w:t xml:space="preserve">et </w:t>
      </w:r>
      <w:r w:rsidRPr="00743B0B">
        <w:rPr>
          <w:rFonts w:ascii="Times New Roman" w:hAnsi="Times New Roman"/>
          <w:sz w:val="22"/>
        </w:rPr>
        <w:t>le rapport annuel du projet (</w:t>
      </w:r>
      <w:r w:rsidR="00785E03">
        <w:rPr>
          <w:rFonts w:ascii="Times New Roman" w:hAnsi="Times New Roman"/>
          <w:sz w:val="22"/>
        </w:rPr>
        <w:t>REP</w:t>
      </w:r>
      <w:r w:rsidRPr="00743B0B">
        <w:rPr>
          <w:rFonts w:ascii="Times New Roman" w:hAnsi="Times New Roman"/>
          <w:sz w:val="22"/>
        </w:rPr>
        <w:t>/</w:t>
      </w:r>
      <w:r w:rsidR="00785E03">
        <w:rPr>
          <w:rFonts w:ascii="Times New Roman" w:hAnsi="Times New Roman"/>
          <w:sz w:val="22"/>
        </w:rPr>
        <w:t>RAP</w:t>
      </w:r>
      <w:r w:rsidRPr="00743B0B">
        <w:rPr>
          <w:rFonts w:ascii="Times New Roman" w:hAnsi="Times New Roman"/>
          <w:sz w:val="22"/>
        </w:rPr>
        <w:t xml:space="preserve">), les rapports techniques, les rapports opérationnels trimestriels (QOR) à soumettre au FEM, les rapports financiers trimestriels et autres rapports exigés par le PNUD, le FEM, MEDD, le </w:t>
      </w:r>
      <w:r w:rsidR="00E8322C">
        <w:rPr>
          <w:rFonts w:ascii="Times New Roman" w:hAnsi="Times New Roman"/>
          <w:sz w:val="22"/>
        </w:rPr>
        <w:t>CDP</w:t>
      </w:r>
      <w:r w:rsidRPr="00743B0B">
        <w:rPr>
          <w:rFonts w:ascii="Times New Roman" w:hAnsi="Times New Roman"/>
          <w:sz w:val="22"/>
        </w:rPr>
        <w:t xml:space="preserve"> et d’autres organes de contrôle</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Diffuser les rapports de projet et répondre aux sollicitations des parties prenantes concernées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mise en œuvre rapide et efficace de toutes les composantes du projet</w:t>
      </w:r>
      <w:r w:rsidR="00D2405E">
        <w:rPr>
          <w:rFonts w:ascii="Times New Roman" w:hAnsi="Times New Roman"/>
          <w:sz w:val="22"/>
        </w:rPr>
        <w:t> ;</w:t>
      </w:r>
      <w:r w:rsidRPr="00743B0B">
        <w:rPr>
          <w:rFonts w:ascii="Times New Roman" w:hAnsi="Times New Roman"/>
          <w:sz w:val="22"/>
        </w:rPr>
        <w:t xml:space="preserve">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Aider les groupes communautaires, les gouvernements régionaux et locaux, les organismes intercommunaux, les ONG et les organisations communautaires locales, le personnel, les étudiants et d’autres personnes à développer des compétences essentielles par le biais d’ateliers de formation et de formation en cours d’emploi, renforçant ainsi leurs capacités institutionnelles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et assister les institutions scientifiques dans le lancement et la mise en œuvre de toutes les études sur le terrain et le suivi des composantes du projet</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Aider et conseiller les équipes chargées de la production de documentaires, spots télévisés, guides et campagnes de sensibilisation, études de terrain, etc.</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Procéder à des inspections régulières, programmées et inopinées de tous les sites et des activités des unités de gestion des sites du projet.</w:t>
      </w:r>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Qualifications</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Diplôme universitaire (de préférence du niveau de la maîtrise et au-delà) en sciences du développement rural, en sciences de l’environnement/naturelles, changement climatique ou en sciences sociales (par exemple en économie) avec une spécialisation qui cadre avec les questions d’</w:t>
      </w:r>
      <w:r w:rsidR="00537B55">
        <w:rPr>
          <w:rFonts w:ascii="Times New Roman" w:hAnsi="Times New Roman"/>
          <w:sz w:val="22"/>
        </w:rPr>
        <w:t>adaptation aux changements climatiques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Au moins 10 ans d’expérience dans le domaine de la gestion de l’</w:t>
      </w:r>
      <w:r w:rsidR="00537B55">
        <w:rPr>
          <w:rFonts w:ascii="Times New Roman" w:hAnsi="Times New Roman"/>
          <w:sz w:val="22"/>
        </w:rPr>
        <w:t>adaptation aux changements climatiques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Au moins 5 ans d’expérience en gestion de projets ou programmes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Une expérience de travail avec les ministères, les institutions nationales et les ONG est un plus, sans toutefois être une exigence</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Capacité de coordonner efficacement un projet multipartite de grande envergure</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Capacité d’administrer des budgets, de former le personnel de contrepartie à tous les niveaux et de travailler efficacement avec eux ainsi qu’avec tous les groupes impliqués dans le projet</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Solides compétences en rédaction, présentation et établissement de rapports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Excellentes compétences informatiques, en particulier la maîtrise de toutes les applications de la suite logicielle MS Office et la recherche sur Internet</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Connaissance approfondie du contexte politique et socioéconomique, en particulier aux niveaux national et local</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Excellente capacité de communication écrite en langue française</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Une bonne connaissance pratique de l’anglais est indispensable.</w:t>
      </w:r>
    </w:p>
    <w:p w:rsidR="00743B0B" w:rsidRPr="00743B0B" w:rsidRDefault="00743B0B" w:rsidP="00743B0B">
      <w:pPr>
        <w:rPr>
          <w:b/>
          <w:bCs/>
        </w:rPr>
      </w:pPr>
    </w:p>
    <w:p w:rsidR="00743B0B" w:rsidRPr="00743B0B" w:rsidRDefault="00743B0B" w:rsidP="00743B0B">
      <w:pPr>
        <w:rPr>
          <w:rFonts w:ascii="Times New Roman" w:hAnsi="Times New Roman"/>
          <w:b/>
          <w:sz w:val="24"/>
        </w:rPr>
      </w:pPr>
      <w:bookmarkStart w:id="64" w:name="_Toc353464530"/>
      <w:r w:rsidRPr="00743B0B">
        <w:rPr>
          <w:rFonts w:ascii="Times New Roman" w:hAnsi="Times New Roman"/>
          <w:b/>
          <w:sz w:val="24"/>
        </w:rPr>
        <w:t>Agent administratif et financier de projet</w:t>
      </w:r>
      <w:bookmarkEnd w:id="64"/>
    </w:p>
    <w:p w:rsidR="00743B0B" w:rsidRPr="00743B0B" w:rsidRDefault="00743B0B" w:rsidP="00743B0B">
      <w:pPr>
        <w:rPr>
          <w:rFonts w:ascii="Times New Roman" w:hAnsi="Times New Roman"/>
          <w:bCs/>
          <w:sz w:val="22"/>
          <w:szCs w:val="22"/>
          <w:u w:val="single"/>
        </w:rPr>
      </w:pPr>
    </w:p>
    <w:p w:rsidR="00743B0B" w:rsidRPr="00743B0B" w:rsidRDefault="00743B0B" w:rsidP="00743B0B">
      <w:pPr>
        <w:rPr>
          <w:rFonts w:ascii="Times New Roman" w:hAnsi="Times New Roman"/>
          <w:bCs/>
          <w:sz w:val="22"/>
          <w:szCs w:val="22"/>
          <w:u w:val="single"/>
        </w:rPr>
      </w:pPr>
      <w:r w:rsidRPr="00743B0B">
        <w:rPr>
          <w:rFonts w:ascii="Times New Roman" w:hAnsi="Times New Roman"/>
          <w:bCs/>
          <w:sz w:val="22"/>
          <w:szCs w:val="22"/>
          <w:u w:val="single"/>
        </w:rPr>
        <w:t>Contexte</w:t>
      </w:r>
    </w:p>
    <w:p w:rsidR="00743B0B" w:rsidRPr="00743B0B" w:rsidRDefault="00743B0B" w:rsidP="00743B0B">
      <w:pPr>
        <w:rPr>
          <w:rFonts w:ascii="Times New Roman" w:hAnsi="Times New Roman"/>
          <w:bCs/>
          <w:sz w:val="22"/>
          <w:szCs w:val="22"/>
        </w:rPr>
      </w:pPr>
      <w:r w:rsidRPr="00B0195E">
        <w:rPr>
          <w:rFonts w:ascii="Times New Roman" w:hAnsi="Times New Roman"/>
          <w:bCs/>
          <w:sz w:val="22"/>
          <w:szCs w:val="22"/>
        </w:rPr>
        <w:t>L’Agent administratif et finan</w:t>
      </w:r>
      <w:r w:rsidR="00B0195E" w:rsidRPr="00B0195E">
        <w:rPr>
          <w:rFonts w:ascii="Times New Roman" w:hAnsi="Times New Roman"/>
          <w:bCs/>
          <w:sz w:val="22"/>
          <w:szCs w:val="22"/>
        </w:rPr>
        <w:t>cier du</w:t>
      </w:r>
      <w:r w:rsidRPr="00B0195E">
        <w:rPr>
          <w:rFonts w:ascii="Times New Roman" w:hAnsi="Times New Roman"/>
          <w:bCs/>
          <w:sz w:val="22"/>
          <w:szCs w:val="22"/>
        </w:rPr>
        <w:t xml:space="preserve"> projet </w:t>
      </w:r>
      <w:r w:rsidR="00812D8E" w:rsidRPr="00B0195E">
        <w:rPr>
          <w:rFonts w:ascii="Times New Roman" w:hAnsi="Times New Roman"/>
          <w:bCs/>
          <w:sz w:val="22"/>
          <w:szCs w:val="22"/>
        </w:rPr>
        <w:t>fera</w:t>
      </w:r>
      <w:r w:rsidR="00812D8E">
        <w:rPr>
          <w:rFonts w:ascii="Times New Roman" w:hAnsi="Times New Roman"/>
          <w:bCs/>
          <w:sz w:val="22"/>
          <w:szCs w:val="22"/>
        </w:rPr>
        <w:t xml:space="preserve"> rapport au Coordinateur national de projet (</w:t>
      </w:r>
      <w:r w:rsidRPr="00743B0B">
        <w:rPr>
          <w:rFonts w:ascii="Times New Roman" w:hAnsi="Times New Roman"/>
          <w:bCs/>
          <w:sz w:val="22"/>
          <w:szCs w:val="22"/>
        </w:rPr>
        <w:t>CNP</w:t>
      </w:r>
      <w:r w:rsidR="00812D8E">
        <w:rPr>
          <w:rFonts w:ascii="Times New Roman" w:hAnsi="Times New Roman"/>
          <w:bCs/>
          <w:sz w:val="22"/>
          <w:szCs w:val="22"/>
        </w:rPr>
        <w:t>)</w:t>
      </w:r>
      <w:r w:rsidRPr="00743B0B">
        <w:rPr>
          <w:rFonts w:ascii="Times New Roman" w:hAnsi="Times New Roman"/>
          <w:bCs/>
          <w:sz w:val="22"/>
          <w:szCs w:val="22"/>
        </w:rPr>
        <w:t xml:space="preserve"> et sera principalement responsable de toutes les tâches liées à la tenue des livres comptables, à l’aide à la préparation du plan de travail et du budget, aux révisions budgétaires et au suivi financier. Il/elle fournira des services généraux d’administration et de finances et s’occupera des finances courantes et des besoins comptables du projet. Le titulaire du poste sera chargé d’assurer la liaison, s’il y a lieu, avec le reste de l’équipe de projet et les partenaires en ce qui concerne la gestion financière. </w:t>
      </w:r>
    </w:p>
    <w:p w:rsidR="00743B0B" w:rsidRPr="00743B0B" w:rsidRDefault="00743B0B" w:rsidP="00743B0B">
      <w:pPr>
        <w:rPr>
          <w:rFonts w:ascii="Times New Roman" w:hAnsi="Times New Roman"/>
          <w:b/>
          <w:bCs/>
          <w:color w:val="FF000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Fonctions et responsabilités</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Gérer le budget et les finances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Examine</w:t>
      </w:r>
      <w:r w:rsidR="001B1D26">
        <w:rPr>
          <w:rFonts w:ascii="Times New Roman" w:hAnsi="Times New Roman"/>
          <w:bCs/>
          <w:sz w:val="22"/>
          <w:szCs w:val="22"/>
        </w:rPr>
        <w:t>r</w:t>
      </w:r>
      <w:r w:rsidRPr="00743B0B">
        <w:rPr>
          <w:rFonts w:ascii="Times New Roman" w:hAnsi="Times New Roman"/>
          <w:bCs/>
          <w:sz w:val="22"/>
          <w:szCs w:val="22"/>
        </w:rPr>
        <w:t xml:space="preserve"> et analyse</w:t>
      </w:r>
      <w:r w:rsidR="001B1D26">
        <w:rPr>
          <w:rFonts w:ascii="Times New Roman" w:hAnsi="Times New Roman"/>
          <w:bCs/>
          <w:sz w:val="22"/>
          <w:szCs w:val="22"/>
        </w:rPr>
        <w:t>r</w:t>
      </w:r>
      <w:r w:rsidRPr="00743B0B">
        <w:rPr>
          <w:rFonts w:ascii="Times New Roman" w:hAnsi="Times New Roman"/>
          <w:bCs/>
          <w:sz w:val="22"/>
          <w:szCs w:val="22"/>
        </w:rPr>
        <w:t xml:space="preserve"> les données relatives à la finalisation des prévisions de dépenses et des projets de budget, en ce qui concerne les besoins en personnel et des autres besoins</w:t>
      </w:r>
      <w:r w:rsidR="001B1D26">
        <w:rPr>
          <w:rFonts w:ascii="Times New Roman" w:hAnsi="Times New Roman"/>
          <w:bCs/>
          <w:sz w:val="22"/>
          <w:szCs w:val="22"/>
        </w:rPr>
        <w:t xml:space="preserve">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Apporte</w:t>
      </w:r>
      <w:r w:rsidR="001B1D26">
        <w:rPr>
          <w:rFonts w:ascii="Times New Roman" w:hAnsi="Times New Roman"/>
          <w:bCs/>
          <w:sz w:val="22"/>
          <w:szCs w:val="22"/>
        </w:rPr>
        <w:t>r</w:t>
      </w:r>
      <w:r w:rsidRPr="00743B0B">
        <w:rPr>
          <w:rFonts w:ascii="Times New Roman" w:hAnsi="Times New Roman"/>
          <w:bCs/>
          <w:sz w:val="22"/>
          <w:szCs w:val="22"/>
        </w:rPr>
        <w:t xml:space="preserve"> un appui aux gestionnaires pour l’élaboration des ressources nécessaires à la présentation et à la </w:t>
      </w:r>
      <w:r w:rsidR="001B1D26">
        <w:rPr>
          <w:rFonts w:ascii="Times New Roman" w:hAnsi="Times New Roman"/>
          <w:bCs/>
          <w:sz w:val="22"/>
          <w:szCs w:val="22"/>
        </w:rPr>
        <w:t xml:space="preserve">révision des projets de budget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Examine</w:t>
      </w:r>
      <w:r w:rsidR="001B1D26">
        <w:rPr>
          <w:rFonts w:ascii="Times New Roman" w:hAnsi="Times New Roman"/>
          <w:bCs/>
          <w:sz w:val="22"/>
          <w:szCs w:val="22"/>
        </w:rPr>
        <w:t>r</w:t>
      </w:r>
      <w:r w:rsidRPr="00743B0B">
        <w:rPr>
          <w:rFonts w:ascii="Times New Roman" w:hAnsi="Times New Roman"/>
          <w:bCs/>
          <w:sz w:val="22"/>
          <w:szCs w:val="22"/>
        </w:rPr>
        <w:t>, analyse</w:t>
      </w:r>
      <w:r w:rsidR="001B1D26">
        <w:rPr>
          <w:rFonts w:ascii="Times New Roman" w:hAnsi="Times New Roman"/>
          <w:bCs/>
          <w:sz w:val="22"/>
          <w:szCs w:val="22"/>
        </w:rPr>
        <w:t>r</w:t>
      </w:r>
      <w:r w:rsidRPr="00743B0B">
        <w:rPr>
          <w:rFonts w:ascii="Times New Roman" w:hAnsi="Times New Roman"/>
          <w:bCs/>
          <w:sz w:val="22"/>
          <w:szCs w:val="22"/>
        </w:rPr>
        <w:t xml:space="preserve"> et contribue</w:t>
      </w:r>
      <w:r w:rsidR="001B1D26">
        <w:rPr>
          <w:rFonts w:ascii="Times New Roman" w:hAnsi="Times New Roman"/>
          <w:bCs/>
          <w:sz w:val="22"/>
          <w:szCs w:val="22"/>
        </w:rPr>
        <w:t>r</w:t>
      </w:r>
      <w:r w:rsidRPr="00743B0B">
        <w:rPr>
          <w:rFonts w:ascii="Times New Roman" w:hAnsi="Times New Roman"/>
          <w:bCs/>
          <w:sz w:val="22"/>
          <w:szCs w:val="22"/>
        </w:rPr>
        <w:t xml:space="preserve"> à la finalisation du plan de travail et budget annuels consolidés du projet pour approbation par le CNP et soumission au </w:t>
      </w:r>
      <w:r w:rsidR="00E8322C">
        <w:rPr>
          <w:rFonts w:ascii="Times New Roman" w:hAnsi="Times New Roman"/>
          <w:bCs/>
          <w:sz w:val="22"/>
          <w:szCs w:val="22"/>
        </w:rPr>
        <w:t>Comité directeur</w:t>
      </w:r>
      <w:r w:rsidR="001B1D26">
        <w:rPr>
          <w:rFonts w:ascii="Times New Roman" w:hAnsi="Times New Roman"/>
          <w:bCs/>
          <w:sz w:val="22"/>
          <w:szCs w:val="22"/>
        </w:rPr>
        <w:t xml:space="preserve"> du projet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le suivi de l’exécution du budget et détermine</w:t>
      </w:r>
      <w:r w:rsidR="001B1D26">
        <w:rPr>
          <w:rFonts w:ascii="Times New Roman" w:hAnsi="Times New Roman"/>
          <w:bCs/>
          <w:sz w:val="22"/>
          <w:szCs w:val="22"/>
        </w:rPr>
        <w:t>r</w:t>
      </w:r>
      <w:r w:rsidRPr="00743B0B">
        <w:rPr>
          <w:rFonts w:ascii="Times New Roman" w:hAnsi="Times New Roman"/>
          <w:bCs/>
          <w:sz w:val="22"/>
          <w:szCs w:val="22"/>
        </w:rPr>
        <w:t xml:space="preserve"> ou recommande</w:t>
      </w:r>
      <w:r w:rsidR="001B1D26">
        <w:rPr>
          <w:rFonts w:ascii="Times New Roman" w:hAnsi="Times New Roman"/>
          <w:bCs/>
          <w:sz w:val="22"/>
          <w:szCs w:val="22"/>
        </w:rPr>
        <w:t>r</w:t>
      </w:r>
      <w:r w:rsidRPr="00743B0B">
        <w:rPr>
          <w:rFonts w:ascii="Times New Roman" w:hAnsi="Times New Roman"/>
          <w:bCs/>
          <w:sz w:val="22"/>
          <w:szCs w:val="22"/>
        </w:rPr>
        <w:t xml:space="preserve"> la réa</w:t>
      </w:r>
      <w:r w:rsidR="001B1D26">
        <w:rPr>
          <w:rFonts w:ascii="Times New Roman" w:hAnsi="Times New Roman"/>
          <w:bCs/>
          <w:sz w:val="22"/>
          <w:szCs w:val="22"/>
        </w:rPr>
        <w:t>ffectation des fonds au besoin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le suivi des dépenses pour s’assurer qu’elles demeurent dans les limites autorisées.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Prépare</w:t>
      </w:r>
      <w:r w:rsidR="001B1D26">
        <w:rPr>
          <w:rFonts w:ascii="Times New Roman" w:hAnsi="Times New Roman"/>
          <w:bCs/>
          <w:sz w:val="22"/>
          <w:szCs w:val="22"/>
        </w:rPr>
        <w:t>r</w:t>
      </w:r>
      <w:r w:rsidRPr="00743B0B">
        <w:rPr>
          <w:rFonts w:ascii="Times New Roman" w:hAnsi="Times New Roman"/>
          <w:bCs/>
          <w:sz w:val="22"/>
          <w:szCs w:val="22"/>
        </w:rPr>
        <w:t xml:space="preserve"> la documentation pertinente en ce qui </w:t>
      </w:r>
      <w:r w:rsidR="001B1D26">
        <w:rPr>
          <w:rFonts w:ascii="Times New Roman" w:hAnsi="Times New Roman"/>
          <w:bCs/>
          <w:sz w:val="22"/>
          <w:szCs w:val="22"/>
        </w:rPr>
        <w:t>concerne les projets de budget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Conseille</w:t>
      </w:r>
      <w:r w:rsidR="001B1D26">
        <w:rPr>
          <w:rFonts w:ascii="Times New Roman" w:hAnsi="Times New Roman"/>
          <w:bCs/>
          <w:sz w:val="22"/>
          <w:szCs w:val="22"/>
        </w:rPr>
        <w:t>r</w:t>
      </w:r>
      <w:r w:rsidRPr="00743B0B">
        <w:rPr>
          <w:rFonts w:ascii="Times New Roman" w:hAnsi="Times New Roman"/>
          <w:bCs/>
          <w:sz w:val="22"/>
          <w:szCs w:val="22"/>
        </w:rPr>
        <w:t xml:space="preserve"> la haute direction et les coordonnateurs de projet sur tous les aspects de la tenue des comptes, du contrôle budgétaire, des recettes et d’autres questions financières concernant la mise en œuvre des projets</w:t>
      </w:r>
      <w:r w:rsidR="00D2405E">
        <w:rPr>
          <w:rFonts w:ascii="Times New Roman" w:hAnsi="Times New Roman"/>
          <w:bCs/>
          <w:sz w:val="22"/>
          <w:szCs w:val="22"/>
        </w:rPr>
        <w:t> ;</w:t>
      </w:r>
      <w:r w:rsidRPr="00743B0B">
        <w:rPr>
          <w:rFonts w:ascii="Times New Roman" w:hAnsi="Times New Roman"/>
          <w:bCs/>
          <w:sz w:val="22"/>
          <w:szCs w:val="22"/>
        </w:rPr>
        <w:t xml:space="preserve"> c’est-à-dire, les obligations et les incidences budgétaires </w:t>
      </w:r>
      <w:r w:rsidR="001B1D26">
        <w:rPr>
          <w:rFonts w:ascii="Times New Roman" w:hAnsi="Times New Roman"/>
          <w:bCs/>
          <w:sz w:val="22"/>
          <w:szCs w:val="22"/>
        </w:rPr>
        <w:t>futures des programmes/projets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Agir</w:t>
      </w:r>
      <w:r w:rsidR="00743B0B" w:rsidRPr="00743B0B">
        <w:rPr>
          <w:rFonts w:ascii="Times New Roman" w:hAnsi="Times New Roman"/>
          <w:bCs/>
          <w:sz w:val="22"/>
          <w:szCs w:val="22"/>
        </w:rPr>
        <w:t xml:space="preserve"> en qualité d’agent d’approbation des budgets du projet, en veillant à ce que le paiement soit effectué sur la base d’un engagement enregistré et demandé pour les biens et services qui ont été livrés</w:t>
      </w:r>
      <w:r w:rsidR="006D5ED3">
        <w:rPr>
          <w:rFonts w:ascii="Times New Roman" w:hAnsi="Times New Roman"/>
          <w:bCs/>
          <w:sz w:val="22"/>
          <w:szCs w:val="22"/>
        </w:rPr>
        <w:t>, mais toujours pas</w:t>
      </w:r>
      <w:r w:rsidR="00743B0B" w:rsidRPr="00743B0B">
        <w:rPr>
          <w:rFonts w:ascii="Times New Roman" w:hAnsi="Times New Roman"/>
          <w:bCs/>
          <w:sz w:val="22"/>
          <w:szCs w:val="22"/>
        </w:rPr>
        <w:t xml:space="preserve"> payés, de la disponibilité des fonds par rappo</w:t>
      </w:r>
      <w:r>
        <w:rPr>
          <w:rFonts w:ascii="Times New Roman" w:hAnsi="Times New Roman"/>
          <w:bCs/>
          <w:sz w:val="22"/>
          <w:szCs w:val="22"/>
        </w:rPr>
        <w:t>rt aux lignes budgétaires. Tenir</w:t>
      </w:r>
      <w:r w:rsidR="00743B0B" w:rsidRPr="00743B0B">
        <w:rPr>
          <w:rFonts w:ascii="Times New Roman" w:hAnsi="Times New Roman"/>
          <w:bCs/>
          <w:sz w:val="22"/>
          <w:szCs w:val="22"/>
        </w:rPr>
        <w:t xml:space="preserve"> à jour la liste du personnel autorisé à effectuer les paiements et informe le PNUD de tout ch</w:t>
      </w:r>
      <w:r>
        <w:rPr>
          <w:rFonts w:ascii="Times New Roman" w:hAnsi="Times New Roman"/>
          <w:bCs/>
          <w:sz w:val="22"/>
          <w:szCs w:val="22"/>
        </w:rPr>
        <w:t>angement apporté à cette liste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Supervise</w:t>
      </w:r>
      <w:r w:rsidR="001B1D26">
        <w:rPr>
          <w:rFonts w:ascii="Times New Roman" w:hAnsi="Times New Roman"/>
          <w:bCs/>
          <w:sz w:val="22"/>
          <w:szCs w:val="22"/>
        </w:rPr>
        <w:t>r</w:t>
      </w:r>
      <w:r w:rsidRPr="00743B0B">
        <w:rPr>
          <w:rFonts w:ascii="Times New Roman" w:hAnsi="Times New Roman"/>
          <w:bCs/>
          <w:sz w:val="22"/>
          <w:szCs w:val="22"/>
        </w:rPr>
        <w:t xml:space="preserve"> la clôture des comptes mensuels, aide à assurer la soumission en temps voulu des données sur les dépenses de gestion au CNP et des rapports financiers demandés au PNUD</w:t>
      </w:r>
      <w:r w:rsidR="00D2405E">
        <w:rPr>
          <w:rFonts w:ascii="Times New Roman" w:hAnsi="Times New Roman"/>
          <w:bCs/>
          <w:sz w:val="22"/>
          <w:szCs w:val="22"/>
        </w:rPr>
        <w:t> ;</w:t>
      </w:r>
      <w:r w:rsidRPr="00743B0B">
        <w:rPr>
          <w:rFonts w:ascii="Times New Roman" w:hAnsi="Times New Roman"/>
          <w:bCs/>
          <w:sz w:val="22"/>
          <w:szCs w:val="22"/>
        </w:rPr>
        <w:t xml:space="preserve"> le rapprochement et le réapprovisi</w:t>
      </w:r>
      <w:r w:rsidR="001B1D26">
        <w:rPr>
          <w:rFonts w:ascii="Times New Roman" w:hAnsi="Times New Roman"/>
          <w:bCs/>
          <w:sz w:val="22"/>
          <w:szCs w:val="22"/>
        </w:rPr>
        <w:t>onnement des comptes bancaires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la gestion stratégique des ressources financières</w:t>
      </w:r>
      <w:r w:rsidR="002575A2">
        <w:rPr>
          <w:rFonts w:ascii="Times New Roman" w:hAnsi="Times New Roman"/>
          <w:bCs/>
          <w:sz w:val="22"/>
          <w:szCs w:val="22"/>
        </w:rPr>
        <w:t> :</w:t>
      </w:r>
      <w:r w:rsidR="005F4017">
        <w:rPr>
          <w:rFonts w:ascii="Times New Roman" w:hAnsi="Times New Roman"/>
          <w:bCs/>
          <w:sz w:val="22"/>
          <w:szCs w:val="22"/>
        </w:rPr>
        <w:t xml:space="preserve"> c</w:t>
      </w:r>
      <w:r w:rsidRPr="00743B0B">
        <w:rPr>
          <w:rFonts w:ascii="Times New Roman" w:hAnsi="Times New Roman"/>
          <w:bCs/>
          <w:sz w:val="22"/>
          <w:szCs w:val="22"/>
        </w:rPr>
        <w:t xml:space="preserve">onseille les hauts cadres sur les modalités et arrangements de cofinancement, propose des mesures d’utilisation facultative adéquate des fonds alloués aux projets, et recommande des économies et des </w:t>
      </w:r>
      <w:r w:rsidR="001B1D26">
        <w:rPr>
          <w:rFonts w:ascii="Times New Roman" w:hAnsi="Times New Roman"/>
          <w:bCs/>
          <w:sz w:val="22"/>
          <w:szCs w:val="22"/>
        </w:rPr>
        <w:t>redéploiements, le cas échéant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Agir</w:t>
      </w:r>
      <w:r w:rsidR="00743B0B" w:rsidRPr="00743B0B">
        <w:rPr>
          <w:rFonts w:ascii="Times New Roman" w:hAnsi="Times New Roman"/>
          <w:bCs/>
          <w:sz w:val="22"/>
          <w:szCs w:val="22"/>
        </w:rPr>
        <w:t xml:space="preserve"> en qualité d’interface clé pour les audits inte</w:t>
      </w:r>
      <w:r>
        <w:rPr>
          <w:rFonts w:ascii="Times New Roman" w:hAnsi="Times New Roman"/>
          <w:bCs/>
          <w:sz w:val="22"/>
          <w:szCs w:val="22"/>
        </w:rPr>
        <w:t>rnes et les examens de comptes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Établir</w:t>
      </w:r>
      <w:r w:rsidR="00743B0B" w:rsidRPr="00743B0B">
        <w:rPr>
          <w:rFonts w:ascii="Times New Roman" w:hAnsi="Times New Roman"/>
          <w:bCs/>
          <w:sz w:val="22"/>
          <w:szCs w:val="22"/>
        </w:rPr>
        <w:t xml:space="preserve"> et tient à jour un ensemble de politiques, procédures, normes et outils solides et cohérents avec les politiques et pratiques du PNUD afin d’assurer une comptabilité, une gestion et u</w:t>
      </w:r>
      <w:r>
        <w:rPr>
          <w:rFonts w:ascii="Times New Roman" w:hAnsi="Times New Roman"/>
          <w:bCs/>
          <w:sz w:val="22"/>
          <w:szCs w:val="22"/>
        </w:rPr>
        <w:t>n contrôle financiers adéquats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Gérer les</w:t>
      </w:r>
      <w:r w:rsidR="00743B0B" w:rsidRPr="00743B0B">
        <w:rPr>
          <w:rFonts w:ascii="Times New Roman" w:hAnsi="Times New Roman"/>
          <w:bCs/>
          <w:sz w:val="22"/>
          <w:szCs w:val="22"/>
        </w:rPr>
        <w:t xml:space="preserve"> ressources humaines</w:t>
      </w:r>
      <w:r>
        <w:rPr>
          <w:rFonts w:ascii="Times New Roman" w:hAnsi="Times New Roman"/>
          <w:bCs/>
          <w:sz w:val="22"/>
          <w:szCs w:val="22"/>
        </w:rPr>
        <w:t xml:space="preserve"> et</w:t>
      </w:r>
      <w:r w:rsidR="005F4017">
        <w:rPr>
          <w:rFonts w:ascii="Times New Roman" w:hAnsi="Times New Roman"/>
          <w:bCs/>
          <w:sz w:val="22"/>
          <w:szCs w:val="22"/>
        </w:rPr>
        <w:t xml:space="preserve"> a</w:t>
      </w:r>
      <w:r>
        <w:rPr>
          <w:rFonts w:ascii="Times New Roman" w:hAnsi="Times New Roman"/>
          <w:bCs/>
          <w:sz w:val="22"/>
          <w:szCs w:val="22"/>
        </w:rPr>
        <w:t>ide</w:t>
      </w:r>
      <w:r w:rsidR="00743B0B" w:rsidRPr="00743B0B">
        <w:rPr>
          <w:rFonts w:ascii="Times New Roman" w:hAnsi="Times New Roman"/>
          <w:bCs/>
          <w:sz w:val="22"/>
          <w:szCs w:val="22"/>
        </w:rPr>
        <w:t xml:space="preserve"> le CNP à gérer les ressources humaines</w:t>
      </w:r>
      <w:r>
        <w:rPr>
          <w:rFonts w:ascii="Times New Roman" w:hAnsi="Times New Roman"/>
          <w:bCs/>
          <w:sz w:val="22"/>
          <w:szCs w:val="22"/>
        </w:rPr>
        <w: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Conserve</w:t>
      </w:r>
      <w:r w:rsidR="001B1D26">
        <w:rPr>
          <w:rFonts w:ascii="Times New Roman" w:hAnsi="Times New Roman"/>
          <w:bCs/>
          <w:sz w:val="22"/>
          <w:szCs w:val="22"/>
        </w:rPr>
        <w:t>r</w:t>
      </w:r>
      <w:r w:rsidRPr="00743B0B">
        <w:rPr>
          <w:rFonts w:ascii="Times New Roman" w:hAnsi="Times New Roman"/>
          <w:bCs/>
          <w:sz w:val="22"/>
          <w:szCs w:val="22"/>
        </w:rPr>
        <w:t xml:space="preserve"> une vue d’ensemble de toutes les ressources humaines financées par le projet et de l’évolution des coûts des RH par rapport a</w:t>
      </w:r>
      <w:r w:rsidR="001B1D26">
        <w:rPr>
          <w:rFonts w:ascii="Times New Roman" w:hAnsi="Times New Roman"/>
          <w:bCs/>
          <w:sz w:val="22"/>
          <w:szCs w:val="22"/>
        </w:rPr>
        <w:t>ux budgets de projet approuvés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Conseiller</w:t>
      </w:r>
      <w:r w:rsidR="00743B0B" w:rsidRPr="00743B0B">
        <w:rPr>
          <w:rFonts w:ascii="Times New Roman" w:hAnsi="Times New Roman"/>
          <w:bCs/>
          <w:sz w:val="22"/>
          <w:szCs w:val="22"/>
        </w:rPr>
        <w:t xml:space="preserve"> le CNP sur les modifications et les changements apportés aux coûts et aux droits et privilèges des RH, ainsi que sur les exigences de modification des budget</w:t>
      </w:r>
      <w:r>
        <w:rPr>
          <w:rFonts w:ascii="Times New Roman" w:hAnsi="Times New Roman"/>
          <w:bCs/>
          <w:sz w:val="22"/>
          <w:szCs w:val="22"/>
        </w:rPr>
        <w:t>s des projets qui en découlent.</w:t>
      </w:r>
    </w:p>
    <w:p w:rsidR="00743B0B" w:rsidRPr="00743B0B" w:rsidRDefault="00743B0B" w:rsidP="00743B0B">
      <w:pPr>
        <w:rPr>
          <w:rFonts w:ascii="Times New Roman" w:hAnsi="Times New Roman"/>
          <w:b/>
          <w:bCs/>
          <w:color w:val="FF000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Qualifications</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Un diplôme universitaire en administration des affaires, finance, comptabilité ou une combinaison pertinente de qualifications académiques</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Au moins 5 ans d’expérience en gestion financière</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Capacité manifeste d’administrer les budgets des projets et d’assurer le suivi des dépenses financières</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Capacité manifeste de maintenir des communications efficaces avec les différentes parties prenantes</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Excellentes compétences informatiques, en particulier la maîtrise de toutes les applications de la suite logicielle MS Office et de l’application spécifique à la finance</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La connaissance du système Atlas du PNUD est un atout</w:t>
      </w:r>
      <w:r w:rsidR="00D2405E">
        <w:rPr>
          <w:rFonts w:ascii="Times New Roman" w:hAnsi="Times New Roman"/>
          <w:sz w:val="22"/>
          <w:szCs w:val="22"/>
        </w:rPr>
        <w:t> ;</w:t>
      </w:r>
    </w:p>
    <w:p w:rsidR="00743B0B" w:rsidRPr="00743B0B" w:rsidRDefault="00743B0B" w:rsidP="00771667">
      <w:pPr>
        <w:widowControl w:val="0"/>
        <w:numPr>
          <w:ilvl w:val="0"/>
          <w:numId w:val="63"/>
        </w:numPr>
        <w:suppressAutoHyphens/>
        <w:spacing w:after="0"/>
        <w:rPr>
          <w:rFonts w:ascii="Times New Roman" w:hAnsi="Times New Roman"/>
          <w:sz w:val="22"/>
          <w:szCs w:val="22"/>
        </w:rPr>
      </w:pPr>
      <w:r w:rsidRPr="00743B0B">
        <w:rPr>
          <w:rFonts w:ascii="Times New Roman" w:hAnsi="Times New Roman"/>
          <w:sz w:val="22"/>
          <w:szCs w:val="22"/>
        </w:rPr>
        <w:t>Excellente capacité de communication écrite en langue française, et</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Une bonne connaissance pratique de l’anglais est un atout.</w:t>
      </w:r>
    </w:p>
    <w:p w:rsidR="00743B0B" w:rsidRPr="00743B0B" w:rsidRDefault="00743B0B" w:rsidP="00743B0B">
      <w:pPr>
        <w:spacing w:after="0"/>
        <w:rPr>
          <w:rFonts w:ascii="Times New Roman" w:hAnsi="Times New Roman"/>
          <w:sz w:val="22"/>
          <w:szCs w:val="22"/>
        </w:rPr>
      </w:pPr>
    </w:p>
    <w:p w:rsidR="00743B0B" w:rsidRPr="00743B0B" w:rsidRDefault="00743B0B" w:rsidP="00743B0B">
      <w:pPr>
        <w:rPr>
          <w:rFonts w:ascii="Times New Roman" w:hAnsi="Times New Roman"/>
          <w:b/>
          <w:sz w:val="24"/>
        </w:rPr>
      </w:pPr>
      <w:bookmarkStart w:id="65" w:name="_Toc353464531"/>
      <w:r w:rsidRPr="00743B0B">
        <w:rPr>
          <w:rFonts w:ascii="Times New Roman" w:hAnsi="Times New Roman"/>
          <w:b/>
          <w:sz w:val="24"/>
        </w:rPr>
        <w:t>Chargé du suivi et évaluation</w:t>
      </w:r>
      <w:bookmarkEnd w:id="65"/>
    </w:p>
    <w:p w:rsidR="00743B0B" w:rsidRPr="00743B0B" w:rsidRDefault="00743B0B" w:rsidP="00743B0B">
      <w:pPr>
        <w:rPr>
          <w:rFonts w:ascii="Times New Roman" w:hAnsi="Times New Roman"/>
          <w:sz w:val="22"/>
          <w:u w:val="single"/>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Contexte</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r w:rsidRPr="00743B0B">
        <w:rPr>
          <w:rFonts w:ascii="Times New Roman" w:hAnsi="Times New Roman"/>
          <w:color w:val="000000"/>
          <w:sz w:val="22"/>
        </w:rPr>
        <w:t>Il/elle est responsable de guider la stratégie globale de S&amp;E et la mise en œuvre des activités connexes dans le cadre du projet et par l’intermédiaire des partenaires, en plus de fournir des informations opportunes et pertinentes aux parties prenantes du projet. Ceci implique une communication étroite avec tous ceux qui sont impliqués dans la conception et la coordination du S&amp;E</w:t>
      </w:r>
      <w:r w:rsidR="005F4017">
        <w:rPr>
          <w:rFonts w:ascii="Times New Roman" w:hAnsi="Times New Roman"/>
          <w:color w:val="000000"/>
          <w:sz w:val="22"/>
        </w:rPr>
        <w:t> :</w:t>
      </w:r>
      <w:r w:rsidRPr="00743B0B">
        <w:rPr>
          <w:rFonts w:ascii="Times New Roman" w:hAnsi="Times New Roman"/>
          <w:color w:val="000000"/>
          <w:sz w:val="22"/>
        </w:rPr>
        <w:t xml:space="preserve"> le personnel de base du projet et des partenaires du S&amp;E, les représentants du </w:t>
      </w:r>
      <w:r w:rsidR="00E8322C">
        <w:rPr>
          <w:rFonts w:ascii="Times New Roman" w:hAnsi="Times New Roman"/>
          <w:color w:val="000000"/>
          <w:sz w:val="22"/>
        </w:rPr>
        <w:t>Comité directeur</w:t>
      </w:r>
      <w:r w:rsidRPr="00743B0B">
        <w:rPr>
          <w:rFonts w:ascii="Times New Roman" w:hAnsi="Times New Roman"/>
          <w:color w:val="000000"/>
          <w:sz w:val="22"/>
        </w:rPr>
        <w:t xml:space="preserve"> ou d’une unité similaire, les représentants des principaux groupes de parties prenantes et le Coordonnateur national du projet.</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p>
    <w:p w:rsidR="00743B0B" w:rsidRPr="00743B0B" w:rsidRDefault="00743B0B" w:rsidP="00743B0B">
      <w:pPr>
        <w:autoSpaceDE w:val="0"/>
        <w:autoSpaceDN w:val="0"/>
        <w:adjustRightInd w:val="0"/>
        <w:snapToGrid w:val="0"/>
        <w:spacing w:line="240" w:lineRule="atLeast"/>
        <w:rPr>
          <w:rFonts w:ascii="Times New Roman" w:hAnsi="Times New Roman"/>
          <w:sz w:val="22"/>
        </w:rPr>
      </w:pPr>
      <w:r w:rsidRPr="00743B0B">
        <w:rPr>
          <w:rFonts w:ascii="Times New Roman" w:hAnsi="Times New Roman"/>
          <w:color w:val="000000"/>
          <w:sz w:val="22"/>
        </w:rPr>
        <w:t xml:space="preserve">Les tâches critiques pour les responsables du S&amp;E sont de mettre en place le système de S&amp;E et de s’assurer qu’il est mis en œuvre efficacement par les parties prenantes clés, à savoir les parties prenantes primaires et les partenaires de mise en œuvre. Ceci est entrepris par le biais de l’élaboration conjointe d’un système de S&amp;E partagé qui est basé sur les mécanismes et systèmes formels et informels existants entre les principales parties prenantes. Ceci doit être soutenu en aidant les parties prenantes à valoriser, avoir des capacités appropriées et à entreprendre leurs propres activités de S&amp;E, et à les lier à une évaluation globale de l’état d’avancement du projet et des actions nécessaires. </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u w:val="single"/>
        </w:rPr>
      </w:pPr>
      <w:r w:rsidRPr="00743B0B">
        <w:rPr>
          <w:rFonts w:ascii="Times New Roman" w:hAnsi="Times New Roman"/>
          <w:color w:val="000000"/>
          <w:sz w:val="22"/>
          <w:u w:val="single"/>
        </w:rPr>
        <w:t>Fonctions et responsabilités</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Élaborer le cadre général du S&amp;E du projet, par exemple, des examens annuels du projet, des évaluations d’impact participatives, le suivi du processus, le suivi des opérations et des ateliers sur les enseignements tirés</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 xml:space="preserve">Guider le processus d’identification et de conception des indicateurs clés pour chaque composante, afin d’enregistrer et de rendre compte des progrès physiques. </w:t>
      </w:r>
      <w:r w:rsidRPr="00743B0B">
        <w:rPr>
          <w:rFonts w:ascii="Times New Roman" w:hAnsi="Times New Roman"/>
          <w:sz w:val="22"/>
        </w:rPr>
        <w:t>Diriger également le processus de conception du format de ces rapports d’étape</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Guider le processus d’identification des questions et paramètres clés de performance pour le suivi de la performance du projet et sa comparaison avec les objectifs.</w:t>
      </w:r>
      <w:r w:rsidRPr="00743B0B">
        <w:rPr>
          <w:rFonts w:ascii="Times New Roman" w:hAnsi="Times New Roman"/>
          <w:color w:val="000000"/>
          <w:sz w:val="22"/>
        </w:rPr>
        <w:t xml:space="preserve"> Concevoir le format de ces rapports sur les performances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 xml:space="preserve">Clarifier les besoins d’information de base de la direction centrale du projet, du </w:t>
      </w:r>
      <w:r w:rsidR="00E8322C">
        <w:rPr>
          <w:rFonts w:ascii="Times New Roman" w:hAnsi="Times New Roman"/>
          <w:color w:val="000000"/>
          <w:sz w:val="22"/>
        </w:rPr>
        <w:t>Comité directeur</w:t>
      </w:r>
      <w:r w:rsidRPr="00743B0B">
        <w:rPr>
          <w:rFonts w:ascii="Times New Roman" w:hAnsi="Times New Roman"/>
          <w:color w:val="000000"/>
          <w:sz w:val="22"/>
        </w:rPr>
        <w:t xml:space="preserve"> (ou d’un organe similaire), des organismes de financement et de l’institution coopérante</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Avec les parties prenantes, définir le cadre et les procédures d’évaluation des activités du projet</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Examiner la qualité des données sociales et économiques existantes dans la zone du projet, les méthodes de collecte des données et la mesure dans laquelle elles fourniront de bonnes statistiques de base pour l’évaluation de l’impact</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Avec les partenaires opérationnels, examiner leurs approches et systèmes d’information de gestion existants et convenir des changements, de l’appui et des ressources nécessaire</w:t>
      </w:r>
      <w:r w:rsidR="001B1D26">
        <w:rPr>
          <w:rFonts w:ascii="Times New Roman" w:hAnsi="Times New Roman"/>
          <w:color w:val="000000"/>
          <w:sz w:val="22"/>
        </w:rPr>
        <w:t>s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color w:val="000000"/>
          <w:sz w:val="22"/>
        </w:rPr>
        <w:t>Élaborer un plan pour le renforcement des capacités en matière de S&amp;E lié au projet et pour tout appui informatique qui pourrait être nécessaire</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color w:val="000000"/>
          <w:sz w:val="22"/>
        </w:rPr>
        <w:t>Organiser et entreprendre des formations avec les parties prenantes, y compris les parties prenantes primaires, sur les compétences de S&amp;E, y compris les aspects participatifs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Orienter le personnel et les partenaires d’exécution dans la préparation de leurs rapports d’activité. Ensemble, analyser ces rapports en termes de problèmes et d’actions à entreprendre. Préparer des rapports d’étape consolidés à l’intention de la direction du projet afin qu’ils soient soumis aux organismes compétents, conformément aux formats et échéanciers approuvés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Examiner les rapports de suivi, les analyser en vue d’une évaluation de l’impact et identifier les causes des goulots d’étranglement potentiels dans la mise en œuvre du projet</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Collaborer avec le personnel et les partenaires d’exécution à la surveillance qualitative afin de fournir des renseignements pertinents pour l’évaluation continue des activités, des effets et des impacts du projet</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Favoriser la planification et le suivi participatifs en formant et en impliquant les principaux groupes de parties prenantes dans le suivi et évaluation</w:t>
      </w:r>
      <w:r w:rsidR="001B1D26">
        <w:rPr>
          <w:rFonts w:ascii="Times New Roman" w:hAnsi="Times New Roman"/>
          <w:sz w:val="22"/>
        </w:rPr>
        <w:t xml:space="preserve"> des activités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color w:val="000000"/>
          <w:sz w:val="22"/>
        </w:rPr>
        <w:t>Préparer des rapports sur les conclusions du S&amp;E, au besoin, en étroite collaboration avec le contrôleur financier, le personnel technique et les partenaires d’exécution</w:t>
      </w:r>
      <w:r w:rsidR="001B1D26">
        <w:rPr>
          <w:rFonts w:ascii="Times New Roman" w:hAnsi="Times New Roman"/>
          <w:color w:val="000000"/>
          <w:sz w:val="22"/>
        </w:rPr>
        <w:t>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sz w:val="22"/>
        </w:rPr>
      </w:pPr>
      <w:r w:rsidRPr="00743B0B">
        <w:rPr>
          <w:rFonts w:ascii="Times New Roman" w:hAnsi="Times New Roman"/>
          <w:color w:val="000000"/>
          <w:sz w:val="22"/>
        </w:rPr>
        <w:t>Guider le partage régulier des résultats des conclusions du S&amp;E avec le personnel du projet, les partenaires de mise en œuvre et les principales parties prenantes</w:t>
      </w:r>
      <w:r w:rsidR="001B1D26">
        <w:rPr>
          <w:rFonts w:ascii="Times New Roman" w:hAnsi="Times New Roman"/>
          <w:color w:val="000000"/>
          <w:sz w:val="22"/>
        </w:rPr>
        <w:t>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color w:val="000000"/>
          <w:sz w:val="22"/>
        </w:rPr>
        <w:t>Faire des rapports réguliers au conseil d’administration/structure décisionnelle du projet, en soulignant les sujets de préoccupation et en préparant la documentation à examiner lors des réunions</w:t>
      </w:r>
      <w:r w:rsidR="001B1D26">
        <w:rPr>
          <w:rFonts w:ascii="Times New Roman" w:hAnsi="Times New Roman"/>
          <w:color w:val="000000"/>
          <w:sz w:val="22"/>
        </w:rPr>
        <w:t>.</w:t>
      </w:r>
    </w:p>
    <w:p w:rsidR="00743B0B" w:rsidRPr="00743B0B" w:rsidRDefault="00743B0B" w:rsidP="00743B0B">
      <w:pPr>
        <w:autoSpaceDE w:val="0"/>
        <w:autoSpaceDN w:val="0"/>
        <w:adjustRightInd w:val="0"/>
        <w:snapToGrid w:val="0"/>
        <w:spacing w:line="240" w:lineRule="atLeast"/>
        <w:rPr>
          <w:rFonts w:ascii="Times New Roman" w:hAnsi="Times New Roman"/>
          <w:sz w:val="22"/>
        </w:rPr>
      </w:pPr>
    </w:p>
    <w:p w:rsidR="00743B0B" w:rsidRPr="00743B0B" w:rsidRDefault="00743B0B" w:rsidP="00743B0B">
      <w:pPr>
        <w:autoSpaceDE w:val="0"/>
        <w:autoSpaceDN w:val="0"/>
        <w:adjustRightInd w:val="0"/>
        <w:snapToGrid w:val="0"/>
        <w:spacing w:line="240" w:lineRule="atLeast"/>
        <w:rPr>
          <w:rFonts w:ascii="Times New Roman" w:hAnsi="Times New Roman"/>
          <w:sz w:val="22"/>
          <w:u w:val="single"/>
        </w:rPr>
      </w:pPr>
      <w:r w:rsidRPr="00743B0B">
        <w:rPr>
          <w:rFonts w:ascii="Times New Roman" w:hAnsi="Times New Roman"/>
          <w:sz w:val="22"/>
          <w:u w:val="single"/>
        </w:rPr>
        <w:t>Qualifications</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sz w:val="22"/>
        </w:rPr>
        <w:t>Un diplôme universitaire (maîtrise ou doctorat en sciences sociales ou en statistiques)</w:t>
      </w:r>
    </w:p>
    <w:p w:rsidR="00743B0B" w:rsidRPr="00743B0B" w:rsidRDefault="00743B0B" w:rsidP="00743B0B">
      <w:pPr>
        <w:autoSpaceDE w:val="0"/>
        <w:autoSpaceDN w:val="0"/>
        <w:adjustRightInd w:val="0"/>
        <w:snapToGrid w:val="0"/>
        <w:spacing w:line="240" w:lineRule="atLeast"/>
        <w:rPr>
          <w:rFonts w:ascii="Times New Roman" w:hAnsi="Times New Roman"/>
          <w:i/>
          <w:spacing w:val="1"/>
          <w:sz w:val="22"/>
        </w:rPr>
      </w:pPr>
      <w:r w:rsidRPr="00743B0B">
        <w:rPr>
          <w:rFonts w:ascii="Times New Roman" w:hAnsi="Times New Roman"/>
          <w:i/>
          <w:sz w:val="22"/>
        </w:rPr>
        <w:t>Au moins plusieurs années d’expérience avérée en matière</w:t>
      </w:r>
      <w:r w:rsidR="005F4017">
        <w:rPr>
          <w:rFonts w:ascii="Times New Roman" w:hAnsi="Times New Roman"/>
          <w:i/>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sz w:val="22"/>
        </w:rPr>
        <w:t>d’a</w:t>
      </w:r>
      <w:r w:rsidR="00743B0B" w:rsidRPr="00743B0B">
        <w:rPr>
          <w:rFonts w:ascii="Times New Roman" w:hAnsi="Times New Roman"/>
          <w:sz w:val="22"/>
        </w:rPr>
        <w:t>pproche du cadre logique et autres approches de planification stratégique</w:t>
      </w:r>
      <w:r w:rsidR="001B1D26">
        <w:rPr>
          <w:rFonts w:ascii="Times New Roman" w:hAnsi="Times New Roman"/>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sz w:val="22"/>
        </w:rPr>
        <w:t>m</w:t>
      </w:r>
      <w:r w:rsidR="00743B0B" w:rsidRPr="00743B0B">
        <w:rPr>
          <w:rFonts w:ascii="Times New Roman" w:hAnsi="Times New Roman"/>
          <w:sz w:val="22"/>
        </w:rPr>
        <w:t>éthodes et approches de S&amp;E (y compris quantitatives, qualitatives et participatives)</w:t>
      </w:r>
      <w:r w:rsidR="001B1D26">
        <w:rPr>
          <w:rFonts w:ascii="Times New Roman" w:hAnsi="Times New Roman"/>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fo</w:t>
      </w:r>
      <w:r w:rsidR="00743B0B" w:rsidRPr="00743B0B">
        <w:rPr>
          <w:rFonts w:ascii="Times New Roman" w:hAnsi="Times New Roman"/>
          <w:color w:val="000000"/>
          <w:sz w:val="22"/>
        </w:rPr>
        <w:t>rmation au développement et à la mise en œuvre du S&amp;E</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de simplification</w:t>
      </w:r>
      <w:r w:rsidR="00743B0B" w:rsidRPr="00743B0B">
        <w:rPr>
          <w:rFonts w:ascii="Times New Roman" w:hAnsi="Times New Roman"/>
          <w:color w:val="000000"/>
          <w:sz w:val="22"/>
        </w:rPr>
        <w:t xml:space="preserve"> des sessions d’analyse des données de S&amp;E axées sur l’apprentissage avec de multiples parties prenantes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w:t>
      </w:r>
      <w:r w:rsidRPr="00743B0B">
        <w:rPr>
          <w:rFonts w:ascii="Times New Roman" w:hAnsi="Times New Roman"/>
          <w:color w:val="000000"/>
          <w:sz w:val="22"/>
        </w:rPr>
        <w:t>a</w:t>
      </w:r>
      <w:r w:rsidR="00743B0B" w:rsidRPr="00743B0B">
        <w:rPr>
          <w:rFonts w:ascii="Times New Roman" w:hAnsi="Times New Roman"/>
          <w:color w:val="000000"/>
          <w:sz w:val="22"/>
        </w:rPr>
        <w:t>nalyse de l’information et rédaction de rapports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c</w:t>
      </w:r>
      <w:r w:rsidR="00743B0B" w:rsidRPr="00743B0B">
        <w:rPr>
          <w:rFonts w:ascii="Times New Roman" w:hAnsi="Times New Roman"/>
          <w:color w:val="000000"/>
          <w:sz w:val="22"/>
        </w:rPr>
        <w:t>onception du système de S&amp;E</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 xml:space="preserve">de </w:t>
      </w:r>
      <w:r w:rsidRPr="00743B0B">
        <w:rPr>
          <w:rFonts w:ascii="Times New Roman" w:hAnsi="Times New Roman"/>
          <w:color w:val="000000"/>
          <w:sz w:val="22"/>
        </w:rPr>
        <w:t>t</w:t>
      </w:r>
      <w:r w:rsidR="00743B0B" w:rsidRPr="00743B0B">
        <w:rPr>
          <w:rFonts w:ascii="Times New Roman" w:hAnsi="Times New Roman"/>
          <w:color w:val="000000"/>
          <w:sz w:val="22"/>
        </w:rPr>
        <w:t>raitement des données et informatique</w:t>
      </w:r>
      <w:r w:rsidR="001B1D26">
        <w:rPr>
          <w:rFonts w:ascii="Times New Roman" w:hAnsi="Times New Roman"/>
          <w:color w:val="000000"/>
          <w:sz w:val="22"/>
        </w:rPr>
        <w:t>.</w:t>
      </w:r>
    </w:p>
    <w:p w:rsidR="00743B0B" w:rsidRPr="00743B0B" w:rsidRDefault="00743B0B" w:rsidP="00743B0B">
      <w:pPr>
        <w:widowControl w:val="0"/>
        <w:suppressAutoHyphens/>
        <w:ind w:left="360"/>
        <w:rPr>
          <w:rFonts w:ascii="Times New Roman" w:hAnsi="Times New Roman"/>
          <w:sz w:val="22"/>
        </w:rPr>
      </w:pPr>
    </w:p>
    <w:p w:rsidR="00743B0B" w:rsidRPr="00743B0B" w:rsidRDefault="005F4017" w:rsidP="00743B0B">
      <w:pPr>
        <w:autoSpaceDE w:val="0"/>
        <w:autoSpaceDN w:val="0"/>
        <w:adjustRightInd w:val="0"/>
        <w:snapToGrid w:val="0"/>
        <w:spacing w:line="240" w:lineRule="atLeast"/>
        <w:rPr>
          <w:rFonts w:ascii="Times New Roman" w:hAnsi="Times New Roman"/>
          <w:i/>
          <w:color w:val="000000"/>
          <w:spacing w:val="1"/>
          <w:sz w:val="22"/>
        </w:rPr>
      </w:pPr>
      <w:r>
        <w:rPr>
          <w:rFonts w:ascii="Times New Roman" w:hAnsi="Times New Roman"/>
          <w:i/>
          <w:color w:val="000000"/>
          <w:sz w:val="22"/>
        </w:rPr>
        <w:t>Il/elle doit en outre justifier</w:t>
      </w:r>
      <w:r w:rsidR="008712CB">
        <w:rPr>
          <w:rFonts w:ascii="Times New Roman" w:hAnsi="Times New Roman"/>
          <w:i/>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d’</w:t>
      </w:r>
      <w:r w:rsidRPr="00743B0B">
        <w:rPr>
          <w:rFonts w:ascii="Times New Roman" w:hAnsi="Times New Roman"/>
          <w:color w:val="000000"/>
          <w:sz w:val="22"/>
        </w:rPr>
        <w:t>u</w:t>
      </w:r>
      <w:r w:rsidR="00743B0B" w:rsidRPr="00743B0B">
        <w:rPr>
          <w:rFonts w:ascii="Times New Roman" w:hAnsi="Times New Roman"/>
          <w:color w:val="000000"/>
          <w:sz w:val="22"/>
        </w:rPr>
        <w:t>ne solide compréhension du développement rural, avec un accent sur les processus participatifs et les questions de gestion conjointe</w:t>
      </w:r>
      <w:r w:rsidR="001B1D26">
        <w:rPr>
          <w:rFonts w:ascii="Times New Roman" w:hAnsi="Times New Roman"/>
          <w:color w:val="000000"/>
          <w:sz w:val="22"/>
        </w:rPr>
        <w:t xml:space="preserve">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w:t>
      </w:r>
      <w:r w:rsidRPr="00743B0B">
        <w:rPr>
          <w:rFonts w:ascii="Times New Roman" w:hAnsi="Times New Roman"/>
          <w:color w:val="000000"/>
          <w:sz w:val="22"/>
        </w:rPr>
        <w:t>un</w:t>
      </w:r>
      <w:r w:rsidR="00743B0B" w:rsidRPr="00743B0B">
        <w:rPr>
          <w:rFonts w:ascii="Times New Roman" w:hAnsi="Times New Roman"/>
          <w:color w:val="000000"/>
          <w:sz w:val="22"/>
        </w:rPr>
        <w:t>e connaissance approfondie des processus de renforcement des organisations locales et renforcement des capacités locales en matière d’autogestion, et attitude de soutien à leur égard</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d’</w:t>
      </w:r>
      <w:r w:rsidRPr="00743B0B">
        <w:rPr>
          <w:rFonts w:ascii="Times New Roman" w:hAnsi="Times New Roman"/>
          <w:color w:val="000000"/>
          <w:sz w:val="22"/>
        </w:rPr>
        <w:t>un</w:t>
      </w:r>
      <w:r w:rsidR="00743B0B" w:rsidRPr="00743B0B">
        <w:rPr>
          <w:rFonts w:ascii="Times New Roman" w:hAnsi="Times New Roman"/>
          <w:color w:val="000000"/>
          <w:sz w:val="22"/>
        </w:rPr>
        <w:t>e volonté d’effectuer régulièrement des visites sur le terrain et d’interagir avec les différentes parties prenantes, en particulier les parties prenantes primaires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 xml:space="preserve">compétences </w:t>
      </w:r>
      <w:r w:rsidR="00743B0B" w:rsidRPr="00743B0B">
        <w:rPr>
          <w:rFonts w:ascii="Times New Roman" w:hAnsi="Times New Roman"/>
          <w:color w:val="000000"/>
          <w:sz w:val="22"/>
        </w:rPr>
        <w:t>informatiques</w:t>
      </w:r>
      <w:r w:rsidR="001B1D26">
        <w:rPr>
          <w:rFonts w:ascii="Times New Roman" w:hAnsi="Times New Roman"/>
          <w:color w:val="000000"/>
          <w:sz w:val="22"/>
        </w:rPr>
        <w:t>.</w:t>
      </w:r>
    </w:p>
    <w:p w:rsidR="00743B0B" w:rsidRDefault="00743B0B">
      <w:pPr>
        <w:spacing w:after="160" w:line="259" w:lineRule="auto"/>
        <w:jc w:val="left"/>
        <w:rPr>
          <w:rFonts w:ascii="Times New Roman" w:eastAsia="Times New Roman" w:hAnsi="Times New Roman"/>
          <w:sz w:val="24"/>
          <w:szCs w:val="22"/>
        </w:rPr>
      </w:pPr>
      <w:r>
        <w:br w:type="page"/>
      </w:r>
    </w:p>
    <w:p w:rsidR="00743B0B" w:rsidRDefault="00743B0B" w:rsidP="00922D95">
      <w:pPr>
        <w:pStyle w:val="NumberedParas"/>
        <w:numPr>
          <w:ilvl w:val="0"/>
          <w:numId w:val="0"/>
        </w:numPr>
        <w:ind w:left="360" w:hanging="360"/>
        <w:sectPr w:rsidR="00743B0B" w:rsidSect="003F2B50">
          <w:pgSz w:w="11906" w:h="16838"/>
          <w:pgMar w:top="1417" w:right="1417" w:bottom="1417" w:left="1417" w:header="708" w:footer="708" w:gutter="0"/>
          <w:cols w:space="708"/>
          <w:docGrid w:linePitch="360"/>
        </w:sectPr>
      </w:pPr>
    </w:p>
    <w:p w:rsid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66" w:name="_Toc496886569"/>
      <w:bookmarkStart w:id="67" w:name="_Toc498638406"/>
      <w:r w:rsidRPr="00743B0B">
        <w:rPr>
          <w:rFonts w:ascii="Century Gothic" w:hAnsi="Century Gothic"/>
          <w:b/>
          <w:smallCaps/>
          <w:spacing w:val="-2"/>
          <w:sz w:val="28"/>
          <w:szCs w:val="20"/>
        </w:rPr>
        <w:t>Annexe [F].</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Rapport d’évaluation principal pour la composante 1</w:t>
      </w:r>
      <w:r w:rsidR="002575A2">
        <w:rPr>
          <w:rFonts w:ascii="Century Gothic" w:hAnsi="Century Gothic"/>
          <w:b/>
          <w:smallCaps/>
          <w:spacing w:val="-2"/>
          <w:sz w:val="28"/>
          <w:szCs w:val="20"/>
        </w:rPr>
        <w:t> :</w:t>
      </w:r>
      <w:r w:rsidRPr="00743B0B">
        <w:rPr>
          <w:rFonts w:ascii="Century Gothic" w:hAnsi="Century Gothic"/>
          <w:b/>
          <w:smallCaps/>
          <w:spacing w:val="-2"/>
          <w:sz w:val="28"/>
          <w:szCs w:val="20"/>
        </w:rPr>
        <w:t xml:space="preserve"> « Mécanismes de financement </w:t>
      </w:r>
      <w:r w:rsidR="00311A1A">
        <w:rPr>
          <w:rFonts w:ascii="Century Gothic" w:hAnsi="Century Gothic"/>
          <w:b/>
          <w:smallCaps/>
          <w:spacing w:val="-2"/>
          <w:sz w:val="28"/>
          <w:szCs w:val="20"/>
        </w:rPr>
        <w:t>novateur</w:t>
      </w:r>
      <w:r w:rsidRPr="00743B0B">
        <w:rPr>
          <w:rFonts w:ascii="Century Gothic" w:hAnsi="Century Gothic"/>
          <w:b/>
          <w:smallCaps/>
          <w:spacing w:val="-2"/>
          <w:sz w:val="28"/>
          <w:szCs w:val="20"/>
        </w:rPr>
        <w:t>s »</w:t>
      </w:r>
      <w:bookmarkEnd w:id="66"/>
      <w:bookmarkEnd w:id="67"/>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p>
    <w:tbl>
      <w:tblPr>
        <w:tblStyle w:val="Grilledutableau"/>
        <w:tblW w:w="0" w:type="auto"/>
        <w:tblLook w:val="04A0" w:firstRow="1" w:lastRow="0" w:firstColumn="1" w:lastColumn="0" w:noHBand="0" w:noVBand="1"/>
      </w:tblPr>
      <w:tblGrid>
        <w:gridCol w:w="9056"/>
      </w:tblGrid>
      <w:tr w:rsidR="00743B0B" w:rsidRPr="00743B0B" w:rsidTr="00743B0B">
        <w:tc>
          <w:tcPr>
            <w:tcW w:w="9206" w:type="dxa"/>
          </w:tcPr>
          <w:p w:rsidR="00743B0B" w:rsidRPr="00743B0B" w:rsidRDefault="00743B0B" w:rsidP="00743B0B">
            <w:pPr>
              <w:jc w:val="center"/>
              <w:rPr>
                <w:rFonts w:ascii="Times New Roman" w:hAnsi="Times New Roman"/>
                <w:sz w:val="36"/>
              </w:rPr>
            </w:pPr>
            <w:r w:rsidRPr="00743B0B">
              <w:rPr>
                <w:rFonts w:ascii="Times New Roman" w:hAnsi="Times New Roman"/>
                <w:sz w:val="36"/>
              </w:rPr>
              <w:t xml:space="preserve">Rapport technique n°1 du </w:t>
            </w:r>
            <w:r w:rsidR="002272D3">
              <w:rPr>
                <w:rFonts w:ascii="Times New Roman" w:hAnsi="Times New Roman"/>
                <w:sz w:val="36"/>
              </w:rPr>
              <w:t>SPP</w:t>
            </w:r>
            <w:r w:rsidR="002575A2">
              <w:rPr>
                <w:rFonts w:ascii="Times New Roman" w:hAnsi="Times New Roman"/>
                <w:sz w:val="36"/>
              </w:rPr>
              <w:t> :</w:t>
            </w:r>
            <w:r w:rsidR="001B1D26">
              <w:rPr>
                <w:rFonts w:ascii="Times New Roman" w:hAnsi="Times New Roman"/>
                <w:sz w:val="36"/>
              </w:rPr>
              <w:t xml:space="preserve"> C</w:t>
            </w:r>
            <w:r w:rsidRPr="00743B0B">
              <w:rPr>
                <w:rFonts w:ascii="Times New Roman" w:hAnsi="Times New Roman"/>
                <w:sz w:val="36"/>
              </w:rPr>
              <w:t xml:space="preserve">ompilation des travaux des experts de l’équipe de formulation sur les mécanismes de financements </w:t>
            </w:r>
            <w:r w:rsidR="00311A1A">
              <w:rPr>
                <w:rFonts w:ascii="Times New Roman" w:hAnsi="Times New Roman"/>
                <w:sz w:val="36"/>
              </w:rPr>
              <w:t>novateur</w:t>
            </w:r>
            <w:r w:rsidRPr="00743B0B">
              <w:rPr>
                <w:rFonts w:ascii="Times New Roman" w:hAnsi="Times New Roman"/>
                <w:sz w:val="36"/>
              </w:rPr>
              <w:t>s</w:t>
            </w:r>
          </w:p>
          <w:p w:rsidR="00743B0B" w:rsidRPr="00743B0B" w:rsidRDefault="00743B0B" w:rsidP="00743B0B">
            <w:pPr>
              <w:jc w:val="center"/>
              <w:rPr>
                <w:rFonts w:ascii="Times New Roman" w:hAnsi="Times New Roman"/>
                <w:sz w:val="36"/>
                <w:lang w:val="en-US"/>
              </w:rPr>
            </w:pPr>
            <w:r w:rsidRPr="00743B0B">
              <w:rPr>
                <w:rFonts w:ascii="Times New Roman" w:hAnsi="Times New Roman"/>
                <w:sz w:val="36"/>
                <w:lang w:val="en-US"/>
              </w:rPr>
              <w:t xml:space="preserve">- </w:t>
            </w:r>
          </w:p>
          <w:p w:rsidR="00743B0B" w:rsidRPr="00743B0B" w:rsidRDefault="00743B0B" w:rsidP="00743B0B">
            <w:pPr>
              <w:jc w:val="center"/>
              <w:rPr>
                <w:rFonts w:ascii="Times New Roman" w:hAnsi="Times New Roman"/>
                <w:sz w:val="36"/>
                <w:lang w:val="en-US"/>
              </w:rPr>
            </w:pPr>
            <w:r w:rsidRPr="00743B0B">
              <w:rPr>
                <w:rFonts w:ascii="Times New Roman" w:hAnsi="Times New Roman"/>
                <w:sz w:val="36"/>
                <w:lang w:val="en-US"/>
              </w:rPr>
              <w:t>Septembre 2016</w:t>
            </w:r>
          </w:p>
        </w:tc>
      </w:tr>
    </w:tbl>
    <w:p w:rsidR="00743B0B" w:rsidRPr="00743B0B" w:rsidRDefault="00743B0B" w:rsidP="00743B0B">
      <w:pPr>
        <w:jc w:val="center"/>
        <w:rPr>
          <w:rFonts w:ascii="Times New Roman" w:hAnsi="Times New Roman"/>
          <w:sz w:val="36"/>
          <w:lang w:val="en-US"/>
        </w:rPr>
      </w:pPr>
    </w:p>
    <w:p w:rsidR="00743B0B" w:rsidRPr="00743B0B" w:rsidRDefault="00743B0B" w:rsidP="00743B0B">
      <w:pPr>
        <w:rPr>
          <w:lang w:val="en-US"/>
        </w:rPr>
      </w:pPr>
    </w:p>
    <w:p w:rsidR="00743B0B" w:rsidRPr="00743B0B" w:rsidRDefault="00743B0B" w:rsidP="00743B0B">
      <w:pPr>
        <w:rPr>
          <w:lang w:val="en-US"/>
        </w:rPr>
      </w:pPr>
    </w:p>
    <w:sdt>
      <w:sdtPr>
        <w:rPr>
          <w:rFonts w:ascii="Calibri" w:eastAsia="SimSun" w:hAnsi="Calibri" w:cs="Times New Roman"/>
          <w:b w:val="0"/>
          <w:bCs w:val="0"/>
          <w:color w:val="auto"/>
          <w:sz w:val="20"/>
          <w:szCs w:val="24"/>
        </w:rPr>
        <w:id w:val="1234779408"/>
        <w:docPartObj>
          <w:docPartGallery w:val="Table of Contents"/>
          <w:docPartUnique/>
        </w:docPartObj>
      </w:sdtPr>
      <w:sdtEndPr/>
      <w:sdtContent>
        <w:p w:rsidR="00E42C74" w:rsidRDefault="00FB0986">
          <w:pPr>
            <w:pStyle w:val="En-ttedetabledesmatires"/>
          </w:pPr>
          <w:r>
            <w:t>Table des matières</w:t>
          </w:r>
        </w:p>
        <w:p w:rsidR="00487F68" w:rsidRDefault="00E42C74">
          <w:pPr>
            <w:pStyle w:val="TM1"/>
            <w:rPr>
              <w:rFonts w:asciiTheme="minorHAnsi" w:eastAsiaTheme="minorEastAsia" w:hAnsiTheme="minorHAnsi" w:cstheme="minorBidi"/>
              <w:noProof/>
              <w:sz w:val="22"/>
              <w:szCs w:val="22"/>
              <w:lang w:val="fr-SN" w:eastAsia="fr-SN"/>
            </w:rPr>
          </w:pPr>
          <w:r>
            <w:fldChar w:fldCharType="begin"/>
          </w:r>
          <w:r>
            <w:instrText xml:space="preserve"> TOC \o "1-3" \h \z \u </w:instrText>
          </w:r>
          <w:r>
            <w:fldChar w:fldCharType="separate"/>
          </w:r>
          <w:hyperlink w:anchor="_Toc498638389" w:history="1">
            <w:r w:rsidR="00487F68" w:rsidRPr="006F10E7">
              <w:rPr>
                <w:rStyle w:val="Lienhypertexte"/>
                <w:noProof/>
              </w:rPr>
              <w:t>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Table des matières</w:t>
            </w:r>
            <w:r w:rsidR="00487F68">
              <w:rPr>
                <w:noProof/>
                <w:webHidden/>
              </w:rPr>
              <w:tab/>
            </w:r>
            <w:r w:rsidR="00487F68">
              <w:rPr>
                <w:noProof/>
                <w:webHidden/>
              </w:rPr>
              <w:fldChar w:fldCharType="begin"/>
            </w:r>
            <w:r w:rsidR="00487F68">
              <w:rPr>
                <w:noProof/>
                <w:webHidden/>
              </w:rPr>
              <w:instrText xml:space="preserve"> PAGEREF _Toc498638389 \h </w:instrText>
            </w:r>
            <w:r w:rsidR="00487F68">
              <w:rPr>
                <w:noProof/>
                <w:webHidden/>
              </w:rPr>
            </w:r>
            <w:r w:rsidR="00487F68">
              <w:rPr>
                <w:noProof/>
                <w:webHidden/>
              </w:rPr>
              <w:fldChar w:fldCharType="separate"/>
            </w:r>
            <w:r w:rsidR="009375FA">
              <w:rPr>
                <w:noProof/>
                <w:webHidden/>
              </w:rPr>
              <w:t>3</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0" w:history="1">
            <w:r w:rsidR="00487F68" w:rsidRPr="006F10E7">
              <w:rPr>
                <w:rStyle w:val="Lienhypertexte"/>
                <w:noProof/>
              </w:rPr>
              <w:t>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Le défi du développement</w:t>
            </w:r>
            <w:r w:rsidR="00487F68">
              <w:rPr>
                <w:noProof/>
                <w:webHidden/>
              </w:rPr>
              <w:tab/>
            </w:r>
            <w:r w:rsidR="00487F68">
              <w:rPr>
                <w:noProof/>
                <w:webHidden/>
              </w:rPr>
              <w:fldChar w:fldCharType="begin"/>
            </w:r>
            <w:r w:rsidR="00487F68">
              <w:rPr>
                <w:noProof/>
                <w:webHidden/>
              </w:rPr>
              <w:instrText xml:space="preserve"> PAGEREF _Toc498638390 \h </w:instrText>
            </w:r>
            <w:r w:rsidR="00487F68">
              <w:rPr>
                <w:noProof/>
                <w:webHidden/>
              </w:rPr>
            </w:r>
            <w:r w:rsidR="00487F68">
              <w:rPr>
                <w:noProof/>
                <w:webHidden/>
              </w:rPr>
              <w:fldChar w:fldCharType="separate"/>
            </w:r>
            <w:r w:rsidR="009375FA">
              <w:rPr>
                <w:noProof/>
                <w:webHidden/>
              </w:rPr>
              <w:t>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1" w:history="1">
            <w:r w:rsidR="00487F68" w:rsidRPr="006F10E7">
              <w:rPr>
                <w:rStyle w:val="Lienhypertexte"/>
                <w:noProof/>
              </w:rPr>
              <w:t>III.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Stratégie</w:t>
            </w:r>
            <w:r w:rsidR="00487F68">
              <w:rPr>
                <w:noProof/>
                <w:webHidden/>
              </w:rPr>
              <w:tab/>
            </w:r>
            <w:r w:rsidR="00487F68">
              <w:rPr>
                <w:noProof/>
                <w:webHidden/>
              </w:rPr>
              <w:fldChar w:fldCharType="begin"/>
            </w:r>
            <w:r w:rsidR="00487F68">
              <w:rPr>
                <w:noProof/>
                <w:webHidden/>
              </w:rPr>
              <w:instrText xml:space="preserve"> PAGEREF _Toc498638391 \h </w:instrText>
            </w:r>
            <w:r w:rsidR="00487F68">
              <w:rPr>
                <w:noProof/>
                <w:webHidden/>
              </w:rPr>
            </w:r>
            <w:r w:rsidR="00487F68">
              <w:rPr>
                <w:noProof/>
                <w:webHidden/>
              </w:rPr>
              <w:fldChar w:fldCharType="separate"/>
            </w:r>
            <w:r w:rsidR="009375FA">
              <w:rPr>
                <w:noProof/>
                <w:webHidden/>
              </w:rPr>
              <w:t>26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2" w:history="1">
            <w:r w:rsidR="00487F68" w:rsidRPr="006F10E7">
              <w:rPr>
                <w:rStyle w:val="Lienhypertexte"/>
                <w:noProof/>
              </w:rPr>
              <w:t>IV.</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Résultats et partenariats</w:t>
            </w:r>
            <w:r w:rsidR="00487F68">
              <w:rPr>
                <w:noProof/>
                <w:webHidden/>
              </w:rPr>
              <w:tab/>
            </w:r>
            <w:r w:rsidR="00487F68">
              <w:rPr>
                <w:noProof/>
                <w:webHidden/>
              </w:rPr>
              <w:fldChar w:fldCharType="begin"/>
            </w:r>
            <w:r w:rsidR="00487F68">
              <w:rPr>
                <w:noProof/>
                <w:webHidden/>
              </w:rPr>
              <w:instrText xml:space="preserve"> PAGEREF _Toc498638392 \h </w:instrText>
            </w:r>
            <w:r w:rsidR="00487F68">
              <w:rPr>
                <w:noProof/>
                <w:webHidden/>
              </w:rPr>
            </w:r>
            <w:r w:rsidR="00487F68">
              <w:rPr>
                <w:noProof/>
                <w:webHidden/>
              </w:rPr>
              <w:fldChar w:fldCharType="separate"/>
            </w:r>
            <w:r w:rsidR="009375FA">
              <w:rPr>
                <w:noProof/>
                <w:webHidden/>
              </w:rPr>
              <w:t>33</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3" w:history="1">
            <w:r w:rsidR="00487F68" w:rsidRPr="006F10E7">
              <w:rPr>
                <w:rStyle w:val="Lienhypertexte"/>
                <w:noProof/>
              </w:rPr>
              <w:t>V.</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Faisabilité</w:t>
            </w:r>
            <w:r w:rsidR="00487F68">
              <w:rPr>
                <w:noProof/>
                <w:webHidden/>
              </w:rPr>
              <w:tab/>
            </w:r>
            <w:r w:rsidR="00487F68">
              <w:rPr>
                <w:noProof/>
                <w:webHidden/>
              </w:rPr>
              <w:fldChar w:fldCharType="begin"/>
            </w:r>
            <w:r w:rsidR="00487F68">
              <w:rPr>
                <w:noProof/>
                <w:webHidden/>
              </w:rPr>
              <w:instrText xml:space="preserve"> PAGEREF _Toc498638393 \h </w:instrText>
            </w:r>
            <w:r w:rsidR="00487F68">
              <w:rPr>
                <w:noProof/>
                <w:webHidden/>
              </w:rPr>
            </w:r>
            <w:r w:rsidR="00487F68">
              <w:rPr>
                <w:noProof/>
                <w:webHidden/>
              </w:rPr>
              <w:fldChar w:fldCharType="separate"/>
            </w:r>
            <w:r w:rsidR="009375FA">
              <w:rPr>
                <w:noProof/>
                <w:webHidden/>
              </w:rPr>
              <w:t>66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4" w:history="1">
            <w:r w:rsidR="00487F68" w:rsidRPr="006F10E7">
              <w:rPr>
                <w:rStyle w:val="Lienhypertexte"/>
                <w:noProof/>
              </w:rPr>
              <w:t>VI.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Cadre des résultats du projet</w:t>
            </w:r>
            <w:r w:rsidR="00487F68">
              <w:rPr>
                <w:noProof/>
                <w:webHidden/>
              </w:rPr>
              <w:tab/>
            </w:r>
            <w:r w:rsidR="00487F68">
              <w:rPr>
                <w:noProof/>
                <w:webHidden/>
              </w:rPr>
              <w:fldChar w:fldCharType="begin"/>
            </w:r>
            <w:r w:rsidR="00487F68">
              <w:rPr>
                <w:noProof/>
                <w:webHidden/>
              </w:rPr>
              <w:instrText xml:space="preserve"> PAGEREF _Toc498638394 \h </w:instrText>
            </w:r>
            <w:r w:rsidR="00487F68">
              <w:rPr>
                <w:noProof/>
                <w:webHidden/>
              </w:rPr>
            </w:r>
            <w:r w:rsidR="00487F68">
              <w:rPr>
                <w:noProof/>
                <w:webHidden/>
              </w:rPr>
              <w:fldChar w:fldCharType="separate"/>
            </w:r>
            <w:r w:rsidR="009375FA">
              <w:rPr>
                <w:noProof/>
                <w:webHidden/>
              </w:rPr>
              <w:t>77</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5" w:history="1">
            <w:r w:rsidR="00487F68" w:rsidRPr="006F10E7">
              <w:rPr>
                <w:rStyle w:val="Lienhypertexte"/>
                <w:noProof/>
              </w:rPr>
              <w:t>VII.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Plan de suivi et évaluation (S&amp;E)</w:t>
            </w:r>
            <w:r w:rsidR="00487F68">
              <w:rPr>
                <w:noProof/>
                <w:webHidden/>
              </w:rPr>
              <w:tab/>
            </w:r>
            <w:r w:rsidR="00487F68">
              <w:rPr>
                <w:noProof/>
                <w:webHidden/>
              </w:rPr>
              <w:fldChar w:fldCharType="begin"/>
            </w:r>
            <w:r w:rsidR="00487F68">
              <w:rPr>
                <w:noProof/>
                <w:webHidden/>
              </w:rPr>
              <w:instrText xml:space="preserve"> PAGEREF _Toc498638395 \h </w:instrText>
            </w:r>
            <w:r w:rsidR="00487F68">
              <w:rPr>
                <w:noProof/>
                <w:webHidden/>
              </w:rPr>
            </w:r>
            <w:r w:rsidR="00487F68">
              <w:rPr>
                <w:noProof/>
                <w:webHidden/>
              </w:rPr>
              <w:fldChar w:fldCharType="separate"/>
            </w:r>
            <w:r w:rsidR="009375FA">
              <w:rPr>
                <w:noProof/>
                <w:webHidden/>
              </w:rPr>
              <w:t>83</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6" w:history="1">
            <w:r w:rsidR="00487F68" w:rsidRPr="006F10E7">
              <w:rPr>
                <w:rStyle w:val="Lienhypertexte"/>
                <w:noProof/>
              </w:rPr>
              <w:t>VIII.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Mécanismes de gouvernance et de gestion</w:t>
            </w:r>
            <w:r w:rsidR="00487F68">
              <w:rPr>
                <w:noProof/>
                <w:webHidden/>
              </w:rPr>
              <w:tab/>
            </w:r>
            <w:r w:rsidR="00487F68">
              <w:rPr>
                <w:noProof/>
                <w:webHidden/>
              </w:rPr>
              <w:fldChar w:fldCharType="begin"/>
            </w:r>
            <w:r w:rsidR="00487F68">
              <w:rPr>
                <w:noProof/>
                <w:webHidden/>
              </w:rPr>
              <w:instrText xml:space="preserve"> PAGEREF _Toc498638396 \h </w:instrText>
            </w:r>
            <w:r w:rsidR="00487F68">
              <w:rPr>
                <w:noProof/>
                <w:webHidden/>
              </w:rPr>
            </w:r>
            <w:r w:rsidR="00487F68">
              <w:rPr>
                <w:noProof/>
                <w:webHidden/>
              </w:rPr>
              <w:fldChar w:fldCharType="separate"/>
            </w:r>
            <w:r w:rsidR="009375FA">
              <w:rPr>
                <w:noProof/>
                <w:webHidden/>
              </w:rPr>
              <w:t>89</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7" w:history="1">
            <w:r w:rsidR="00487F68" w:rsidRPr="006F10E7">
              <w:rPr>
                <w:rStyle w:val="Lienhypertexte"/>
                <w:noProof/>
              </w:rPr>
              <w:t>IX.</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Plan de financement et gestion</w:t>
            </w:r>
            <w:r w:rsidR="00487F68">
              <w:rPr>
                <w:noProof/>
                <w:webHidden/>
              </w:rPr>
              <w:tab/>
            </w:r>
            <w:r w:rsidR="00487F68">
              <w:rPr>
                <w:noProof/>
                <w:webHidden/>
              </w:rPr>
              <w:fldChar w:fldCharType="begin"/>
            </w:r>
            <w:r w:rsidR="00487F68">
              <w:rPr>
                <w:noProof/>
                <w:webHidden/>
              </w:rPr>
              <w:instrText xml:space="preserve"> PAGEREF _Toc498638397 \h </w:instrText>
            </w:r>
            <w:r w:rsidR="00487F68">
              <w:rPr>
                <w:noProof/>
                <w:webHidden/>
              </w:rPr>
            </w:r>
            <w:r w:rsidR="00487F68">
              <w:rPr>
                <w:noProof/>
                <w:webHidden/>
              </w:rPr>
              <w:fldChar w:fldCharType="separate"/>
            </w:r>
            <w:r w:rsidR="009375FA">
              <w:rPr>
                <w:noProof/>
                <w:webHidden/>
              </w:rPr>
              <w:t>97</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8" w:history="1">
            <w:r w:rsidR="00487F68" w:rsidRPr="006F10E7">
              <w:rPr>
                <w:rStyle w:val="Lienhypertexte"/>
                <w:noProof/>
              </w:rPr>
              <w:t>X.</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Budget total et plan de travail</w:t>
            </w:r>
            <w:r w:rsidR="00487F68">
              <w:rPr>
                <w:noProof/>
                <w:webHidden/>
              </w:rPr>
              <w:tab/>
            </w:r>
            <w:r w:rsidR="00487F68">
              <w:rPr>
                <w:noProof/>
                <w:webHidden/>
              </w:rPr>
              <w:fldChar w:fldCharType="begin"/>
            </w:r>
            <w:r w:rsidR="00487F68">
              <w:rPr>
                <w:noProof/>
                <w:webHidden/>
              </w:rPr>
              <w:instrText xml:space="preserve"> PAGEREF _Toc498638398 \h </w:instrText>
            </w:r>
            <w:r w:rsidR="00487F68">
              <w:rPr>
                <w:noProof/>
                <w:webHidden/>
              </w:rPr>
            </w:r>
            <w:r w:rsidR="00487F68">
              <w:rPr>
                <w:noProof/>
                <w:webHidden/>
              </w:rPr>
              <w:fldChar w:fldCharType="separate"/>
            </w:r>
            <w:r w:rsidR="009375FA">
              <w:rPr>
                <w:noProof/>
                <w:webHidden/>
              </w:rPr>
              <w:t>100</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399" w:history="1">
            <w:r w:rsidR="00487F68" w:rsidRPr="006F10E7">
              <w:rPr>
                <w:rStyle w:val="Lienhypertexte"/>
                <w:noProof/>
              </w:rPr>
              <w:t>XI.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Contexte juridique</w:t>
            </w:r>
            <w:r w:rsidR="00487F68">
              <w:rPr>
                <w:noProof/>
                <w:webHidden/>
              </w:rPr>
              <w:tab/>
            </w:r>
            <w:r w:rsidR="00487F68">
              <w:rPr>
                <w:noProof/>
                <w:webHidden/>
              </w:rPr>
              <w:fldChar w:fldCharType="begin"/>
            </w:r>
            <w:r w:rsidR="00487F68">
              <w:rPr>
                <w:noProof/>
                <w:webHidden/>
              </w:rPr>
              <w:instrText xml:space="preserve"> PAGEREF _Toc498638399 \h </w:instrText>
            </w:r>
            <w:r w:rsidR="00487F68">
              <w:rPr>
                <w:noProof/>
                <w:webHidden/>
              </w:rPr>
            </w:r>
            <w:r w:rsidR="00487F68">
              <w:rPr>
                <w:noProof/>
                <w:webHidden/>
              </w:rPr>
              <w:fldChar w:fldCharType="separate"/>
            </w:r>
            <w:r w:rsidR="009375FA">
              <w:rPr>
                <w:noProof/>
                <w:webHidden/>
              </w:rPr>
              <w:t>105</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0" w:history="1">
            <w:r w:rsidR="00487F68" w:rsidRPr="006F10E7">
              <w:rPr>
                <w:rStyle w:val="Lienhypertexte"/>
                <w:noProof/>
              </w:rPr>
              <w:t>XII.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Annexes obligatoires</w:t>
            </w:r>
            <w:r w:rsidR="00487F68">
              <w:rPr>
                <w:noProof/>
                <w:webHidden/>
              </w:rPr>
              <w:tab/>
            </w:r>
            <w:r w:rsidR="00487F68">
              <w:rPr>
                <w:noProof/>
                <w:webHidden/>
              </w:rPr>
              <w:fldChar w:fldCharType="begin"/>
            </w:r>
            <w:r w:rsidR="00487F68">
              <w:rPr>
                <w:noProof/>
                <w:webHidden/>
              </w:rPr>
              <w:instrText xml:space="preserve"> PAGEREF _Toc498638400 \h </w:instrText>
            </w:r>
            <w:r w:rsidR="00487F68">
              <w:rPr>
                <w:noProof/>
                <w:webHidden/>
              </w:rPr>
            </w:r>
            <w:r w:rsidR="00487F68">
              <w:rPr>
                <w:noProof/>
                <w:webHidden/>
              </w:rPr>
              <w:fldChar w:fldCharType="separate"/>
            </w:r>
            <w:r w:rsidR="009375FA">
              <w:rPr>
                <w:noProof/>
                <w:webHidden/>
              </w:rPr>
              <w:t>106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1" w:history="1">
            <w:r w:rsidR="00487F68" w:rsidRPr="006F10E7">
              <w:rPr>
                <w:rStyle w:val="Lienhypertexte"/>
                <w:rFonts w:ascii="Century Gothic" w:hAnsi="Century Gothic"/>
                <w:noProof/>
                <w:spacing w:val="-2"/>
              </w:rPr>
              <w:t>Annexe [A]. Plan de travail pluriannuel</w:t>
            </w:r>
            <w:r w:rsidR="00487F68">
              <w:rPr>
                <w:noProof/>
                <w:webHidden/>
              </w:rPr>
              <w:tab/>
            </w:r>
            <w:r w:rsidR="00487F68">
              <w:rPr>
                <w:noProof/>
                <w:webHidden/>
              </w:rPr>
              <w:fldChar w:fldCharType="begin"/>
            </w:r>
            <w:r w:rsidR="00487F68">
              <w:rPr>
                <w:noProof/>
                <w:webHidden/>
              </w:rPr>
              <w:instrText xml:space="preserve"> PAGEREF _Toc498638401 \h </w:instrText>
            </w:r>
            <w:r w:rsidR="00487F68">
              <w:rPr>
                <w:noProof/>
                <w:webHidden/>
              </w:rPr>
            </w:r>
            <w:r w:rsidR="00487F68">
              <w:rPr>
                <w:noProof/>
                <w:webHidden/>
              </w:rPr>
              <w:fldChar w:fldCharType="separate"/>
            </w:r>
            <w:r w:rsidR="009375FA">
              <w:rPr>
                <w:noProof/>
                <w:webHidden/>
              </w:rPr>
              <w:t>107</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2" w:history="1">
            <w:r w:rsidR="00487F68" w:rsidRPr="006F10E7">
              <w:rPr>
                <w:rStyle w:val="Lienhypertexte"/>
                <w:rFonts w:ascii="Century Gothic" w:hAnsi="Century Gothic"/>
                <w:noProof/>
                <w:spacing w:val="-2"/>
              </w:rPr>
              <w:t>Annexe [B]. Plan de suivi</w:t>
            </w:r>
            <w:r w:rsidR="00487F68">
              <w:rPr>
                <w:noProof/>
                <w:webHidden/>
              </w:rPr>
              <w:tab/>
            </w:r>
            <w:r w:rsidR="00487F68">
              <w:rPr>
                <w:noProof/>
                <w:webHidden/>
              </w:rPr>
              <w:fldChar w:fldCharType="begin"/>
            </w:r>
            <w:r w:rsidR="00487F68">
              <w:rPr>
                <w:noProof/>
                <w:webHidden/>
              </w:rPr>
              <w:instrText xml:space="preserve"> PAGEREF _Toc498638402 \h </w:instrText>
            </w:r>
            <w:r w:rsidR="00487F68">
              <w:rPr>
                <w:noProof/>
                <w:webHidden/>
              </w:rPr>
            </w:r>
            <w:r w:rsidR="00487F68">
              <w:rPr>
                <w:noProof/>
                <w:webHidden/>
              </w:rPr>
              <w:fldChar w:fldCharType="separate"/>
            </w:r>
            <w:r w:rsidR="009375FA">
              <w:rPr>
                <w:noProof/>
                <w:webHidden/>
              </w:rPr>
              <w:t>110</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3" w:history="1">
            <w:r w:rsidR="00487F68" w:rsidRPr="006F10E7">
              <w:rPr>
                <w:rStyle w:val="Lienhypertexte"/>
                <w:rFonts w:ascii="Century Gothic" w:hAnsi="Century Gothic"/>
                <w:noProof/>
                <w:spacing w:val="-2"/>
              </w:rPr>
              <w:t>Annexe [C]. Plan d’évaluation</w:t>
            </w:r>
            <w:r w:rsidR="00487F68">
              <w:rPr>
                <w:noProof/>
                <w:webHidden/>
              </w:rPr>
              <w:tab/>
            </w:r>
            <w:r w:rsidR="00487F68">
              <w:rPr>
                <w:noProof/>
                <w:webHidden/>
              </w:rPr>
              <w:fldChar w:fldCharType="begin"/>
            </w:r>
            <w:r w:rsidR="00487F68">
              <w:rPr>
                <w:noProof/>
                <w:webHidden/>
              </w:rPr>
              <w:instrText xml:space="preserve"> PAGEREF _Toc498638403 \h </w:instrText>
            </w:r>
            <w:r w:rsidR="00487F68">
              <w:rPr>
                <w:noProof/>
                <w:webHidden/>
              </w:rPr>
            </w:r>
            <w:r w:rsidR="00487F68">
              <w:rPr>
                <w:noProof/>
                <w:webHidden/>
              </w:rPr>
              <w:fldChar w:fldCharType="separate"/>
            </w:r>
            <w:r w:rsidR="009375FA">
              <w:rPr>
                <w:noProof/>
                <w:webHidden/>
              </w:rPr>
              <w:t>114</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4" w:history="1">
            <w:r w:rsidR="00487F68" w:rsidRPr="006F10E7">
              <w:rPr>
                <w:rStyle w:val="Lienhypertexte"/>
                <w:rFonts w:ascii="Century Gothic" w:hAnsi="Century Gothic"/>
                <w:noProof/>
                <w:spacing w:val="-2"/>
              </w:rPr>
              <w:t>Annexe [D]. Outil de suivi de référence du FEM</w:t>
            </w:r>
            <w:r w:rsidR="00487F68">
              <w:rPr>
                <w:noProof/>
                <w:webHidden/>
              </w:rPr>
              <w:tab/>
            </w:r>
            <w:r w:rsidR="00487F68">
              <w:rPr>
                <w:noProof/>
                <w:webHidden/>
              </w:rPr>
              <w:fldChar w:fldCharType="begin"/>
            </w:r>
            <w:r w:rsidR="00487F68">
              <w:rPr>
                <w:noProof/>
                <w:webHidden/>
              </w:rPr>
              <w:instrText xml:space="preserve"> PAGEREF _Toc498638404 \h </w:instrText>
            </w:r>
            <w:r w:rsidR="00487F68">
              <w:rPr>
                <w:noProof/>
                <w:webHidden/>
              </w:rPr>
            </w:r>
            <w:r w:rsidR="00487F68">
              <w:rPr>
                <w:noProof/>
                <w:webHidden/>
              </w:rPr>
              <w:fldChar w:fldCharType="separate"/>
            </w:r>
            <w:r w:rsidR="009375FA">
              <w:rPr>
                <w:noProof/>
                <w:webHidden/>
              </w:rPr>
              <w:t>115</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5" w:history="1">
            <w:r w:rsidR="00487F68" w:rsidRPr="006F10E7">
              <w:rPr>
                <w:rStyle w:val="Lienhypertexte"/>
                <w:rFonts w:ascii="Century Gothic" w:hAnsi="Century Gothic"/>
                <w:noProof/>
                <w:spacing w:val="-2"/>
              </w:rPr>
              <w:t>Annexe [E]. Descriptif d’emploi du personnel principal du projet</w:t>
            </w:r>
            <w:r w:rsidR="00487F68">
              <w:rPr>
                <w:noProof/>
                <w:webHidden/>
              </w:rPr>
              <w:tab/>
            </w:r>
            <w:r w:rsidR="00487F68">
              <w:rPr>
                <w:noProof/>
                <w:webHidden/>
              </w:rPr>
              <w:fldChar w:fldCharType="begin"/>
            </w:r>
            <w:r w:rsidR="00487F68">
              <w:rPr>
                <w:noProof/>
                <w:webHidden/>
              </w:rPr>
              <w:instrText xml:space="preserve"> PAGEREF _Toc498638405 \h </w:instrText>
            </w:r>
            <w:r w:rsidR="00487F68">
              <w:rPr>
                <w:noProof/>
                <w:webHidden/>
              </w:rPr>
            </w:r>
            <w:r w:rsidR="00487F68">
              <w:rPr>
                <w:noProof/>
                <w:webHidden/>
              </w:rPr>
              <w:fldChar w:fldCharType="separate"/>
            </w:r>
            <w:r w:rsidR="009375FA">
              <w:rPr>
                <w:noProof/>
                <w:webHidden/>
              </w:rPr>
              <w:t>116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6" w:history="1">
            <w:r w:rsidR="00487F68" w:rsidRPr="006F10E7">
              <w:rPr>
                <w:rStyle w:val="Lienhypertexte"/>
                <w:rFonts w:ascii="Century Gothic" w:hAnsi="Century Gothic"/>
                <w:noProof/>
                <w:spacing w:val="-2"/>
              </w:rPr>
              <w:t>Annexe [F]. Rapport d’évaluation principal pour la composante 1 : « Mécanismes de financement novateurs »</w:t>
            </w:r>
            <w:r w:rsidR="00487F68">
              <w:rPr>
                <w:noProof/>
                <w:webHidden/>
              </w:rPr>
              <w:tab/>
            </w:r>
            <w:r w:rsidR="00487F68">
              <w:rPr>
                <w:noProof/>
                <w:webHidden/>
              </w:rPr>
              <w:fldChar w:fldCharType="begin"/>
            </w:r>
            <w:r w:rsidR="00487F68">
              <w:rPr>
                <w:noProof/>
                <w:webHidden/>
              </w:rPr>
              <w:instrText xml:space="preserve"> PAGEREF _Toc498638406 \h </w:instrText>
            </w:r>
            <w:r w:rsidR="00487F68">
              <w:rPr>
                <w:noProof/>
                <w:webHidden/>
              </w:rPr>
            </w:r>
            <w:r w:rsidR="00487F68">
              <w:rPr>
                <w:noProof/>
                <w:webHidden/>
              </w:rPr>
              <w:fldChar w:fldCharType="separate"/>
            </w:r>
            <w:r w:rsidR="009375FA">
              <w:rPr>
                <w:noProof/>
                <w:webHidden/>
              </w:rPr>
              <w:t>120</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07" w:history="1">
            <w:r w:rsidR="00487F68" w:rsidRPr="006F10E7">
              <w:rPr>
                <w:rStyle w:val="Lienhypertexte"/>
                <w:rFonts w:ascii="Times New Roman" w:hAnsi="Times New Roman"/>
                <w:noProof/>
                <w:spacing w:val="-2"/>
              </w:rPr>
              <w:t>I. Les mécanismes internes (fiscalité, PPP et contrats tripartites)</w:t>
            </w:r>
            <w:r w:rsidR="00487F68">
              <w:rPr>
                <w:noProof/>
                <w:webHidden/>
              </w:rPr>
              <w:tab/>
            </w:r>
            <w:r w:rsidR="00487F68">
              <w:rPr>
                <w:noProof/>
                <w:webHidden/>
              </w:rPr>
              <w:fldChar w:fldCharType="begin"/>
            </w:r>
            <w:r w:rsidR="00487F68">
              <w:rPr>
                <w:noProof/>
                <w:webHidden/>
              </w:rPr>
              <w:instrText xml:space="preserve"> PAGEREF _Toc498638407 \h </w:instrText>
            </w:r>
            <w:r w:rsidR="00487F68">
              <w:rPr>
                <w:noProof/>
                <w:webHidden/>
              </w:rPr>
            </w:r>
            <w:r w:rsidR="00487F68">
              <w:rPr>
                <w:noProof/>
                <w:webHidden/>
              </w:rPr>
              <w:fldChar w:fldCharType="separate"/>
            </w:r>
            <w:r w:rsidR="009375FA">
              <w:rPr>
                <w:noProof/>
                <w:webHidden/>
              </w:rPr>
              <w:t>124</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08" w:history="1">
            <w:r w:rsidR="00487F68" w:rsidRPr="006F10E7">
              <w:rPr>
                <w:rStyle w:val="Lienhypertexte"/>
                <w:rFonts w:eastAsia="MS Gothic"/>
                <w:noProof/>
                <w:lang w:eastAsia="fr-FR"/>
              </w:rPr>
              <w:t>I.1. Mécanismes applicables aux collectivités locales (CL) et aux communes en particulier</w:t>
            </w:r>
            <w:r w:rsidR="00487F68">
              <w:rPr>
                <w:noProof/>
                <w:webHidden/>
              </w:rPr>
              <w:tab/>
            </w:r>
            <w:r w:rsidR="00487F68">
              <w:rPr>
                <w:noProof/>
                <w:webHidden/>
              </w:rPr>
              <w:fldChar w:fldCharType="begin"/>
            </w:r>
            <w:r w:rsidR="00487F68">
              <w:rPr>
                <w:noProof/>
                <w:webHidden/>
              </w:rPr>
              <w:instrText xml:space="preserve"> PAGEREF _Toc498638408 \h </w:instrText>
            </w:r>
            <w:r w:rsidR="00487F68">
              <w:rPr>
                <w:noProof/>
                <w:webHidden/>
              </w:rPr>
            </w:r>
            <w:r w:rsidR="00487F68">
              <w:rPr>
                <w:noProof/>
                <w:webHidden/>
              </w:rPr>
              <w:fldChar w:fldCharType="separate"/>
            </w:r>
            <w:r w:rsidR="009375FA">
              <w:rPr>
                <w:noProof/>
                <w:webHidden/>
              </w:rPr>
              <w:t>124</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09" w:history="1">
            <w:r w:rsidR="00487F68" w:rsidRPr="006F10E7">
              <w:rPr>
                <w:rStyle w:val="Lienhypertexte"/>
                <w:rFonts w:eastAsia="MS Gothic"/>
                <w:noProof/>
                <w:lang w:eastAsia="fr-FR"/>
              </w:rPr>
              <w:t>I.2 Mécanismes privés qui peuvent être promus par le PFNAC</w:t>
            </w:r>
            <w:r w:rsidR="00487F68">
              <w:rPr>
                <w:noProof/>
                <w:webHidden/>
              </w:rPr>
              <w:tab/>
            </w:r>
            <w:r w:rsidR="00487F68">
              <w:rPr>
                <w:noProof/>
                <w:webHidden/>
              </w:rPr>
              <w:fldChar w:fldCharType="begin"/>
            </w:r>
            <w:r w:rsidR="00487F68">
              <w:rPr>
                <w:noProof/>
                <w:webHidden/>
              </w:rPr>
              <w:instrText xml:space="preserve"> PAGEREF _Toc498638409 \h </w:instrText>
            </w:r>
            <w:r w:rsidR="00487F68">
              <w:rPr>
                <w:noProof/>
                <w:webHidden/>
              </w:rPr>
            </w:r>
            <w:r w:rsidR="00487F68">
              <w:rPr>
                <w:noProof/>
                <w:webHidden/>
              </w:rPr>
              <w:fldChar w:fldCharType="separate"/>
            </w:r>
            <w:r w:rsidR="009375FA">
              <w:rPr>
                <w:noProof/>
                <w:webHidden/>
              </w:rPr>
              <w:t>127</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10" w:history="1">
            <w:r w:rsidR="00487F68" w:rsidRPr="006F10E7">
              <w:rPr>
                <w:rStyle w:val="Lienhypertexte"/>
                <w:rFonts w:eastAsia="MS Gothic"/>
                <w:noProof/>
                <w:lang w:eastAsia="fr-FR"/>
              </w:rPr>
              <w:t>I.3 Quelques initiatives endogènes</w:t>
            </w:r>
            <w:r w:rsidR="00487F68">
              <w:rPr>
                <w:noProof/>
                <w:webHidden/>
              </w:rPr>
              <w:tab/>
            </w:r>
            <w:r w:rsidR="00487F68">
              <w:rPr>
                <w:noProof/>
                <w:webHidden/>
              </w:rPr>
              <w:fldChar w:fldCharType="begin"/>
            </w:r>
            <w:r w:rsidR="00487F68">
              <w:rPr>
                <w:noProof/>
                <w:webHidden/>
              </w:rPr>
              <w:instrText xml:space="preserve"> PAGEREF _Toc498638410 \h </w:instrText>
            </w:r>
            <w:r w:rsidR="00487F68">
              <w:rPr>
                <w:noProof/>
                <w:webHidden/>
              </w:rPr>
            </w:r>
            <w:r w:rsidR="00487F68">
              <w:rPr>
                <w:noProof/>
                <w:webHidden/>
              </w:rPr>
              <w:fldChar w:fldCharType="separate"/>
            </w:r>
            <w:r w:rsidR="009375FA">
              <w:rPr>
                <w:noProof/>
                <w:webHidden/>
              </w:rPr>
              <w:t>131</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11" w:history="1">
            <w:r w:rsidR="00487F68" w:rsidRPr="006F10E7">
              <w:rPr>
                <w:rStyle w:val="Lienhypertexte"/>
                <w:rFonts w:ascii="Century Gothic" w:hAnsi="Century Gothic"/>
                <w:noProof/>
                <w:spacing w:val="-2"/>
              </w:rPr>
              <w:t>II Accès au financement pour les producteurs: mutuelles, microfinance</w:t>
            </w:r>
            <w:r w:rsidR="00487F68">
              <w:rPr>
                <w:noProof/>
                <w:webHidden/>
              </w:rPr>
              <w:tab/>
            </w:r>
            <w:r w:rsidR="00487F68">
              <w:rPr>
                <w:noProof/>
                <w:webHidden/>
              </w:rPr>
              <w:fldChar w:fldCharType="begin"/>
            </w:r>
            <w:r w:rsidR="00487F68">
              <w:rPr>
                <w:noProof/>
                <w:webHidden/>
              </w:rPr>
              <w:instrText xml:space="preserve"> PAGEREF _Toc498638411 \h </w:instrText>
            </w:r>
            <w:r w:rsidR="00487F68">
              <w:rPr>
                <w:noProof/>
                <w:webHidden/>
              </w:rPr>
            </w:r>
            <w:r w:rsidR="00487F68">
              <w:rPr>
                <w:noProof/>
                <w:webHidden/>
              </w:rPr>
              <w:fldChar w:fldCharType="separate"/>
            </w:r>
            <w:r w:rsidR="009375FA">
              <w:rPr>
                <w:noProof/>
                <w:webHidden/>
              </w:rPr>
              <w:t>132</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12" w:history="1">
            <w:r w:rsidR="00487F68" w:rsidRPr="006F10E7">
              <w:rPr>
                <w:rStyle w:val="Lienhypertexte"/>
                <w:rFonts w:ascii="Century Gothic" w:hAnsi="Century Gothic"/>
                <w:noProof/>
                <w:spacing w:val="-2"/>
              </w:rPr>
              <w:t>III Partage des revenus des filières</w:t>
            </w:r>
            <w:r w:rsidR="00487F68">
              <w:rPr>
                <w:noProof/>
                <w:webHidden/>
              </w:rPr>
              <w:tab/>
            </w:r>
            <w:r w:rsidR="00487F68">
              <w:rPr>
                <w:noProof/>
                <w:webHidden/>
              </w:rPr>
              <w:fldChar w:fldCharType="begin"/>
            </w:r>
            <w:r w:rsidR="00487F68">
              <w:rPr>
                <w:noProof/>
                <w:webHidden/>
              </w:rPr>
              <w:instrText xml:space="preserve"> PAGEREF _Toc498638412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13" w:history="1">
            <w:r w:rsidR="00487F68" w:rsidRPr="006F10E7">
              <w:rPr>
                <w:rStyle w:val="Lienhypertexte"/>
                <w:rFonts w:eastAsia="MS Gothic"/>
                <w:noProof/>
                <w:lang w:eastAsia="fr-FR"/>
              </w:rPr>
              <w:t>III.1. Mécanismes existants de génération de revenus aux différents acteurs</w:t>
            </w:r>
            <w:r w:rsidR="00487F68">
              <w:rPr>
                <w:noProof/>
                <w:webHidden/>
              </w:rPr>
              <w:tab/>
            </w:r>
            <w:r w:rsidR="00487F68">
              <w:rPr>
                <w:noProof/>
                <w:webHidden/>
              </w:rPr>
              <w:fldChar w:fldCharType="begin"/>
            </w:r>
            <w:r w:rsidR="00487F68">
              <w:rPr>
                <w:noProof/>
                <w:webHidden/>
              </w:rPr>
              <w:instrText xml:space="preserve"> PAGEREF _Toc498638413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14" w:history="1">
            <w:r w:rsidR="00487F68" w:rsidRPr="006F10E7">
              <w:rPr>
                <w:rStyle w:val="Lienhypertexte"/>
                <w:rFonts w:eastAsia="MS Gothic"/>
                <w:noProof/>
                <w:lang w:eastAsia="fr-FR"/>
              </w:rPr>
              <w:t>a) Produits forestiers ligneux dans les forêts aménagées</w:t>
            </w:r>
            <w:r w:rsidR="00487F68">
              <w:rPr>
                <w:noProof/>
                <w:webHidden/>
              </w:rPr>
              <w:tab/>
            </w:r>
            <w:r w:rsidR="00487F68">
              <w:rPr>
                <w:noProof/>
                <w:webHidden/>
              </w:rPr>
              <w:fldChar w:fldCharType="begin"/>
            </w:r>
            <w:r w:rsidR="00487F68">
              <w:rPr>
                <w:noProof/>
                <w:webHidden/>
              </w:rPr>
              <w:instrText xml:space="preserve"> PAGEREF _Toc498638414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15" w:history="1">
            <w:r w:rsidR="00487F68" w:rsidRPr="006F10E7">
              <w:rPr>
                <w:rStyle w:val="Lienhypertexte"/>
                <w:rFonts w:eastAsia="MS Gothic"/>
                <w:noProof/>
                <w:lang w:eastAsia="fr-FR"/>
              </w:rPr>
              <w:t>b) Produits forestiers non ligneux (PFNL)</w:t>
            </w:r>
            <w:r w:rsidR="00487F68">
              <w:rPr>
                <w:noProof/>
                <w:webHidden/>
              </w:rPr>
              <w:tab/>
            </w:r>
            <w:r w:rsidR="00487F68">
              <w:rPr>
                <w:noProof/>
                <w:webHidden/>
              </w:rPr>
              <w:fldChar w:fldCharType="begin"/>
            </w:r>
            <w:r w:rsidR="00487F68">
              <w:rPr>
                <w:noProof/>
                <w:webHidden/>
              </w:rPr>
              <w:instrText xml:space="preserve"> PAGEREF _Toc498638415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16" w:history="1">
            <w:r w:rsidR="00487F68" w:rsidRPr="006F10E7">
              <w:rPr>
                <w:rStyle w:val="Lienhypertexte"/>
                <w:rFonts w:eastAsia="MS Gothic"/>
                <w:noProof/>
                <w:lang w:eastAsia="fr-FR"/>
              </w:rPr>
              <w:t>III.2. Mécanisme à mettre en place par le PFNAC pour les PFNL</w:t>
            </w:r>
            <w:r w:rsidR="00487F68">
              <w:rPr>
                <w:noProof/>
                <w:webHidden/>
              </w:rPr>
              <w:tab/>
            </w:r>
            <w:r w:rsidR="00487F68">
              <w:rPr>
                <w:noProof/>
                <w:webHidden/>
              </w:rPr>
              <w:fldChar w:fldCharType="begin"/>
            </w:r>
            <w:r w:rsidR="00487F68">
              <w:rPr>
                <w:noProof/>
                <w:webHidden/>
              </w:rPr>
              <w:instrText xml:space="preserve"> PAGEREF _Toc498638416 \h </w:instrText>
            </w:r>
            <w:r w:rsidR="00487F68">
              <w:rPr>
                <w:noProof/>
                <w:webHidden/>
              </w:rPr>
            </w:r>
            <w:r w:rsidR="00487F68">
              <w:rPr>
                <w:noProof/>
                <w:webHidden/>
              </w:rPr>
              <w:fldChar w:fldCharType="separate"/>
            </w:r>
            <w:r w:rsidR="009375FA">
              <w:rPr>
                <w:noProof/>
                <w:webHidden/>
              </w:rPr>
              <w:t>142</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17" w:history="1">
            <w:r w:rsidR="00487F68" w:rsidRPr="006F10E7">
              <w:rPr>
                <w:rStyle w:val="Lienhypertexte"/>
                <w:rFonts w:eastAsia="MS Gothic"/>
                <w:noProof/>
                <w:lang w:eastAsia="fr-FR"/>
              </w:rPr>
              <w:t>a) Taxes sur les PFNL</w:t>
            </w:r>
            <w:r w:rsidR="00487F68">
              <w:rPr>
                <w:noProof/>
                <w:webHidden/>
              </w:rPr>
              <w:tab/>
            </w:r>
            <w:r w:rsidR="00487F68">
              <w:rPr>
                <w:noProof/>
                <w:webHidden/>
              </w:rPr>
              <w:fldChar w:fldCharType="begin"/>
            </w:r>
            <w:r w:rsidR="00487F68">
              <w:rPr>
                <w:noProof/>
                <w:webHidden/>
              </w:rPr>
              <w:instrText xml:space="preserve"> PAGEREF _Toc498638417 \h </w:instrText>
            </w:r>
            <w:r w:rsidR="00487F68">
              <w:rPr>
                <w:noProof/>
                <w:webHidden/>
              </w:rPr>
            </w:r>
            <w:r w:rsidR="00487F68">
              <w:rPr>
                <w:noProof/>
                <w:webHidden/>
              </w:rPr>
              <w:fldChar w:fldCharType="separate"/>
            </w:r>
            <w:r w:rsidR="009375FA">
              <w:rPr>
                <w:noProof/>
                <w:webHidden/>
              </w:rPr>
              <w:t>142</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18" w:history="1">
            <w:r w:rsidR="00487F68" w:rsidRPr="006F10E7">
              <w:rPr>
                <w:rStyle w:val="Lienhypertexte"/>
                <w:rFonts w:eastAsia="MS Gothic"/>
                <w:noProof/>
              </w:rPr>
              <w:t>b) Redevances liées au prélèvement d’espèces et de produits</w:t>
            </w:r>
            <w:r w:rsidR="00487F68">
              <w:rPr>
                <w:noProof/>
                <w:webHidden/>
              </w:rPr>
              <w:tab/>
            </w:r>
            <w:r w:rsidR="00487F68">
              <w:rPr>
                <w:noProof/>
                <w:webHidden/>
              </w:rPr>
              <w:fldChar w:fldCharType="begin"/>
            </w:r>
            <w:r w:rsidR="00487F68">
              <w:rPr>
                <w:noProof/>
                <w:webHidden/>
              </w:rPr>
              <w:instrText xml:space="preserve"> PAGEREF _Toc498638418 \h </w:instrText>
            </w:r>
            <w:r w:rsidR="00487F68">
              <w:rPr>
                <w:noProof/>
                <w:webHidden/>
              </w:rPr>
            </w:r>
            <w:r w:rsidR="00487F68">
              <w:rPr>
                <w:noProof/>
                <w:webHidden/>
              </w:rPr>
              <w:fldChar w:fldCharType="separate"/>
            </w:r>
            <w:r w:rsidR="009375FA">
              <w:rPr>
                <w:noProof/>
                <w:webHidden/>
              </w:rPr>
              <w:t>143</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19" w:history="1">
            <w:r w:rsidR="00487F68" w:rsidRPr="006F10E7">
              <w:rPr>
                <w:rStyle w:val="Lienhypertexte"/>
                <w:rFonts w:ascii="Century Gothic" w:hAnsi="Century Gothic"/>
                <w:noProof/>
                <w:spacing w:val="-2"/>
              </w:rPr>
              <w:t>IV Compensation des dommages à la biodiversité (zone minière du Niokolo-Koba)</w:t>
            </w:r>
            <w:r w:rsidR="00487F68">
              <w:rPr>
                <w:noProof/>
                <w:webHidden/>
              </w:rPr>
              <w:tab/>
            </w:r>
            <w:r w:rsidR="00487F68">
              <w:rPr>
                <w:noProof/>
                <w:webHidden/>
              </w:rPr>
              <w:fldChar w:fldCharType="begin"/>
            </w:r>
            <w:r w:rsidR="00487F68">
              <w:rPr>
                <w:noProof/>
                <w:webHidden/>
              </w:rPr>
              <w:instrText xml:space="preserve"> PAGEREF _Toc498638419 \h </w:instrText>
            </w:r>
            <w:r w:rsidR="00487F68">
              <w:rPr>
                <w:noProof/>
                <w:webHidden/>
              </w:rPr>
            </w:r>
            <w:r w:rsidR="00487F68">
              <w:rPr>
                <w:noProof/>
                <w:webHidden/>
              </w:rPr>
              <w:fldChar w:fldCharType="separate"/>
            </w:r>
            <w:r w:rsidR="009375FA">
              <w:rPr>
                <w:noProof/>
                <w:webHidden/>
              </w:rPr>
              <w:t>144</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0" w:history="1">
            <w:r w:rsidR="00487F68" w:rsidRPr="006F10E7">
              <w:rPr>
                <w:rStyle w:val="Lienhypertexte"/>
                <w:rFonts w:eastAsia="MS Gothic"/>
                <w:noProof/>
                <w:lang w:eastAsia="fr-FR"/>
              </w:rPr>
              <w:t>IV.1. Le principe des offsets de biodiversité</w:t>
            </w:r>
            <w:r w:rsidR="00487F68">
              <w:rPr>
                <w:noProof/>
                <w:webHidden/>
              </w:rPr>
              <w:tab/>
            </w:r>
            <w:r w:rsidR="00487F68">
              <w:rPr>
                <w:noProof/>
                <w:webHidden/>
              </w:rPr>
              <w:fldChar w:fldCharType="begin"/>
            </w:r>
            <w:r w:rsidR="00487F68">
              <w:rPr>
                <w:noProof/>
                <w:webHidden/>
              </w:rPr>
              <w:instrText xml:space="preserve"> PAGEREF _Toc498638420 \h </w:instrText>
            </w:r>
            <w:r w:rsidR="00487F68">
              <w:rPr>
                <w:noProof/>
                <w:webHidden/>
              </w:rPr>
            </w:r>
            <w:r w:rsidR="00487F68">
              <w:rPr>
                <w:noProof/>
                <w:webHidden/>
              </w:rPr>
              <w:fldChar w:fldCharType="separate"/>
            </w:r>
            <w:r w:rsidR="009375FA">
              <w:rPr>
                <w:noProof/>
                <w:webHidden/>
              </w:rPr>
              <w:t>144</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1" w:history="1">
            <w:r w:rsidR="00487F68" w:rsidRPr="006F10E7">
              <w:rPr>
                <w:rStyle w:val="Lienhypertexte"/>
                <w:rFonts w:eastAsia="MS Gothic"/>
                <w:noProof/>
                <w:lang w:eastAsia="fr-FR"/>
              </w:rPr>
              <w:t>IV.2. La mise en œuvre du principe de compensation</w:t>
            </w:r>
            <w:r w:rsidR="00487F68">
              <w:rPr>
                <w:noProof/>
                <w:webHidden/>
              </w:rPr>
              <w:tab/>
            </w:r>
            <w:r w:rsidR="00487F68">
              <w:rPr>
                <w:noProof/>
                <w:webHidden/>
              </w:rPr>
              <w:fldChar w:fldCharType="begin"/>
            </w:r>
            <w:r w:rsidR="00487F68">
              <w:rPr>
                <w:noProof/>
                <w:webHidden/>
              </w:rPr>
              <w:instrText xml:space="preserve"> PAGEREF _Toc498638421 \h </w:instrText>
            </w:r>
            <w:r w:rsidR="00487F68">
              <w:rPr>
                <w:noProof/>
                <w:webHidden/>
              </w:rPr>
            </w:r>
            <w:r w:rsidR="00487F68">
              <w:rPr>
                <w:noProof/>
                <w:webHidden/>
              </w:rPr>
              <w:fldChar w:fldCharType="separate"/>
            </w:r>
            <w:r w:rsidR="009375FA">
              <w:rPr>
                <w:noProof/>
                <w:webHidden/>
              </w:rPr>
              <w:t>146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22" w:history="1">
            <w:r w:rsidR="00487F68" w:rsidRPr="006F10E7">
              <w:rPr>
                <w:rStyle w:val="Lienhypertexte"/>
                <w:rFonts w:ascii="Century Gothic" w:hAnsi="Century Gothic"/>
                <w:noProof/>
                <w:spacing w:val="-2"/>
              </w:rPr>
              <w:t>V. PSE Carbone REDD+</w:t>
            </w:r>
            <w:r w:rsidR="00487F68">
              <w:rPr>
                <w:noProof/>
                <w:webHidden/>
              </w:rPr>
              <w:tab/>
            </w:r>
            <w:r w:rsidR="00487F68">
              <w:rPr>
                <w:noProof/>
                <w:webHidden/>
              </w:rPr>
              <w:fldChar w:fldCharType="begin"/>
            </w:r>
            <w:r w:rsidR="00487F68">
              <w:rPr>
                <w:noProof/>
                <w:webHidden/>
              </w:rPr>
              <w:instrText xml:space="preserve"> PAGEREF _Toc498638422 \h </w:instrText>
            </w:r>
            <w:r w:rsidR="00487F68">
              <w:rPr>
                <w:noProof/>
                <w:webHidden/>
              </w:rPr>
            </w:r>
            <w:r w:rsidR="00487F68">
              <w:rPr>
                <w:noProof/>
                <w:webHidden/>
              </w:rPr>
              <w:fldChar w:fldCharType="separate"/>
            </w:r>
            <w:r w:rsidR="009375FA">
              <w:rPr>
                <w:noProof/>
                <w:webHidden/>
              </w:rPr>
              <w:t>148</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3" w:history="1">
            <w:r w:rsidR="00487F68" w:rsidRPr="006F10E7">
              <w:rPr>
                <w:rStyle w:val="Lienhypertexte"/>
                <w:rFonts w:eastAsia="MS Gothic"/>
                <w:noProof/>
                <w:lang w:eastAsia="fr-FR"/>
              </w:rPr>
              <w:t>V.1. La théorie des PSE à l’épreuve : un continuum de pratiques</w:t>
            </w:r>
            <w:r w:rsidR="00487F68">
              <w:rPr>
                <w:noProof/>
                <w:webHidden/>
              </w:rPr>
              <w:tab/>
            </w:r>
            <w:r w:rsidR="00487F68">
              <w:rPr>
                <w:noProof/>
                <w:webHidden/>
              </w:rPr>
              <w:fldChar w:fldCharType="begin"/>
            </w:r>
            <w:r w:rsidR="00487F68">
              <w:rPr>
                <w:noProof/>
                <w:webHidden/>
              </w:rPr>
              <w:instrText xml:space="preserve"> PAGEREF _Toc498638423 \h </w:instrText>
            </w:r>
            <w:r w:rsidR="00487F68">
              <w:rPr>
                <w:noProof/>
                <w:webHidden/>
              </w:rPr>
            </w:r>
            <w:r w:rsidR="00487F68">
              <w:rPr>
                <w:noProof/>
                <w:webHidden/>
              </w:rPr>
              <w:fldChar w:fldCharType="separate"/>
            </w:r>
            <w:r w:rsidR="009375FA">
              <w:rPr>
                <w:noProof/>
                <w:webHidden/>
              </w:rPr>
              <w:t>148</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4" w:history="1">
            <w:r w:rsidR="00487F68" w:rsidRPr="006F10E7">
              <w:rPr>
                <w:rStyle w:val="Lienhypertexte"/>
                <w:rFonts w:eastAsia="MS Gothic"/>
                <w:noProof/>
                <w:lang w:eastAsia="fr-FR"/>
              </w:rPr>
              <w:t>V.2. La REDD+</w:t>
            </w:r>
            <w:r w:rsidR="00487F68">
              <w:rPr>
                <w:noProof/>
                <w:webHidden/>
              </w:rPr>
              <w:tab/>
            </w:r>
            <w:r w:rsidR="00487F68">
              <w:rPr>
                <w:noProof/>
                <w:webHidden/>
              </w:rPr>
              <w:fldChar w:fldCharType="begin"/>
            </w:r>
            <w:r w:rsidR="00487F68">
              <w:rPr>
                <w:noProof/>
                <w:webHidden/>
              </w:rPr>
              <w:instrText xml:space="preserve"> PAGEREF _Toc498638424 \h </w:instrText>
            </w:r>
            <w:r w:rsidR="00487F68">
              <w:rPr>
                <w:noProof/>
                <w:webHidden/>
              </w:rPr>
            </w:r>
            <w:r w:rsidR="00487F68">
              <w:rPr>
                <w:noProof/>
                <w:webHidden/>
              </w:rPr>
              <w:fldChar w:fldCharType="separate"/>
            </w:r>
            <w:r w:rsidR="009375FA">
              <w:rPr>
                <w:noProof/>
                <w:webHidden/>
              </w:rPr>
              <w:t>151</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5" w:history="1">
            <w:r w:rsidR="00487F68" w:rsidRPr="006F10E7">
              <w:rPr>
                <w:rStyle w:val="Lienhypertexte"/>
                <w:rFonts w:eastAsia="MS Gothic"/>
                <w:noProof/>
                <w:lang w:eastAsia="fr-FR"/>
              </w:rPr>
              <w:t>V.3. Les opportunités PSE Carbone au Sénégal</w:t>
            </w:r>
            <w:r w:rsidR="00487F68">
              <w:rPr>
                <w:noProof/>
                <w:webHidden/>
              </w:rPr>
              <w:tab/>
            </w:r>
            <w:r w:rsidR="00487F68">
              <w:rPr>
                <w:noProof/>
                <w:webHidden/>
              </w:rPr>
              <w:fldChar w:fldCharType="begin"/>
            </w:r>
            <w:r w:rsidR="00487F68">
              <w:rPr>
                <w:noProof/>
                <w:webHidden/>
              </w:rPr>
              <w:instrText xml:space="preserve"> PAGEREF _Toc498638425 \h </w:instrText>
            </w:r>
            <w:r w:rsidR="00487F68">
              <w:rPr>
                <w:noProof/>
                <w:webHidden/>
              </w:rPr>
            </w:r>
            <w:r w:rsidR="00487F68">
              <w:rPr>
                <w:noProof/>
                <w:webHidden/>
              </w:rPr>
              <w:fldChar w:fldCharType="separate"/>
            </w:r>
            <w:r w:rsidR="009375FA">
              <w:rPr>
                <w:noProof/>
                <w:webHidden/>
              </w:rPr>
              <w:t>154</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26" w:history="1">
            <w:r w:rsidR="00487F68" w:rsidRPr="006F10E7">
              <w:rPr>
                <w:rStyle w:val="Lienhypertexte"/>
                <w:rFonts w:ascii="Century Gothic" w:hAnsi="Century Gothic"/>
                <w:noProof/>
                <w:spacing w:val="-2"/>
              </w:rPr>
              <w:t>Annexe [G]. Rapport d’évaluation principal pour la composante 2 : « Investissements et pratiques climatiques adoptées par les communautés locales » (en français)</w:t>
            </w:r>
            <w:r w:rsidR="00487F68">
              <w:rPr>
                <w:noProof/>
                <w:webHidden/>
              </w:rPr>
              <w:tab/>
            </w:r>
            <w:r w:rsidR="00487F68">
              <w:rPr>
                <w:noProof/>
                <w:webHidden/>
              </w:rPr>
              <w:fldChar w:fldCharType="begin"/>
            </w:r>
            <w:r w:rsidR="00487F68">
              <w:rPr>
                <w:noProof/>
                <w:webHidden/>
              </w:rPr>
              <w:instrText xml:space="preserve"> PAGEREF _Toc498638426 \h </w:instrText>
            </w:r>
            <w:r w:rsidR="00487F68">
              <w:rPr>
                <w:noProof/>
                <w:webHidden/>
              </w:rPr>
            </w:r>
            <w:r w:rsidR="00487F68">
              <w:rPr>
                <w:noProof/>
                <w:webHidden/>
              </w:rPr>
              <w:fldChar w:fldCharType="separate"/>
            </w:r>
            <w:r w:rsidR="009375FA">
              <w:rPr>
                <w:noProof/>
                <w:webHidden/>
              </w:rPr>
              <w:t>156</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27" w:history="1">
            <w:r w:rsidR="00487F68" w:rsidRPr="006F10E7">
              <w:rPr>
                <w:rStyle w:val="Lienhypertexte"/>
                <w:rFonts w:ascii="Century Gothic" w:hAnsi="Century Gothic"/>
                <w:noProof/>
                <w:spacing w:val="-2"/>
              </w:rPr>
              <w:t>B. Quelles actions d’adaptation sur les sites concernés par le projet ?</w:t>
            </w:r>
            <w:r w:rsidR="00487F68">
              <w:rPr>
                <w:noProof/>
                <w:webHidden/>
              </w:rPr>
              <w:tab/>
            </w:r>
            <w:r w:rsidR="00487F68">
              <w:rPr>
                <w:noProof/>
                <w:webHidden/>
              </w:rPr>
              <w:fldChar w:fldCharType="begin"/>
            </w:r>
            <w:r w:rsidR="00487F68">
              <w:rPr>
                <w:noProof/>
                <w:webHidden/>
              </w:rPr>
              <w:instrText xml:space="preserve"> PAGEREF _Toc498638427 \h </w:instrText>
            </w:r>
            <w:r w:rsidR="00487F68">
              <w:rPr>
                <w:noProof/>
                <w:webHidden/>
              </w:rPr>
            </w:r>
            <w:r w:rsidR="00487F68">
              <w:rPr>
                <w:noProof/>
                <w:webHidden/>
              </w:rPr>
              <w:fldChar w:fldCharType="separate"/>
            </w:r>
            <w:r w:rsidR="009375FA">
              <w:rPr>
                <w:noProof/>
                <w:webHidden/>
              </w:rPr>
              <w:t>157</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28" w:history="1">
            <w:r w:rsidR="00487F68" w:rsidRPr="006F10E7">
              <w:rPr>
                <w:rStyle w:val="Lienhypertexte"/>
                <w:rFonts w:eastAsia="MS Gothic"/>
                <w:noProof/>
                <w:lang w:eastAsia="fr-FR"/>
              </w:rPr>
              <w:t>B.I. Site du bas delta du fleuve Sénégal</w:t>
            </w:r>
            <w:r w:rsidR="00487F68">
              <w:rPr>
                <w:noProof/>
                <w:webHidden/>
              </w:rPr>
              <w:tab/>
            </w:r>
            <w:r w:rsidR="00487F68">
              <w:rPr>
                <w:noProof/>
                <w:webHidden/>
              </w:rPr>
              <w:fldChar w:fldCharType="begin"/>
            </w:r>
            <w:r w:rsidR="00487F68">
              <w:rPr>
                <w:noProof/>
                <w:webHidden/>
              </w:rPr>
              <w:instrText xml:space="preserve"> PAGEREF _Toc498638428 \h </w:instrText>
            </w:r>
            <w:r w:rsidR="00487F68">
              <w:rPr>
                <w:noProof/>
                <w:webHidden/>
              </w:rPr>
            </w:r>
            <w:r w:rsidR="00487F68">
              <w:rPr>
                <w:noProof/>
                <w:webHidden/>
              </w:rPr>
              <w:fldChar w:fldCharType="separate"/>
            </w:r>
            <w:r w:rsidR="009375FA">
              <w:rPr>
                <w:noProof/>
                <w:webHidden/>
              </w:rPr>
              <w:t>159</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29" w:history="1">
            <w:r w:rsidR="00487F68" w:rsidRPr="006F10E7">
              <w:rPr>
                <w:rStyle w:val="Lienhypertexte"/>
                <w:rFonts w:eastAsia="MS Gothic"/>
                <w:noProof/>
              </w:rPr>
              <w:t>B.I.1. Constats des experts</w:t>
            </w:r>
            <w:r w:rsidR="00487F68">
              <w:rPr>
                <w:noProof/>
                <w:webHidden/>
              </w:rPr>
              <w:tab/>
            </w:r>
            <w:r w:rsidR="00487F68">
              <w:rPr>
                <w:noProof/>
                <w:webHidden/>
              </w:rPr>
              <w:fldChar w:fldCharType="begin"/>
            </w:r>
            <w:r w:rsidR="00487F68">
              <w:rPr>
                <w:noProof/>
                <w:webHidden/>
              </w:rPr>
              <w:instrText xml:space="preserve"> PAGEREF _Toc498638429 \h </w:instrText>
            </w:r>
            <w:r w:rsidR="00487F68">
              <w:rPr>
                <w:noProof/>
                <w:webHidden/>
              </w:rPr>
            </w:r>
            <w:r w:rsidR="00487F68">
              <w:rPr>
                <w:noProof/>
                <w:webHidden/>
              </w:rPr>
              <w:fldChar w:fldCharType="separate"/>
            </w:r>
            <w:r w:rsidR="009375FA">
              <w:rPr>
                <w:noProof/>
                <w:webHidden/>
              </w:rPr>
              <w:t>159</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0" w:history="1">
            <w:r w:rsidR="00487F68" w:rsidRPr="006F10E7">
              <w:rPr>
                <w:rStyle w:val="Lienhypertexte"/>
                <w:rFonts w:eastAsia="MS Gothic"/>
                <w:noProof/>
              </w:rPr>
              <w:t>B.I.2.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_Toc498638430 \h </w:instrText>
            </w:r>
            <w:r w:rsidR="00487F68">
              <w:rPr>
                <w:noProof/>
                <w:webHidden/>
              </w:rPr>
            </w:r>
            <w:r w:rsidR="00487F68">
              <w:rPr>
                <w:noProof/>
                <w:webHidden/>
              </w:rPr>
              <w:fldChar w:fldCharType="separate"/>
            </w:r>
            <w:r w:rsidR="009375FA">
              <w:rPr>
                <w:noProof/>
                <w:webHidden/>
              </w:rPr>
              <w:t>161</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31" w:history="1">
            <w:r w:rsidR="00487F68" w:rsidRPr="006F10E7">
              <w:rPr>
                <w:rStyle w:val="Lienhypertexte"/>
                <w:rFonts w:eastAsia="MS Gothic"/>
                <w:noProof/>
                <w:lang w:eastAsia="fr-FR"/>
              </w:rPr>
              <w:t>B.II. Site du Parc national du delta du Saloum</w:t>
            </w:r>
            <w:r w:rsidR="00487F68">
              <w:rPr>
                <w:noProof/>
                <w:webHidden/>
              </w:rPr>
              <w:tab/>
            </w:r>
            <w:r w:rsidR="00487F68">
              <w:rPr>
                <w:noProof/>
                <w:webHidden/>
              </w:rPr>
              <w:fldChar w:fldCharType="begin"/>
            </w:r>
            <w:r w:rsidR="00487F68">
              <w:rPr>
                <w:noProof/>
                <w:webHidden/>
              </w:rPr>
              <w:instrText xml:space="preserve"> PAGEREF _Toc498638431 \h </w:instrText>
            </w:r>
            <w:r w:rsidR="00487F68">
              <w:rPr>
                <w:noProof/>
                <w:webHidden/>
              </w:rPr>
            </w:r>
            <w:r w:rsidR="00487F68">
              <w:rPr>
                <w:noProof/>
                <w:webHidden/>
              </w:rPr>
              <w:fldChar w:fldCharType="separate"/>
            </w:r>
            <w:r w:rsidR="009375FA">
              <w:rPr>
                <w:noProof/>
                <w:webHidden/>
              </w:rPr>
              <w:t>164</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2" w:history="1">
            <w:r w:rsidR="00487F68" w:rsidRPr="006F10E7">
              <w:rPr>
                <w:rStyle w:val="Lienhypertexte"/>
                <w:rFonts w:eastAsia="MS Gothic"/>
                <w:noProof/>
              </w:rPr>
              <w:t>B.II.1. Constat des experts</w:t>
            </w:r>
            <w:r w:rsidR="00487F68">
              <w:rPr>
                <w:noProof/>
                <w:webHidden/>
              </w:rPr>
              <w:tab/>
            </w:r>
            <w:r w:rsidR="00487F68">
              <w:rPr>
                <w:noProof/>
                <w:webHidden/>
              </w:rPr>
              <w:fldChar w:fldCharType="begin"/>
            </w:r>
            <w:r w:rsidR="00487F68">
              <w:rPr>
                <w:noProof/>
                <w:webHidden/>
              </w:rPr>
              <w:instrText xml:space="preserve"> PAGEREF _Toc498638432 \h </w:instrText>
            </w:r>
            <w:r w:rsidR="00487F68">
              <w:rPr>
                <w:noProof/>
                <w:webHidden/>
              </w:rPr>
            </w:r>
            <w:r w:rsidR="00487F68">
              <w:rPr>
                <w:noProof/>
                <w:webHidden/>
              </w:rPr>
              <w:fldChar w:fldCharType="separate"/>
            </w:r>
            <w:r w:rsidR="009375FA">
              <w:rPr>
                <w:noProof/>
                <w:webHidden/>
              </w:rPr>
              <w:t>164</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3" w:history="1">
            <w:r w:rsidR="00487F68" w:rsidRPr="006F10E7">
              <w:rPr>
                <w:rStyle w:val="Lienhypertexte"/>
                <w:rFonts w:eastAsia="MS Gothic"/>
                <w:noProof/>
              </w:rPr>
              <w:t>B.II.2.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_Toc498638433 \h </w:instrText>
            </w:r>
            <w:r w:rsidR="00487F68">
              <w:rPr>
                <w:noProof/>
                <w:webHidden/>
              </w:rPr>
            </w:r>
            <w:r w:rsidR="00487F68">
              <w:rPr>
                <w:noProof/>
                <w:webHidden/>
              </w:rPr>
              <w:fldChar w:fldCharType="separate"/>
            </w:r>
            <w:r w:rsidR="009375FA">
              <w:rPr>
                <w:noProof/>
                <w:webHidden/>
              </w:rPr>
              <w:t>166</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34" w:history="1">
            <w:r w:rsidR="00487F68" w:rsidRPr="006F10E7">
              <w:rPr>
                <w:rStyle w:val="Lienhypertexte"/>
                <w:rFonts w:eastAsia="MS Gothic"/>
                <w:noProof/>
                <w:lang w:eastAsia="fr-FR"/>
              </w:rPr>
              <w:t>B.III. Site du Ferlo</w:t>
            </w:r>
            <w:r w:rsidR="00487F68">
              <w:rPr>
                <w:noProof/>
                <w:webHidden/>
              </w:rPr>
              <w:tab/>
            </w:r>
            <w:r w:rsidR="00487F68">
              <w:rPr>
                <w:noProof/>
                <w:webHidden/>
              </w:rPr>
              <w:fldChar w:fldCharType="begin"/>
            </w:r>
            <w:r w:rsidR="00487F68">
              <w:rPr>
                <w:noProof/>
                <w:webHidden/>
              </w:rPr>
              <w:instrText xml:space="preserve"> PAGEREF _Toc498638434 \h </w:instrText>
            </w:r>
            <w:r w:rsidR="00487F68">
              <w:rPr>
                <w:noProof/>
                <w:webHidden/>
              </w:rPr>
            </w:r>
            <w:r w:rsidR="00487F68">
              <w:rPr>
                <w:noProof/>
                <w:webHidden/>
              </w:rPr>
              <w:fldChar w:fldCharType="separate"/>
            </w:r>
            <w:r w:rsidR="009375FA">
              <w:rPr>
                <w:noProof/>
                <w:webHidden/>
              </w:rPr>
              <w:t>171</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5" w:history="1">
            <w:r w:rsidR="00487F68" w:rsidRPr="006F10E7">
              <w:rPr>
                <w:rStyle w:val="Lienhypertexte"/>
                <w:rFonts w:eastAsia="MS Gothic"/>
                <w:noProof/>
              </w:rPr>
              <w:t>B.III.1. Constat des experts</w:t>
            </w:r>
            <w:r w:rsidR="00487F68">
              <w:rPr>
                <w:noProof/>
                <w:webHidden/>
              </w:rPr>
              <w:tab/>
            </w:r>
            <w:r w:rsidR="00487F68">
              <w:rPr>
                <w:noProof/>
                <w:webHidden/>
              </w:rPr>
              <w:fldChar w:fldCharType="begin"/>
            </w:r>
            <w:r w:rsidR="00487F68">
              <w:rPr>
                <w:noProof/>
                <w:webHidden/>
              </w:rPr>
              <w:instrText xml:space="preserve"> PAGEREF _Toc498638435 \h </w:instrText>
            </w:r>
            <w:r w:rsidR="00487F68">
              <w:rPr>
                <w:noProof/>
                <w:webHidden/>
              </w:rPr>
            </w:r>
            <w:r w:rsidR="00487F68">
              <w:rPr>
                <w:noProof/>
                <w:webHidden/>
              </w:rPr>
              <w:fldChar w:fldCharType="separate"/>
            </w:r>
            <w:r w:rsidR="009375FA">
              <w:rPr>
                <w:noProof/>
                <w:webHidden/>
              </w:rPr>
              <w:t>171</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6" w:history="1">
            <w:r w:rsidR="00487F68" w:rsidRPr="006F10E7">
              <w:rPr>
                <w:rStyle w:val="Lienhypertexte"/>
                <w:rFonts w:eastAsia="MS Gothic"/>
                <w:noProof/>
              </w:rPr>
              <w:t>B.III.2.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_Toc498638436 \h </w:instrText>
            </w:r>
            <w:r w:rsidR="00487F68">
              <w:rPr>
                <w:noProof/>
                <w:webHidden/>
              </w:rPr>
            </w:r>
            <w:r w:rsidR="00487F68">
              <w:rPr>
                <w:noProof/>
                <w:webHidden/>
              </w:rPr>
              <w:fldChar w:fldCharType="separate"/>
            </w:r>
            <w:r w:rsidR="009375FA">
              <w:rPr>
                <w:noProof/>
                <w:webHidden/>
              </w:rPr>
              <w:t>173</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37" w:history="1">
            <w:r w:rsidR="00487F68" w:rsidRPr="006F10E7">
              <w:rPr>
                <w:rStyle w:val="Lienhypertexte"/>
                <w:rFonts w:eastAsia="MS Gothic"/>
                <w:noProof/>
                <w:lang w:eastAsia="fr-FR"/>
              </w:rPr>
              <w:t>B.IV. Site du Niokolo-Koba</w:t>
            </w:r>
            <w:r w:rsidR="00487F68">
              <w:rPr>
                <w:noProof/>
                <w:webHidden/>
              </w:rPr>
              <w:tab/>
            </w:r>
            <w:r w:rsidR="00487F68">
              <w:rPr>
                <w:noProof/>
                <w:webHidden/>
              </w:rPr>
              <w:fldChar w:fldCharType="begin"/>
            </w:r>
            <w:r w:rsidR="00487F68">
              <w:rPr>
                <w:noProof/>
                <w:webHidden/>
              </w:rPr>
              <w:instrText xml:space="preserve"> PAGEREF _Toc498638437 \h </w:instrText>
            </w:r>
            <w:r w:rsidR="00487F68">
              <w:rPr>
                <w:noProof/>
                <w:webHidden/>
              </w:rPr>
            </w:r>
            <w:r w:rsidR="00487F68">
              <w:rPr>
                <w:noProof/>
                <w:webHidden/>
              </w:rPr>
              <w:fldChar w:fldCharType="separate"/>
            </w:r>
            <w:r w:rsidR="009375FA">
              <w:rPr>
                <w:noProof/>
                <w:webHidden/>
              </w:rPr>
              <w:t>178</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8" w:history="1">
            <w:r w:rsidR="00487F68" w:rsidRPr="006F10E7">
              <w:rPr>
                <w:rStyle w:val="Lienhypertexte"/>
                <w:rFonts w:eastAsia="MS Gothic"/>
                <w:noProof/>
              </w:rPr>
              <w:t>B.IV.1. Constat des experts</w:t>
            </w:r>
            <w:r w:rsidR="00487F68">
              <w:rPr>
                <w:noProof/>
                <w:webHidden/>
              </w:rPr>
              <w:tab/>
            </w:r>
            <w:r w:rsidR="00487F68">
              <w:rPr>
                <w:noProof/>
                <w:webHidden/>
              </w:rPr>
              <w:fldChar w:fldCharType="begin"/>
            </w:r>
            <w:r w:rsidR="00487F68">
              <w:rPr>
                <w:noProof/>
                <w:webHidden/>
              </w:rPr>
              <w:instrText xml:space="preserve"> PAGEREF _Toc498638438 \h </w:instrText>
            </w:r>
            <w:r w:rsidR="00487F68">
              <w:rPr>
                <w:noProof/>
                <w:webHidden/>
              </w:rPr>
            </w:r>
            <w:r w:rsidR="00487F68">
              <w:rPr>
                <w:noProof/>
                <w:webHidden/>
              </w:rPr>
              <w:fldChar w:fldCharType="separate"/>
            </w:r>
            <w:r w:rsidR="009375FA">
              <w:rPr>
                <w:noProof/>
                <w:webHidden/>
              </w:rPr>
              <w:t>178</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39" w:history="1">
            <w:r w:rsidR="00487F68" w:rsidRPr="006F10E7">
              <w:rPr>
                <w:rStyle w:val="Lienhypertexte"/>
                <w:rFonts w:eastAsia="MS Gothic"/>
                <w:noProof/>
              </w:rPr>
              <w:t>B.IV.2.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_Toc498638439 \h </w:instrText>
            </w:r>
            <w:r w:rsidR="00487F68">
              <w:rPr>
                <w:noProof/>
                <w:webHidden/>
              </w:rPr>
            </w:r>
            <w:r w:rsidR="00487F68">
              <w:rPr>
                <w:noProof/>
                <w:webHidden/>
              </w:rPr>
              <w:fldChar w:fldCharType="separate"/>
            </w:r>
            <w:r w:rsidR="009375FA">
              <w:rPr>
                <w:noProof/>
                <w:webHidden/>
              </w:rPr>
              <w:t>179</w:t>
            </w:r>
            <w:r w:rsidR="00487F68">
              <w:rPr>
                <w:noProof/>
                <w:webHidden/>
              </w:rPr>
              <w:fldChar w:fldCharType="end"/>
            </w:r>
          </w:hyperlink>
        </w:p>
        <w:p w:rsidR="00487F68" w:rsidRDefault="006470DA">
          <w:pPr>
            <w:pStyle w:val="TM2"/>
            <w:tabs>
              <w:tab w:val="right" w:leader="dot" w:pos="9056"/>
            </w:tabs>
            <w:rPr>
              <w:rFonts w:asciiTheme="minorHAnsi" w:eastAsiaTheme="minorEastAsia" w:hAnsiTheme="minorHAnsi" w:cstheme="minorBidi"/>
              <w:noProof/>
              <w:sz w:val="22"/>
              <w:szCs w:val="22"/>
              <w:lang w:val="fr-SN" w:eastAsia="fr-SN"/>
            </w:rPr>
          </w:pPr>
          <w:hyperlink w:anchor="_Toc498638440" w:history="1">
            <w:r w:rsidR="00487F68" w:rsidRPr="006F10E7">
              <w:rPr>
                <w:rStyle w:val="Lienhypertexte"/>
                <w:rFonts w:eastAsia="MS Gothic"/>
                <w:noProof/>
                <w:lang w:eastAsia="fr-FR"/>
              </w:rPr>
              <w:t>B.V. Bilan des propositions chiffrées pour les quatre zones du projet</w:t>
            </w:r>
            <w:r w:rsidR="00487F68">
              <w:rPr>
                <w:noProof/>
                <w:webHidden/>
              </w:rPr>
              <w:tab/>
            </w:r>
            <w:r w:rsidR="00487F68">
              <w:rPr>
                <w:noProof/>
                <w:webHidden/>
              </w:rPr>
              <w:fldChar w:fldCharType="begin"/>
            </w:r>
            <w:r w:rsidR="00487F68">
              <w:rPr>
                <w:noProof/>
                <w:webHidden/>
              </w:rPr>
              <w:instrText xml:space="preserve"> PAGEREF _Toc498638440 \h </w:instrText>
            </w:r>
            <w:r w:rsidR="00487F68">
              <w:rPr>
                <w:noProof/>
                <w:webHidden/>
              </w:rPr>
            </w:r>
            <w:r w:rsidR="00487F68">
              <w:rPr>
                <w:noProof/>
                <w:webHidden/>
              </w:rPr>
              <w:fldChar w:fldCharType="separate"/>
            </w:r>
            <w:r w:rsidR="009375FA">
              <w:rPr>
                <w:noProof/>
                <w:webHidden/>
              </w:rPr>
              <w:t>183</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41" w:history="1">
            <w:r w:rsidR="00487F68" w:rsidRPr="006F10E7">
              <w:rPr>
                <w:rStyle w:val="Lienhypertexte"/>
                <w:rFonts w:ascii="Century Gothic" w:hAnsi="Century Gothic"/>
                <w:noProof/>
                <w:spacing w:val="-2"/>
              </w:rPr>
              <w:t>Annexe [H].  Rapport d’évaluation principal de la Consultante spécialiste en genre</w:t>
            </w:r>
            <w:r w:rsidR="00487F68">
              <w:rPr>
                <w:noProof/>
                <w:webHidden/>
              </w:rPr>
              <w:tab/>
            </w:r>
            <w:r w:rsidR="00487F68">
              <w:rPr>
                <w:noProof/>
                <w:webHidden/>
              </w:rPr>
              <w:fldChar w:fldCharType="begin"/>
            </w:r>
            <w:r w:rsidR="00487F68">
              <w:rPr>
                <w:noProof/>
                <w:webHidden/>
              </w:rPr>
              <w:instrText xml:space="preserve"> PAGEREF _Toc498638441 \h </w:instrText>
            </w:r>
            <w:r w:rsidR="00487F68">
              <w:rPr>
                <w:noProof/>
                <w:webHidden/>
              </w:rPr>
            </w:r>
            <w:r w:rsidR="00487F68">
              <w:rPr>
                <w:noProof/>
                <w:webHidden/>
              </w:rPr>
              <w:fldChar w:fldCharType="separate"/>
            </w:r>
            <w:r w:rsidR="009375FA">
              <w:rPr>
                <w:noProof/>
                <w:webHidden/>
              </w:rPr>
              <w:t>187</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42" w:history="1">
            <w:r w:rsidR="00487F68" w:rsidRPr="006F10E7">
              <w:rPr>
                <w:rStyle w:val="Lienhypertexte"/>
                <w:rFonts w:ascii="Times New Roman" w:eastAsia="Times New Roman" w:hAnsi="Times New Roman"/>
                <w:noProof/>
                <w:kern w:val="32"/>
                <w:lang w:eastAsia="fr-FR"/>
              </w:rPr>
              <w:t>4.2.</w:t>
            </w:r>
            <w:r w:rsidR="00487F68">
              <w:rPr>
                <w:rFonts w:asciiTheme="minorHAnsi" w:eastAsiaTheme="minorEastAsia" w:hAnsiTheme="minorHAnsi" w:cstheme="minorBidi"/>
                <w:noProof/>
                <w:sz w:val="22"/>
                <w:szCs w:val="22"/>
                <w:lang w:val="fr-SN" w:eastAsia="fr-SN"/>
              </w:rPr>
              <w:tab/>
            </w:r>
            <w:r w:rsidR="00487F68" w:rsidRPr="006F10E7">
              <w:rPr>
                <w:rStyle w:val="Lienhypertexte"/>
                <w:rFonts w:ascii="Times New Roman" w:eastAsia="Times New Roman" w:hAnsi="Times New Roman"/>
                <w:noProof/>
                <w:kern w:val="32"/>
                <w:lang w:eastAsia="fr-FR"/>
              </w:rPr>
              <w:t>Les leçons apprises</w:t>
            </w:r>
            <w:r w:rsidR="00487F68">
              <w:rPr>
                <w:noProof/>
                <w:webHidden/>
              </w:rPr>
              <w:tab/>
            </w:r>
            <w:r w:rsidR="00487F68">
              <w:rPr>
                <w:noProof/>
                <w:webHidden/>
              </w:rPr>
              <w:fldChar w:fldCharType="begin"/>
            </w:r>
            <w:r w:rsidR="00487F68">
              <w:rPr>
                <w:noProof/>
                <w:webHidden/>
              </w:rPr>
              <w:instrText xml:space="preserve"> PAGEREF _Toc498638442 \h </w:instrText>
            </w:r>
            <w:r w:rsidR="00487F68">
              <w:rPr>
                <w:noProof/>
                <w:webHidden/>
              </w:rPr>
            </w:r>
            <w:r w:rsidR="00487F68">
              <w:rPr>
                <w:noProof/>
                <w:webHidden/>
              </w:rPr>
              <w:fldChar w:fldCharType="separate"/>
            </w:r>
            <w:r w:rsidR="009375FA">
              <w:rPr>
                <w:noProof/>
                <w:webHidden/>
              </w:rPr>
              <w:t>195</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43" w:history="1">
            <w:r w:rsidR="00487F68" w:rsidRPr="006F10E7">
              <w:rPr>
                <w:rStyle w:val="Lienhypertexte"/>
                <w:rFonts w:ascii="Century Gothic" w:hAnsi="Century Gothic"/>
                <w:noProof/>
                <w:spacing w:val="-2"/>
              </w:rPr>
              <w:t>Annexe [I]. Modèle d’examen préalable social et environnemental</w:t>
            </w:r>
            <w:r w:rsidR="00487F68">
              <w:rPr>
                <w:noProof/>
                <w:webHidden/>
              </w:rPr>
              <w:tab/>
            </w:r>
            <w:r w:rsidR="00487F68">
              <w:rPr>
                <w:noProof/>
                <w:webHidden/>
              </w:rPr>
              <w:fldChar w:fldCharType="begin"/>
            </w:r>
            <w:r w:rsidR="00487F68">
              <w:rPr>
                <w:noProof/>
                <w:webHidden/>
              </w:rPr>
              <w:instrText xml:space="preserve"> PAGEREF _Toc498638443 \h </w:instrText>
            </w:r>
            <w:r w:rsidR="00487F68">
              <w:rPr>
                <w:noProof/>
                <w:webHidden/>
              </w:rPr>
            </w:r>
            <w:r w:rsidR="00487F68">
              <w:rPr>
                <w:noProof/>
                <w:webHidden/>
              </w:rPr>
              <w:fldChar w:fldCharType="separate"/>
            </w:r>
            <w:r w:rsidR="009375FA">
              <w:rPr>
                <w:noProof/>
                <w:webHidden/>
              </w:rPr>
              <w:t>197</w:t>
            </w:r>
            <w:r w:rsidR="00487F68">
              <w:rPr>
                <w:noProof/>
                <w:webHidden/>
              </w:rPr>
              <w:fldChar w:fldCharType="end"/>
            </w:r>
          </w:hyperlink>
        </w:p>
        <w:p w:rsidR="00487F68" w:rsidRDefault="006470DA">
          <w:pPr>
            <w:pStyle w:val="TM3"/>
            <w:tabs>
              <w:tab w:val="right" w:leader="dot" w:pos="9056"/>
            </w:tabs>
            <w:rPr>
              <w:rFonts w:asciiTheme="minorHAnsi" w:eastAsiaTheme="minorEastAsia" w:hAnsiTheme="minorHAnsi" w:cstheme="minorBidi"/>
              <w:noProof/>
              <w:sz w:val="22"/>
              <w:szCs w:val="22"/>
              <w:lang w:val="fr-SN" w:eastAsia="fr-SN"/>
            </w:rPr>
          </w:pPr>
          <w:hyperlink w:anchor="_Toc498638444" w:history="1">
            <w:r w:rsidR="00487F68" w:rsidRPr="006F10E7">
              <w:rPr>
                <w:rStyle w:val="Lienhypertexte"/>
                <w:rFonts w:ascii="Calibri Light" w:eastAsia="Times New Roman" w:hAnsi="Calibri Light"/>
                <w:noProof/>
              </w:rPr>
              <w:t>Annexe 1 de la PEPSE. Liste de contrôle de l’examen préalable des risques sociaux et environnementaux</w:t>
            </w:r>
            <w:r w:rsidR="00487F68">
              <w:rPr>
                <w:noProof/>
                <w:webHidden/>
              </w:rPr>
              <w:tab/>
            </w:r>
            <w:r w:rsidR="00487F68">
              <w:rPr>
                <w:noProof/>
                <w:webHidden/>
              </w:rPr>
              <w:fldChar w:fldCharType="begin"/>
            </w:r>
            <w:r w:rsidR="00487F68">
              <w:rPr>
                <w:noProof/>
                <w:webHidden/>
              </w:rPr>
              <w:instrText xml:space="preserve"> PAGEREF _Toc498638444 \h </w:instrText>
            </w:r>
            <w:r w:rsidR="00487F68">
              <w:rPr>
                <w:noProof/>
                <w:webHidden/>
              </w:rPr>
            </w:r>
            <w:r w:rsidR="00487F68">
              <w:rPr>
                <w:noProof/>
                <w:webHidden/>
              </w:rPr>
              <w:fldChar w:fldCharType="separate"/>
            </w:r>
            <w:r w:rsidR="009375FA">
              <w:rPr>
                <w:noProof/>
                <w:webHidden/>
              </w:rPr>
              <w:t>202</w:t>
            </w:r>
            <w:r w:rsidR="00487F68">
              <w:rPr>
                <w:noProof/>
                <w:webHidden/>
              </w:rPr>
              <w:fldChar w:fldCharType="end"/>
            </w:r>
          </w:hyperlink>
        </w:p>
        <w:p w:rsidR="00487F68" w:rsidRDefault="006470DA">
          <w:pPr>
            <w:pStyle w:val="TM1"/>
            <w:rPr>
              <w:rFonts w:asciiTheme="minorHAnsi" w:eastAsiaTheme="minorEastAsia" w:hAnsiTheme="minorHAnsi" w:cstheme="minorBidi"/>
              <w:noProof/>
              <w:sz w:val="22"/>
              <w:szCs w:val="22"/>
              <w:lang w:val="fr-SN" w:eastAsia="fr-SN"/>
            </w:rPr>
          </w:pPr>
          <w:hyperlink w:anchor="_Toc498638445" w:history="1">
            <w:r w:rsidR="00487F68" w:rsidRPr="006F10E7">
              <w:rPr>
                <w:rStyle w:val="Lienhypertexte"/>
                <w:rFonts w:ascii="Century Gothic" w:hAnsi="Century Gothic"/>
                <w:noProof/>
                <w:spacing w:val="-2"/>
              </w:rPr>
              <w:t>Annexe [J]. Lettres de cofinancement</w:t>
            </w:r>
            <w:r w:rsidR="00487F68">
              <w:rPr>
                <w:noProof/>
                <w:webHidden/>
              </w:rPr>
              <w:tab/>
            </w:r>
            <w:r w:rsidR="00487F68">
              <w:rPr>
                <w:noProof/>
                <w:webHidden/>
              </w:rPr>
              <w:fldChar w:fldCharType="begin"/>
            </w:r>
            <w:r w:rsidR="00487F68">
              <w:rPr>
                <w:noProof/>
                <w:webHidden/>
              </w:rPr>
              <w:instrText xml:space="preserve"> PAGEREF _Toc498638445 \h </w:instrText>
            </w:r>
            <w:r w:rsidR="00487F68">
              <w:rPr>
                <w:noProof/>
                <w:webHidden/>
              </w:rPr>
            </w:r>
            <w:r w:rsidR="00487F68">
              <w:rPr>
                <w:noProof/>
                <w:webHidden/>
              </w:rPr>
              <w:fldChar w:fldCharType="separate"/>
            </w:r>
            <w:r w:rsidR="009375FA">
              <w:rPr>
                <w:noProof/>
                <w:webHidden/>
              </w:rPr>
              <w:t>206</w:t>
            </w:r>
            <w:r w:rsidR="00487F68">
              <w:rPr>
                <w:noProof/>
                <w:webHidden/>
              </w:rPr>
              <w:fldChar w:fldCharType="end"/>
            </w:r>
          </w:hyperlink>
        </w:p>
        <w:p w:rsidR="00E42C74" w:rsidRDefault="00E42C74">
          <w:r>
            <w:fldChar w:fldCharType="end"/>
          </w:r>
        </w:p>
      </w:sdtContent>
    </w:sdt>
    <w:p w:rsidR="00743B0B" w:rsidRPr="00743B0B" w:rsidRDefault="00743B0B" w:rsidP="00743B0B">
      <w:pPr>
        <w:rPr>
          <w:lang w:val="en-US"/>
        </w:rPr>
      </w:pPr>
    </w:p>
    <w:p w:rsidR="00743B0B" w:rsidRPr="00743B0B" w:rsidRDefault="00743B0B" w:rsidP="00743B0B">
      <w:pPr>
        <w:rPr>
          <w:lang w:val="en-US"/>
        </w:rPr>
      </w:pPr>
    </w:p>
    <w:p w:rsidR="00743B0B" w:rsidRPr="00743B0B" w:rsidRDefault="00743B0B" w:rsidP="00743B0B">
      <w:pPr>
        <w:rPr>
          <w:lang w:val="en-US"/>
        </w:rPr>
      </w:pPr>
    </w:p>
    <w:p w:rsidR="00743B0B" w:rsidRPr="00743B0B" w:rsidRDefault="00743B0B" w:rsidP="00743B0B">
      <w:pPr>
        <w:rPr>
          <w:lang w:val="en-US"/>
        </w:r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spacing w:after="100"/>
        <w:rPr>
          <w:rFonts w:ascii="Times New Roman" w:hAnsi="Times New Roman"/>
          <w:b/>
          <w:sz w:val="32"/>
        </w:rPr>
      </w:pPr>
      <w:r w:rsidRPr="00743B0B">
        <w:rPr>
          <w:rFonts w:ascii="Times New Roman" w:hAnsi="Times New Roman"/>
          <w:b/>
          <w:sz w:val="32"/>
        </w:rPr>
        <w:t>Introduction</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La thématique des financements </w:t>
      </w:r>
      <w:r w:rsidR="00311A1A">
        <w:rPr>
          <w:rFonts w:ascii="Times New Roman" w:hAnsi="Times New Roman"/>
          <w:sz w:val="22"/>
          <w:szCs w:val="22"/>
        </w:rPr>
        <w:t>novateur</w:t>
      </w:r>
      <w:r w:rsidRPr="00743B0B">
        <w:rPr>
          <w:rFonts w:ascii="Times New Roman" w:hAnsi="Times New Roman"/>
          <w:sz w:val="22"/>
          <w:szCs w:val="22"/>
        </w:rPr>
        <w:t xml:space="preserve">s émerge dans les années 1990, associée à la thématique du </w:t>
      </w:r>
      <w:r w:rsidRPr="00743B0B">
        <w:rPr>
          <w:rFonts w:ascii="Times New Roman" w:hAnsi="Times New Roman"/>
          <w:b/>
          <w:sz w:val="22"/>
          <w:szCs w:val="22"/>
        </w:rPr>
        <w:t>financement des biens publics mondiaux</w:t>
      </w:r>
      <w:r w:rsidRPr="00743B0B">
        <w:rPr>
          <w:rFonts w:ascii="Times New Roman" w:hAnsi="Times New Roman"/>
          <w:sz w:val="22"/>
          <w:szCs w:val="22"/>
        </w:rPr>
        <w:t xml:space="preserve"> (à la production desquels entendent contribuer les accords multilatéraux sur l’</w:t>
      </w:r>
      <w:r w:rsidRPr="00743B0B">
        <w:rPr>
          <w:rFonts w:ascii="Times New Roman" w:hAnsi="Times New Roman"/>
          <w:b/>
          <w:sz w:val="22"/>
          <w:szCs w:val="22"/>
        </w:rPr>
        <w:t>environnement</w:t>
      </w:r>
      <w:r w:rsidRPr="00743B0B">
        <w:rPr>
          <w:rFonts w:ascii="Times New Roman" w:hAnsi="Times New Roman"/>
          <w:sz w:val="22"/>
          <w:szCs w:val="22"/>
        </w:rPr>
        <w:t xml:space="preserve">) sur fonds de crise de la dette publique au Sud puis au Nord, ainsi qu’à la thématique du </w:t>
      </w:r>
      <w:r w:rsidRPr="00743B0B">
        <w:rPr>
          <w:rFonts w:ascii="Times New Roman" w:hAnsi="Times New Roman"/>
          <w:b/>
          <w:sz w:val="22"/>
          <w:szCs w:val="22"/>
        </w:rPr>
        <w:t>financement du développement</w:t>
      </w:r>
      <w:r w:rsidRPr="00743B0B">
        <w:rPr>
          <w:rFonts w:ascii="Times New Roman" w:hAnsi="Times New Roman"/>
          <w:sz w:val="22"/>
          <w:szCs w:val="22"/>
        </w:rPr>
        <w:t xml:space="preserve"> (Objectifs du Millénaire pour le Développement (OMD) puis Objectifs du Développement Durable (ODD)). Ce concept intervient dans un contexte de « fatigue » de l’aide publique au développement dont l’efficacité est questionnée.</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Destinés au financement du développement ou de l’environnement (lutte contre les changements climatiques, l’érosion de la biodiversité, ou la désertification), les financements </w:t>
      </w:r>
      <w:r w:rsidR="00311A1A">
        <w:rPr>
          <w:rFonts w:ascii="Times New Roman" w:hAnsi="Times New Roman"/>
          <w:sz w:val="22"/>
          <w:szCs w:val="22"/>
        </w:rPr>
        <w:t>novateur</w:t>
      </w:r>
      <w:r w:rsidRPr="00743B0B">
        <w:rPr>
          <w:rFonts w:ascii="Times New Roman" w:hAnsi="Times New Roman"/>
          <w:sz w:val="22"/>
          <w:szCs w:val="22"/>
        </w:rPr>
        <w:t xml:space="preserve">s doivent contribuer à réduire l’écart croissant </w:t>
      </w:r>
      <w:r w:rsidRPr="00743B0B">
        <w:rPr>
          <w:rFonts w:ascii="Times New Roman" w:hAnsi="Times New Roman"/>
          <w:b/>
          <w:sz w:val="22"/>
          <w:szCs w:val="22"/>
        </w:rPr>
        <w:t xml:space="preserve">entre des besoins nationaux en expansion </w:t>
      </w:r>
      <w:r w:rsidRPr="00743B0B">
        <w:rPr>
          <w:rFonts w:ascii="Times New Roman" w:hAnsi="Times New Roman"/>
          <w:sz w:val="22"/>
          <w:szCs w:val="22"/>
        </w:rPr>
        <w:t xml:space="preserve">pour la fourniture de biens publics à différentes échelles et une </w:t>
      </w:r>
      <w:r w:rsidRPr="00743B0B">
        <w:rPr>
          <w:rFonts w:ascii="Times New Roman" w:hAnsi="Times New Roman"/>
          <w:b/>
          <w:sz w:val="22"/>
          <w:szCs w:val="22"/>
        </w:rPr>
        <w:t>capacité de financement public contrainte</w:t>
      </w:r>
      <w:r w:rsidRPr="00743B0B">
        <w:rPr>
          <w:rFonts w:ascii="Times New Roman" w:hAnsi="Times New Roman"/>
          <w:sz w:val="22"/>
          <w:szCs w:val="22"/>
        </w:rPr>
        <w:t xml:space="preserve"> par les politiques de désendettement et d’austérité au Nord comme au Sud.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Illustrée par le passage des OMD aux ODD ou l’inclusion de critères sociaux et environnementaux dans les politiques publiques et les investissements privés, la tendance est à l’</w:t>
      </w:r>
      <w:r w:rsidRPr="00743B0B">
        <w:rPr>
          <w:rFonts w:ascii="Times New Roman" w:hAnsi="Times New Roman"/>
          <w:b/>
          <w:sz w:val="22"/>
          <w:szCs w:val="22"/>
        </w:rPr>
        <w:t>intégration des externalités environnementales, des droits humains et du développement</w:t>
      </w:r>
      <w:r w:rsidRPr="00743B0B">
        <w:rPr>
          <w:rFonts w:ascii="Times New Roman" w:hAnsi="Times New Roman"/>
          <w:sz w:val="22"/>
          <w:szCs w:val="22"/>
        </w:rPr>
        <w:t xml:space="preserve"> au travers de la reconnaissance des bénéfices que l’homme retire de ses interactions avec la nature (services écosystémiques) et de ceux que les usagers des ressources peuvent apporter à d’autres en contribuant intentionnellement au maintien, à la restauration ou au renforcement des fonctions écologiques des écosystèmes (services environnementaux). </w:t>
      </w:r>
    </w:p>
    <w:p w:rsidR="00743B0B" w:rsidRPr="00743B0B" w:rsidRDefault="00743B0B" w:rsidP="00743B0B">
      <w:pPr>
        <w:shd w:val="clear" w:color="auto" w:fill="F2F2F2"/>
        <w:spacing w:after="100"/>
        <w:rPr>
          <w:rFonts w:ascii="Times New Roman" w:hAnsi="Times New Roman"/>
          <w:sz w:val="22"/>
          <w:szCs w:val="22"/>
        </w:rPr>
      </w:pPr>
      <w:r w:rsidRPr="00743B0B">
        <w:rPr>
          <w:rFonts w:ascii="Times New Roman" w:hAnsi="Times New Roman"/>
          <w:sz w:val="22"/>
          <w:szCs w:val="22"/>
        </w:rPr>
        <w:t xml:space="preserve">Il existe, depuis 2006, un </w:t>
      </w:r>
      <w:hyperlink r:id="rId33" w:history="1">
        <w:r w:rsidRPr="00743B0B">
          <w:rPr>
            <w:rFonts w:ascii="Times New Roman" w:hAnsi="Times New Roman"/>
            <w:color w:val="0000FF"/>
            <w:sz w:val="22"/>
            <w:u w:val="single"/>
          </w:rPr>
          <w:t xml:space="preserve">Groupe pilote sur les financements </w:t>
        </w:r>
        <w:r w:rsidR="00311A1A">
          <w:rPr>
            <w:rFonts w:ascii="Times New Roman" w:hAnsi="Times New Roman"/>
            <w:color w:val="0000FF"/>
            <w:sz w:val="22"/>
            <w:u w:val="single"/>
          </w:rPr>
          <w:t>novateur</w:t>
        </w:r>
        <w:r w:rsidRPr="00743B0B">
          <w:rPr>
            <w:rFonts w:ascii="Times New Roman" w:hAnsi="Times New Roman"/>
            <w:color w:val="0000FF"/>
            <w:sz w:val="22"/>
            <w:u w:val="single"/>
          </w:rPr>
          <w:t>s du développement</w:t>
        </w:r>
      </w:hyperlink>
      <w:r w:rsidRPr="00743B0B">
        <w:rPr>
          <w:rFonts w:ascii="Times New Roman" w:hAnsi="Times New Roman"/>
          <w:sz w:val="22"/>
          <w:szCs w:val="22"/>
        </w:rPr>
        <w:t xml:space="preserve"> qui regroupe aujourd’hui 66 pays, de nombreuses organisations internationales et non gouvernementales. Le Sénégal en a assuré la présidence de septembre 2007 à avril 2008 et a organisé la quatrième réunion plénière du Groupe pilote les 22 et 23 avril 2008. L’objectif est de promouvoir de tels financements (il propose un menu d’options), de favoriser la mobilisation internationale autour de ces enjeux et d’encourager la mise en place de projets pilote. Il a publié une </w:t>
      </w:r>
      <w:hyperlink r:id="rId34" w:history="1">
        <w:r w:rsidRPr="00743B0B">
          <w:rPr>
            <w:rFonts w:ascii="Times New Roman" w:hAnsi="Times New Roman"/>
            <w:color w:val="0000FF"/>
            <w:sz w:val="22"/>
            <w:u w:val="single"/>
          </w:rPr>
          <w:t>bibliographie indicative</w:t>
        </w:r>
      </w:hyperlink>
      <w:r w:rsidRPr="00743B0B">
        <w:rPr>
          <w:rFonts w:ascii="Times New Roman" w:hAnsi="Times New Roman"/>
          <w:sz w:val="22"/>
          <w:szCs w:val="22"/>
        </w:rPr>
        <w:t xml:space="preserve"> et six </w:t>
      </w:r>
      <w:hyperlink r:id="rId35" w:history="1">
        <w:r w:rsidRPr="00743B0B">
          <w:rPr>
            <w:rFonts w:ascii="Times New Roman" w:hAnsi="Times New Roman"/>
            <w:color w:val="0000FF"/>
            <w:sz w:val="22"/>
            <w:u w:val="single"/>
          </w:rPr>
          <w:t>rapports d’expertise</w:t>
        </w:r>
      </w:hyperlink>
      <w:r w:rsidRPr="00743B0B">
        <w:rPr>
          <w:rFonts w:ascii="Times New Roman" w:hAnsi="Times New Roman"/>
          <w:sz w:val="22"/>
          <w:szCs w:val="22"/>
        </w:rPr>
        <w:t>.</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Hors des circuits traditionnels de l’affectation budgétaire du produit de la fiscalité générale et de la philanthropie privée, qui sont les deux leviers traditionnels du financement des biens publi</w:t>
      </w:r>
      <w:r w:rsidR="00311A1A">
        <w:rPr>
          <w:rFonts w:ascii="Times New Roman" w:hAnsi="Times New Roman"/>
          <w:sz w:val="22"/>
          <w:szCs w:val="22"/>
        </w:rPr>
        <w:t>cs, les financements qualifiés comme novateur</w:t>
      </w:r>
      <w:r w:rsidRPr="00743B0B">
        <w:rPr>
          <w:rFonts w:ascii="Times New Roman" w:hAnsi="Times New Roman"/>
          <w:sz w:val="22"/>
          <w:szCs w:val="22"/>
        </w:rPr>
        <w:t xml:space="preserve">s désignent de manière non exclusive de nouvelles </w:t>
      </w:r>
      <w:r w:rsidRPr="00743B0B">
        <w:rPr>
          <w:rFonts w:ascii="Times New Roman" w:hAnsi="Times New Roman"/>
          <w:b/>
          <w:sz w:val="22"/>
          <w:szCs w:val="22"/>
        </w:rPr>
        <w:t>sources de revenus</w:t>
      </w:r>
      <w:r w:rsidRPr="00743B0B">
        <w:rPr>
          <w:rFonts w:ascii="Times New Roman" w:hAnsi="Times New Roman"/>
          <w:sz w:val="22"/>
          <w:szCs w:val="22"/>
        </w:rPr>
        <w:t xml:space="preserve"> d’origine publique ou privée, une </w:t>
      </w:r>
      <w:r w:rsidRPr="00743B0B">
        <w:rPr>
          <w:rFonts w:ascii="Times New Roman" w:hAnsi="Times New Roman"/>
          <w:b/>
          <w:sz w:val="22"/>
          <w:szCs w:val="22"/>
        </w:rPr>
        <w:t>manière d’utiliser des financements publics avec un effet de levier</w:t>
      </w:r>
      <w:r w:rsidRPr="00743B0B">
        <w:rPr>
          <w:rFonts w:ascii="Times New Roman" w:hAnsi="Times New Roman"/>
          <w:sz w:val="22"/>
          <w:szCs w:val="22"/>
        </w:rPr>
        <w:t xml:space="preserve"> sur l’investissement d’autres acteurs publics ou privés, ou </w:t>
      </w:r>
      <w:r w:rsidRPr="00743B0B">
        <w:rPr>
          <w:rFonts w:ascii="Times New Roman" w:hAnsi="Times New Roman"/>
          <w:b/>
          <w:sz w:val="22"/>
          <w:szCs w:val="22"/>
        </w:rPr>
        <w:t>l’intégration d’externalités dans les investissements publics ou privés</w:t>
      </w:r>
      <w:r w:rsidRPr="00743B0B">
        <w:rPr>
          <w:rFonts w:ascii="Times New Roman" w:hAnsi="Times New Roman"/>
          <w:sz w:val="22"/>
          <w:szCs w:val="22"/>
        </w:rPr>
        <w:t>.</w:t>
      </w:r>
    </w:p>
    <w:p w:rsidR="00743B0B" w:rsidRPr="00743B0B" w:rsidRDefault="00743B0B" w:rsidP="00743B0B">
      <w:pPr>
        <w:spacing w:after="100"/>
        <w:rPr>
          <w:rFonts w:ascii="Times New Roman" w:hAnsi="Times New Roman"/>
          <w:sz w:val="22"/>
          <w:szCs w:val="22"/>
        </w:rPr>
      </w:pPr>
    </w:p>
    <w:p w:rsidR="00743B0B" w:rsidRPr="00743B0B" w:rsidRDefault="00743B0B" w:rsidP="00743B0B">
      <w:pPr>
        <w:pBdr>
          <w:top w:val="single" w:sz="4" w:space="1" w:color="auto"/>
          <w:left w:val="single" w:sz="4" w:space="4" w:color="auto"/>
          <w:bottom w:val="single" w:sz="4" w:space="1" w:color="auto"/>
          <w:right w:val="single" w:sz="4" w:space="4" w:color="auto"/>
        </w:pBdr>
        <w:spacing w:after="100"/>
        <w:rPr>
          <w:rFonts w:ascii="Times New Roman" w:hAnsi="Times New Roman"/>
          <w:sz w:val="22"/>
          <w:szCs w:val="22"/>
        </w:rPr>
      </w:pPr>
      <w:r w:rsidRPr="00743B0B">
        <w:rPr>
          <w:rFonts w:ascii="Times New Roman" w:hAnsi="Times New Roman"/>
          <w:sz w:val="22"/>
          <w:szCs w:val="22"/>
        </w:rPr>
        <w:t>Dans le ca</w:t>
      </w:r>
      <w:r w:rsidR="00BF5225">
        <w:rPr>
          <w:rFonts w:ascii="Times New Roman" w:hAnsi="Times New Roman"/>
          <w:sz w:val="22"/>
          <w:szCs w:val="22"/>
        </w:rPr>
        <w:t>dre du Projet de p</w:t>
      </w:r>
      <w:r w:rsidRPr="00743B0B">
        <w:rPr>
          <w:rFonts w:ascii="Times New Roman" w:hAnsi="Times New Roman"/>
          <w:sz w:val="22"/>
          <w:szCs w:val="22"/>
        </w:rPr>
        <w:t xml:space="preserve">romotion de </w:t>
      </w:r>
      <w:r w:rsidR="00BF5225">
        <w:rPr>
          <w:rFonts w:ascii="Times New Roman" w:hAnsi="Times New Roman"/>
          <w:sz w:val="22"/>
          <w:szCs w:val="22"/>
        </w:rPr>
        <w:t>finance novatrice et d’adaptation c</w:t>
      </w:r>
      <w:r w:rsidRPr="00743B0B">
        <w:rPr>
          <w:rFonts w:ascii="Times New Roman" w:hAnsi="Times New Roman"/>
          <w:sz w:val="22"/>
          <w:szCs w:val="22"/>
        </w:rPr>
        <w:t>ommuna</w:t>
      </w:r>
      <w:r w:rsidR="00BF5225">
        <w:rPr>
          <w:rFonts w:ascii="Times New Roman" w:hAnsi="Times New Roman"/>
          <w:sz w:val="22"/>
          <w:szCs w:val="22"/>
        </w:rPr>
        <w:t>utaire des communes autour des réserves naturelles c</w:t>
      </w:r>
      <w:r w:rsidRPr="00743B0B">
        <w:rPr>
          <w:rFonts w:ascii="Times New Roman" w:hAnsi="Times New Roman"/>
          <w:sz w:val="22"/>
          <w:szCs w:val="22"/>
        </w:rPr>
        <w:t>ommunautaires (</w:t>
      </w:r>
      <w:r w:rsidR="00E80173">
        <w:rPr>
          <w:rFonts w:ascii="Times New Roman" w:hAnsi="Times New Roman"/>
          <w:sz w:val="22"/>
          <w:szCs w:val="22"/>
        </w:rPr>
        <w:t>PFNAC</w:t>
      </w:r>
      <w:r w:rsidRPr="00743B0B">
        <w:rPr>
          <w:rFonts w:ascii="Times New Roman" w:hAnsi="Times New Roman"/>
          <w:sz w:val="22"/>
          <w:szCs w:val="22"/>
        </w:rPr>
        <w:t xml:space="preserve">), le besoin en financement </w:t>
      </w:r>
      <w:r w:rsidR="00311A1A">
        <w:rPr>
          <w:rFonts w:ascii="Times New Roman" w:hAnsi="Times New Roman"/>
          <w:sz w:val="22"/>
          <w:szCs w:val="22"/>
        </w:rPr>
        <w:t>novateur</w:t>
      </w:r>
      <w:r w:rsidRPr="00743B0B">
        <w:rPr>
          <w:rFonts w:ascii="Times New Roman" w:hAnsi="Times New Roman"/>
          <w:sz w:val="22"/>
          <w:szCs w:val="22"/>
        </w:rPr>
        <w:t xml:space="preserve"> étant </w:t>
      </w:r>
      <w:r w:rsidRPr="00B0195E">
        <w:rPr>
          <w:rFonts w:ascii="Times New Roman" w:hAnsi="Times New Roman"/>
          <w:sz w:val="22"/>
          <w:szCs w:val="22"/>
        </w:rPr>
        <w:t>lié au soucis de pérennisation</w:t>
      </w:r>
      <w:r w:rsidRPr="00743B0B">
        <w:rPr>
          <w:rFonts w:ascii="Times New Roman" w:hAnsi="Times New Roman"/>
          <w:sz w:val="22"/>
          <w:szCs w:val="22"/>
        </w:rPr>
        <w:t xml:space="preserve"> des RNC</w:t>
      </w:r>
      <w:r w:rsidR="002575A2">
        <w:rPr>
          <w:rFonts w:ascii="Times New Roman" w:hAnsi="Times New Roman"/>
          <w:sz w:val="22"/>
          <w:szCs w:val="22"/>
        </w:rPr>
        <w:t> :</w:t>
      </w:r>
      <w:r w:rsidRPr="00743B0B">
        <w:rPr>
          <w:rFonts w:ascii="Times New Roman" w:hAnsi="Times New Roman"/>
          <w:sz w:val="22"/>
          <w:szCs w:val="22"/>
        </w:rPr>
        <w:t xml:space="preserve"> </w:t>
      </w:r>
      <w:r w:rsidRPr="00743B0B">
        <w:rPr>
          <w:rFonts w:ascii="Times New Roman" w:hAnsi="Times New Roman"/>
          <w:b/>
          <w:sz w:val="22"/>
          <w:szCs w:val="22"/>
        </w:rPr>
        <w:t>comment générer des ressources suffisantes pour entretenir l’aménagement et la gestion des RNC ?</w:t>
      </w:r>
    </w:p>
    <w:p w:rsidR="00743B0B" w:rsidRPr="00743B0B" w:rsidRDefault="00743B0B" w:rsidP="00743B0B">
      <w:pPr>
        <w:pBdr>
          <w:top w:val="single" w:sz="4" w:space="1" w:color="auto"/>
          <w:left w:val="single" w:sz="4" w:space="4" w:color="auto"/>
          <w:bottom w:val="single" w:sz="4" w:space="1" w:color="auto"/>
          <w:right w:val="single" w:sz="4" w:space="4" w:color="auto"/>
        </w:pBdr>
        <w:spacing w:after="100"/>
        <w:rPr>
          <w:rFonts w:ascii="Times New Roman" w:hAnsi="Times New Roman"/>
          <w:sz w:val="22"/>
          <w:szCs w:val="22"/>
        </w:rPr>
      </w:pPr>
      <w:r w:rsidRPr="00743B0B">
        <w:rPr>
          <w:rFonts w:ascii="Times New Roman" w:hAnsi="Times New Roman"/>
          <w:sz w:val="22"/>
          <w:szCs w:val="22"/>
        </w:rPr>
        <w:t>Ainsi ce rapport vise à donner des éléments de réponse à la question suivante</w:t>
      </w:r>
      <w:r w:rsidR="002575A2">
        <w:rPr>
          <w:rFonts w:ascii="Times New Roman" w:hAnsi="Times New Roman"/>
          <w:sz w:val="22"/>
          <w:szCs w:val="22"/>
        </w:rPr>
        <w:t> :</w:t>
      </w:r>
      <w:r w:rsidRPr="00743B0B">
        <w:rPr>
          <w:rFonts w:ascii="Times New Roman" w:hAnsi="Times New Roman"/>
          <w:sz w:val="22"/>
          <w:szCs w:val="22"/>
        </w:rPr>
        <w:t xml:space="preserve"> </w:t>
      </w:r>
      <w:r w:rsidR="005F4017">
        <w:rPr>
          <w:rFonts w:ascii="Times New Roman" w:hAnsi="Times New Roman"/>
          <w:b/>
          <w:sz w:val="22"/>
          <w:szCs w:val="22"/>
        </w:rPr>
        <w:t>q</w:t>
      </w:r>
      <w:r w:rsidRPr="00743B0B">
        <w:rPr>
          <w:rFonts w:ascii="Times New Roman" w:hAnsi="Times New Roman"/>
          <w:b/>
          <w:sz w:val="22"/>
          <w:szCs w:val="22"/>
        </w:rPr>
        <w:t xml:space="preserve">uels mécanismes de financement </w:t>
      </w:r>
      <w:r w:rsidR="00311A1A">
        <w:rPr>
          <w:rFonts w:ascii="Times New Roman" w:hAnsi="Times New Roman"/>
          <w:b/>
          <w:sz w:val="22"/>
          <w:szCs w:val="22"/>
        </w:rPr>
        <w:t>novateur</w:t>
      </w:r>
      <w:r w:rsidRPr="00743B0B">
        <w:rPr>
          <w:rFonts w:ascii="Times New Roman" w:hAnsi="Times New Roman"/>
          <w:b/>
          <w:sz w:val="22"/>
          <w:szCs w:val="22"/>
        </w:rPr>
        <w:t xml:space="preserve"> expérimenter dans le cadre du </w:t>
      </w:r>
      <w:r w:rsidR="00E80173">
        <w:rPr>
          <w:rFonts w:ascii="Times New Roman" w:hAnsi="Times New Roman"/>
          <w:b/>
          <w:sz w:val="22"/>
          <w:szCs w:val="22"/>
        </w:rPr>
        <w:t>PFNAC</w:t>
      </w:r>
      <w:r w:rsidRPr="00743B0B">
        <w:rPr>
          <w:rFonts w:ascii="Times New Roman" w:hAnsi="Times New Roman"/>
          <w:b/>
          <w:sz w:val="22"/>
          <w:szCs w:val="22"/>
        </w:rPr>
        <w:t>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L’objectif de sauvegarde de la biodiversité dans les aires protégées (AP) n’est qu’un des leviers mis en avant par les Parties à la Convention pour la Diversité Biologique (CDB) dans le « Plan stratégique pour la diversité biologique 2011-2020 » (Objectifs</w:t>
      </w:r>
      <w:r w:rsidR="00B26A00">
        <w:rPr>
          <w:rFonts w:ascii="Times New Roman" w:hAnsi="Times New Roman"/>
          <w:sz w:val="22"/>
          <w:szCs w:val="22"/>
        </w:rPr>
        <w:t xml:space="preserve"> d’Ai</w:t>
      </w:r>
      <w:r w:rsidRPr="00743B0B">
        <w:rPr>
          <w:rFonts w:ascii="Times New Roman" w:hAnsi="Times New Roman"/>
          <w:sz w:val="22"/>
          <w:szCs w:val="22"/>
        </w:rPr>
        <w:t>chi) aux côtés de la réduction des pressions directes sur les habitats et les ressources et de la restauration des milieux. Dans l’exercice d’évaluation des besoins financiers au fondement de la Stratégie de mobilisation de ressources (Objectif 20) ceux des AP relèvent de la couverture des coûts d’investissement (important en amont de sa création ou de son extension), ils décroissent ensuite rapidement) et des coûts de fonctionnement (ressources humaines et matériel pour assurer la gestion</w:t>
      </w:r>
      <w:r w:rsidR="002575A2">
        <w:rPr>
          <w:rFonts w:ascii="Times New Roman" w:hAnsi="Times New Roman"/>
          <w:sz w:val="22"/>
          <w:szCs w:val="22"/>
        </w:rPr>
        <w:t> :</w:t>
      </w:r>
      <w:r w:rsidRPr="00743B0B">
        <w:rPr>
          <w:rFonts w:ascii="Times New Roman" w:hAnsi="Times New Roman"/>
          <w:sz w:val="22"/>
          <w:szCs w:val="22"/>
        </w:rPr>
        <w:t xml:space="preserve"> surveillance, actualisation des inventaires, programmes de recherche, accueil de visiteurs, éducation à l’environnement, relations avec populations locales).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Si le salaire des personnels nationaux de droit public est généralement la seule dépense couverte par le budget national dans les pays en développement, l’aide projet (bailleurs bi et multilatéraux, fondations) se concentre sur les dépenses d’investissement en amont mais n’est pas adaptée pour couvrir des coûts récurrents à long terme nécessaires pour que l’AP réalise ses missions. Aussi l’aide projet s’est orientée massivement ces dernières décennies vers l’appui à la création et la dotation de </w:t>
      </w:r>
      <w:r w:rsidRPr="00743B0B">
        <w:rPr>
          <w:rFonts w:ascii="Times New Roman" w:hAnsi="Times New Roman"/>
          <w:b/>
          <w:sz w:val="22"/>
          <w:szCs w:val="22"/>
        </w:rPr>
        <w:t>fonds fiduciaires pour la conservation</w:t>
      </w:r>
      <w:r w:rsidRPr="00743B0B">
        <w:rPr>
          <w:rFonts w:ascii="Times New Roman" w:hAnsi="Times New Roman"/>
          <w:sz w:val="22"/>
          <w:szCs w:val="22"/>
        </w:rPr>
        <w:t xml:space="preserve"> (plus de 50 établis dans le monde, une quinzaine en Afrique) répondant à des standards internationaux de gestion fiduciaire et dotées d’un conseil d’administration multipartite ayant pour mission première de contribuer à couvrir les coûts de fonctionnement de l’AP mais aussi de mutualiser une diversité de sources de financement publics et privées pouvant être utilisées sur des guichets différents adaptés aux besoins de financement des AP, de financement de leurs missions et de leur extension.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Ils sont principalement soutenus et capitalisés par des subventions de grands bailleurs de fonds internationaux au rang desquels le FEM, l’USAID, le BMZ (KfW/GIZ), et le FFEM/AFD, d’ONG internationales comme le WWF et Conservation International et des fondations privées. En dehors de ces donations « directes », d’autres instruments financiers alimentent les fonds fiduciaires, comme la conversion de dettes (échanges dette/nature), les marchés de compensation du carbone et les paiements des services écosystémiques, etc. Si l’on ajoute les dons individuel</w:t>
      </w:r>
      <w:r w:rsidR="003B7D35">
        <w:rPr>
          <w:rFonts w:ascii="Times New Roman" w:hAnsi="Times New Roman"/>
          <w:sz w:val="22"/>
          <w:szCs w:val="22"/>
        </w:rPr>
        <w:t>s et d’entreprises, plus de 810 </w:t>
      </w:r>
      <w:r w:rsidRPr="00743B0B">
        <w:rPr>
          <w:rFonts w:ascii="Times New Roman" w:hAnsi="Times New Roman"/>
          <w:sz w:val="22"/>
          <w:szCs w:val="22"/>
        </w:rPr>
        <w:t>millions de dollars US seraient actuellement gérés par des FFC.</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De par les garanties qu’ils offrent en matière d’indépendance, les fonds fiduciaires pour la conservation occupent une </w:t>
      </w:r>
      <w:r w:rsidRPr="00743B0B">
        <w:rPr>
          <w:rFonts w:ascii="Times New Roman" w:hAnsi="Times New Roman"/>
          <w:b/>
          <w:sz w:val="22"/>
          <w:szCs w:val="22"/>
        </w:rPr>
        <w:t xml:space="preserve">place centrale dans l’opérationnalisation de nombre de sources ou mécanismes de financement identifiés comme </w:t>
      </w:r>
      <w:r w:rsidR="00311A1A">
        <w:rPr>
          <w:rFonts w:ascii="Times New Roman" w:hAnsi="Times New Roman"/>
          <w:b/>
          <w:sz w:val="22"/>
          <w:szCs w:val="22"/>
        </w:rPr>
        <w:t>novateur</w:t>
      </w:r>
      <w:r w:rsidRPr="00743B0B">
        <w:rPr>
          <w:rFonts w:ascii="Times New Roman" w:hAnsi="Times New Roman"/>
          <w:b/>
          <w:sz w:val="22"/>
          <w:szCs w:val="22"/>
        </w:rPr>
        <w:t xml:space="preserve">s </w:t>
      </w:r>
      <w:r w:rsidRPr="00743B0B">
        <w:rPr>
          <w:rFonts w:ascii="Times New Roman" w:hAnsi="Times New Roman"/>
          <w:sz w:val="22"/>
          <w:szCs w:val="22"/>
        </w:rPr>
        <w:t xml:space="preserve">pour la biodiversité en générale et pour les aires protégées en particulier.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En Afrique, les FFC créés avant 2002 se situent dans des pays anglophones (à l’exception de Tany Meva à Madagascar). Aujourd’hui, on dénombre une quinzaine de FFC effectivement établis sur le continent (et 5 à 6 en cours de création), réunis au sein du réseau CAFE (Consortium Africain des Fonds Environnementaux), créé en septembre 2011 pour renforcer leur efficacité par l’échange d’expériences et de bonnes pratiques.</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Une part importante des mécanismes de financement </w:t>
      </w:r>
      <w:r w:rsidR="00311A1A">
        <w:rPr>
          <w:rFonts w:ascii="Times New Roman" w:hAnsi="Times New Roman"/>
          <w:sz w:val="22"/>
          <w:szCs w:val="22"/>
        </w:rPr>
        <w:t>novateur</w:t>
      </w:r>
      <w:r w:rsidRPr="00743B0B">
        <w:rPr>
          <w:rFonts w:ascii="Times New Roman" w:hAnsi="Times New Roman"/>
          <w:sz w:val="22"/>
          <w:szCs w:val="22"/>
        </w:rPr>
        <w:t xml:space="preserve">s pour l’environnement tient à leur nature d’instrument incitatif. Il s’agit en effet de mécanismes économiques permettant de gérer les externalités environnementales en leur donnant une valeur au travers d’un signal prix, que celui-ci soit direct ou indirect (sur les quantités). Celui-ci doit inciter les acteurs privés à investir dans la conservation. Ces mécanismes sont supposés plus efficaces que les régulations publiques classiques se fondant sur le contrôle du respect des normes.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La raison d’être des instruments économiques de gestion de l’environnement est d’influer sur les comportements au travers d’un signal prix conféré au maintien, à la restauration ou au renforcement d’un service écosystémique, c’est-à-dire de faire apparaître dans les calculs d’acteurs (internaliser) le coût subi ou les bénéfices retirés de l’existence d’une externalité négative ou positive. Sa vocation n’est donc pas de générer des flux de financement vers un secteur environnemental donné. Lorsqu’il repose sur un système d’incitations négatives comme dans le cas de l’application du pollueur-payeur, le rendement financier </w:t>
      </w:r>
      <w:r w:rsidR="00B26A00" w:rsidRPr="00743B0B">
        <w:rPr>
          <w:rFonts w:ascii="Times New Roman" w:hAnsi="Times New Roman"/>
          <w:sz w:val="22"/>
          <w:szCs w:val="22"/>
        </w:rPr>
        <w:t>attendu</w:t>
      </w:r>
      <w:r w:rsidRPr="00743B0B">
        <w:rPr>
          <w:rFonts w:ascii="Times New Roman" w:hAnsi="Times New Roman"/>
          <w:sz w:val="22"/>
          <w:szCs w:val="22"/>
        </w:rPr>
        <w:t xml:space="preserve"> de cet instrument est décroissant au fur et à mesure que l’incitation fait son effet. Une limite importante de ce principe demeure néanmoins que certains ont les moyens de payer, c’est pour cela qu’il est disqualifié par certain comme un droit à détruire la biodiversité donnant plus un prix à la destruction de la biodiversité qu’il n’incite à éviter celle-ci en rendant son coût dissuasif.</w:t>
      </w:r>
    </w:p>
    <w:p w:rsidR="00743B0B" w:rsidRPr="00743B0B" w:rsidRDefault="00743B0B" w:rsidP="00743B0B">
      <w:pPr>
        <w:spacing w:after="100"/>
        <w:ind w:firstLine="708"/>
        <w:rPr>
          <w:rFonts w:ascii="Times New Roman" w:hAnsi="Times New Roman"/>
          <w:sz w:val="22"/>
          <w:szCs w:val="22"/>
        </w:rPr>
        <w:sectPr w:rsidR="00743B0B" w:rsidRPr="00743B0B" w:rsidSect="00743B0B">
          <w:pgSz w:w="11900" w:h="16840"/>
          <w:pgMar w:top="1417" w:right="1417" w:bottom="1417" w:left="1417" w:header="708" w:footer="708" w:gutter="0"/>
          <w:cols w:space="708"/>
          <w:docGrid w:linePitch="360"/>
        </w:sectPr>
      </w:pP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keepNext/>
        <w:pBdr>
          <w:top w:val="single" w:sz="4" w:space="1" w:color="auto"/>
        </w:pBdr>
        <w:suppressAutoHyphens/>
        <w:spacing w:before="104" w:after="226"/>
        <w:ind w:left="720" w:hanging="720"/>
        <w:outlineLvl w:val="0"/>
        <w:rPr>
          <w:rFonts w:ascii="Times New Roman" w:hAnsi="Times New Roman"/>
          <w:b/>
          <w:smallCaps/>
          <w:spacing w:val="-2"/>
          <w:sz w:val="28"/>
          <w:szCs w:val="22"/>
        </w:rPr>
      </w:pPr>
      <w:bookmarkStart w:id="68" w:name="_Toc498638407"/>
      <w:r w:rsidRPr="00743B0B">
        <w:rPr>
          <w:rFonts w:ascii="Times New Roman" w:hAnsi="Times New Roman"/>
          <w:b/>
          <w:smallCaps/>
          <w:spacing w:val="-2"/>
          <w:sz w:val="28"/>
          <w:szCs w:val="22"/>
        </w:rPr>
        <w:t>I. Les mécanismes internes (fiscalité, PPP et contrats tripartites)</w:t>
      </w:r>
      <w:bookmarkEnd w:id="68"/>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chapitre a été rédigé par l’expert national Babacar Cissé.</w:t>
      </w: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69" w:name="_Toc498638408"/>
      <w:r w:rsidRPr="00743B0B">
        <w:rPr>
          <w:rFonts w:eastAsia="MS Gothic"/>
          <w:b/>
          <w:bCs/>
          <w:color w:val="4F81BD"/>
          <w:sz w:val="26"/>
          <w:szCs w:val="26"/>
          <w:lang w:eastAsia="fr-FR"/>
        </w:rPr>
        <w:t>I.1.</w:t>
      </w:r>
      <w:r w:rsidR="004533D6">
        <w:rPr>
          <w:rFonts w:eastAsia="MS Gothic"/>
          <w:b/>
          <w:bCs/>
          <w:color w:val="4F81BD"/>
          <w:sz w:val="26"/>
          <w:szCs w:val="26"/>
          <w:lang w:eastAsia="fr-FR"/>
        </w:rPr>
        <w:t xml:space="preserve"> </w:t>
      </w:r>
      <w:r w:rsidRPr="00743B0B">
        <w:rPr>
          <w:rFonts w:eastAsia="MS Gothic"/>
          <w:b/>
          <w:bCs/>
          <w:color w:val="4F81BD"/>
          <w:sz w:val="26"/>
          <w:szCs w:val="26"/>
          <w:lang w:eastAsia="fr-FR"/>
        </w:rPr>
        <w:t>Mécanismes applicables aux collectivités locales (CL) et aux communes en particulier</w:t>
      </w:r>
      <w:bookmarkEnd w:id="69"/>
    </w:p>
    <w:p w:rsidR="00743B0B" w:rsidRPr="00743B0B" w:rsidRDefault="00743B0B" w:rsidP="00743B0B">
      <w:pPr>
        <w:keepNext/>
        <w:keepLines/>
        <w:spacing w:before="200" w:after="0"/>
        <w:jc w:val="left"/>
        <w:outlineLvl w:val="1"/>
        <w:rPr>
          <w:rFonts w:ascii="Times New Roman" w:eastAsia="MS Gothic" w:hAnsi="Times New Roman"/>
          <w:b/>
          <w:bCs/>
          <w:color w:val="4F81BD"/>
          <w:sz w:val="22"/>
          <w:szCs w:val="22"/>
          <w:lang w:eastAsia="fr-FR"/>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u w:val="single"/>
        </w:rPr>
        <w:t>Contexte</w:t>
      </w:r>
    </w:p>
    <w:p w:rsidR="00743B0B" w:rsidRPr="00743B0B" w:rsidRDefault="00384043" w:rsidP="00743B0B">
      <w:pPr>
        <w:rPr>
          <w:rFonts w:ascii="Times New Roman" w:hAnsi="Times New Roman"/>
          <w:b/>
          <w:i/>
          <w:sz w:val="22"/>
          <w:szCs w:val="22"/>
        </w:rPr>
      </w:pPr>
      <w:r>
        <w:rPr>
          <w:rFonts w:ascii="Times New Roman" w:hAnsi="Times New Roman"/>
          <w:b/>
          <w:i/>
          <w:sz w:val="22"/>
          <w:szCs w:val="22"/>
        </w:rPr>
        <w:t>M</w:t>
      </w:r>
      <w:r w:rsidR="00743B0B" w:rsidRPr="00743B0B">
        <w:rPr>
          <w:rFonts w:ascii="Times New Roman" w:hAnsi="Times New Roman"/>
          <w:b/>
          <w:i/>
          <w:sz w:val="22"/>
          <w:szCs w:val="22"/>
        </w:rPr>
        <w:t>issions des CL dans le domaine de l'environnement et de la gestion des ressources naturelles</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Le département reçoit les compétences suivantes</w:t>
      </w:r>
      <w:r w:rsidR="002575A2">
        <w:rPr>
          <w:rFonts w:ascii="Times New Roman" w:hAnsi="Times New Roman"/>
          <w:sz w:val="22"/>
          <w:szCs w:val="22"/>
        </w:rPr>
        <w:t> :</w:t>
      </w:r>
      <w:r w:rsidRPr="00743B0B">
        <w:rPr>
          <w:rFonts w:ascii="Times New Roman" w:hAnsi="Times New Roman"/>
          <w:sz w:val="22"/>
          <w:szCs w:val="22"/>
        </w:rPr>
        <w:t xml:space="preserve"> la création et la gestion des forêts, zones protégées et sites naturels d’intérêt départemental</w:t>
      </w:r>
      <w:r w:rsidR="00D2405E">
        <w:rPr>
          <w:rFonts w:ascii="Times New Roman" w:hAnsi="Times New Roman"/>
          <w:sz w:val="22"/>
          <w:szCs w:val="22"/>
        </w:rPr>
        <w:t> ;</w:t>
      </w:r>
      <w:r w:rsidRPr="00743B0B">
        <w:rPr>
          <w:rFonts w:ascii="Times New Roman" w:hAnsi="Times New Roman"/>
          <w:sz w:val="22"/>
          <w:szCs w:val="22"/>
        </w:rPr>
        <w:t xml:space="preserve"> la délivrance d’autorisation d’amodiation de chasse, après avis du conseil municipal</w:t>
      </w:r>
      <w:r w:rsidR="00D2405E">
        <w:rPr>
          <w:rFonts w:ascii="Times New Roman" w:hAnsi="Times New Roman"/>
          <w:sz w:val="22"/>
          <w:szCs w:val="22"/>
        </w:rPr>
        <w:t> </w:t>
      </w:r>
      <w:r w:rsidRPr="00743B0B">
        <w:rPr>
          <w:rFonts w:ascii="Times New Roman" w:hAnsi="Times New Roman"/>
          <w:sz w:val="22"/>
          <w:szCs w:val="22"/>
        </w:rPr>
        <w:t>;</w:t>
      </w:r>
      <w:r w:rsidR="004533D6">
        <w:rPr>
          <w:rFonts w:ascii="Times New Roman" w:hAnsi="Times New Roman"/>
          <w:sz w:val="22"/>
          <w:szCs w:val="22"/>
        </w:rPr>
        <w:t xml:space="preserve"> </w:t>
      </w:r>
      <w:r w:rsidRPr="00743B0B">
        <w:rPr>
          <w:rFonts w:ascii="Times New Roman" w:hAnsi="Times New Roman"/>
          <w:sz w:val="22"/>
          <w:szCs w:val="22"/>
        </w:rPr>
        <w:t>la gestion des eaux continentales à l’exclusion des cours d’eau à statut national ou international</w:t>
      </w:r>
      <w:r w:rsidR="00D2405E">
        <w:rPr>
          <w:rFonts w:ascii="Times New Roman" w:hAnsi="Times New Roman"/>
          <w:sz w:val="22"/>
          <w:szCs w:val="22"/>
        </w:rPr>
        <w:t> </w:t>
      </w:r>
      <w:r w:rsidRPr="00743B0B">
        <w:rPr>
          <w:rFonts w:ascii="Times New Roman" w:hAnsi="Times New Roman"/>
          <w:sz w:val="22"/>
          <w:szCs w:val="22"/>
        </w:rPr>
        <w:t>; l’élaboration et mise en œuvre de plans départementaux d’actions de l’environnement, d’intervention d’urgence et de prévention des risques</w:t>
      </w:r>
      <w:r w:rsidR="00D2405E">
        <w:rPr>
          <w:rFonts w:ascii="Times New Roman" w:hAnsi="Times New Roman"/>
          <w:sz w:val="22"/>
          <w:szCs w:val="22"/>
        </w:rPr>
        <w:t> </w:t>
      </w:r>
      <w:r w:rsidRPr="00743B0B">
        <w:rPr>
          <w:rFonts w:ascii="Times New Roman" w:hAnsi="Times New Roman"/>
          <w:sz w:val="22"/>
          <w:szCs w:val="22"/>
        </w:rPr>
        <w:t>; la réalisation de pare- feux et la mise à feu précoce, dans le cadre de la lut</w:t>
      </w:r>
      <w:r w:rsidR="00D2405E">
        <w:rPr>
          <w:rFonts w:ascii="Times New Roman" w:hAnsi="Times New Roman"/>
          <w:sz w:val="22"/>
          <w:szCs w:val="22"/>
        </w:rPr>
        <w:t>te contre les feux de brousse ;</w:t>
      </w:r>
      <w:r w:rsidRPr="00743B0B">
        <w:rPr>
          <w:rFonts w:ascii="Times New Roman" w:hAnsi="Times New Roman"/>
          <w:sz w:val="22"/>
          <w:szCs w:val="22"/>
        </w:rPr>
        <w:t xml:space="preserve"> l’élaboration et mise en œuvre des plans d’action locale pour l’environnement ;</w:t>
      </w:r>
      <w:r w:rsidR="004533D6">
        <w:rPr>
          <w:rFonts w:ascii="Times New Roman" w:hAnsi="Times New Roman"/>
          <w:sz w:val="22"/>
          <w:szCs w:val="22"/>
        </w:rPr>
        <w:t xml:space="preserve"> </w:t>
      </w:r>
      <w:r w:rsidRPr="00743B0B">
        <w:rPr>
          <w:rFonts w:ascii="Times New Roman" w:hAnsi="Times New Roman"/>
          <w:sz w:val="22"/>
          <w:szCs w:val="22"/>
        </w:rPr>
        <w:t>la protection des eaux souterraines et de surface</w:t>
      </w:r>
      <w:r w:rsidR="00D2405E">
        <w:rPr>
          <w:rFonts w:ascii="Times New Roman" w:hAnsi="Times New Roman"/>
          <w:sz w:val="22"/>
          <w:szCs w:val="22"/>
        </w:rPr>
        <w:t> </w:t>
      </w:r>
      <w:r w:rsidRPr="00743B0B">
        <w:rPr>
          <w:rFonts w:ascii="Times New Roman" w:hAnsi="Times New Roman"/>
          <w:sz w:val="22"/>
          <w:szCs w:val="22"/>
        </w:rPr>
        <w:t>; la répartition des quotas d’exploitation forestière entre les communes</w:t>
      </w:r>
      <w:r w:rsidR="00D2405E">
        <w:rPr>
          <w:rFonts w:ascii="Times New Roman" w:hAnsi="Times New Roman"/>
          <w:sz w:val="22"/>
          <w:szCs w:val="22"/>
        </w:rPr>
        <w:t> </w:t>
      </w:r>
      <w:r w:rsidRPr="00743B0B">
        <w:rPr>
          <w:rFonts w:ascii="Times New Roman" w:hAnsi="Times New Roman"/>
          <w:sz w:val="22"/>
          <w:szCs w:val="22"/>
        </w:rPr>
        <w:t>; la lutte contre les incen</w:t>
      </w:r>
      <w:r w:rsidR="00D2405E">
        <w:rPr>
          <w:rFonts w:ascii="Times New Roman" w:hAnsi="Times New Roman"/>
          <w:sz w:val="22"/>
          <w:szCs w:val="22"/>
        </w:rPr>
        <w:t>dies et protection de la nature </w:t>
      </w:r>
      <w:r w:rsidRPr="00743B0B">
        <w:rPr>
          <w:rFonts w:ascii="Times New Roman" w:hAnsi="Times New Roman"/>
          <w:sz w:val="22"/>
          <w:szCs w:val="22"/>
        </w:rPr>
        <w:t>; l’autorisation de défricher après avi</w:t>
      </w:r>
      <w:r w:rsidR="00D2405E">
        <w:rPr>
          <w:rFonts w:ascii="Times New Roman" w:hAnsi="Times New Roman"/>
          <w:sz w:val="22"/>
          <w:szCs w:val="22"/>
        </w:rPr>
        <w:t>s du conseil municipal concerné </w:t>
      </w:r>
      <w:r w:rsidRPr="00743B0B">
        <w:rPr>
          <w:rFonts w:ascii="Times New Roman" w:hAnsi="Times New Roman"/>
          <w:sz w:val="22"/>
          <w:szCs w:val="22"/>
        </w:rPr>
        <w:t xml:space="preserve">; la délivrance de permis de coupe et d’abattage. </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La commune reçoit les compétences suivantes</w:t>
      </w:r>
      <w:r w:rsidRPr="00743B0B">
        <w:rPr>
          <w:rFonts w:ascii="Times New Roman" w:hAnsi="Times New Roman"/>
          <w:sz w:val="22"/>
          <w:szCs w:val="22"/>
        </w:rPr>
        <w:t> : la délivrance et l'autorisation préalable de toute coupe à l'intérieur du périmètre communal</w:t>
      </w:r>
      <w:r w:rsidR="00D2405E">
        <w:rPr>
          <w:rFonts w:ascii="Times New Roman" w:hAnsi="Times New Roman"/>
          <w:sz w:val="22"/>
          <w:szCs w:val="22"/>
        </w:rPr>
        <w:t> ;</w:t>
      </w:r>
      <w:r w:rsidRPr="00743B0B">
        <w:rPr>
          <w:rFonts w:ascii="Times New Roman" w:hAnsi="Times New Roman"/>
          <w:sz w:val="22"/>
          <w:szCs w:val="22"/>
        </w:rPr>
        <w:t xml:space="preserve"> les opérations de reboisement et la création de bois communaux</w:t>
      </w:r>
      <w:r w:rsidR="00D2405E">
        <w:rPr>
          <w:rFonts w:ascii="Times New Roman" w:hAnsi="Times New Roman"/>
          <w:sz w:val="22"/>
          <w:szCs w:val="22"/>
        </w:rPr>
        <w:t> ;</w:t>
      </w:r>
      <w:r w:rsidRPr="00743B0B">
        <w:rPr>
          <w:rFonts w:ascii="Times New Roman" w:hAnsi="Times New Roman"/>
          <w:sz w:val="22"/>
          <w:szCs w:val="22"/>
        </w:rPr>
        <w:t xml:space="preserve"> la perception de la quote-part d'amendes prévues par le code forestier, la gestion des déchets, la lutte contre l'insalubrité, les pollutions et les nuisances, la protection des ressources en eaux souterraines et superficielles</w:t>
      </w:r>
      <w:r w:rsidR="00D2405E">
        <w:rPr>
          <w:rFonts w:ascii="Times New Roman" w:hAnsi="Times New Roman"/>
          <w:sz w:val="22"/>
          <w:szCs w:val="22"/>
        </w:rPr>
        <w:t> ;</w:t>
      </w:r>
      <w:r w:rsidRPr="00743B0B">
        <w:rPr>
          <w:rFonts w:ascii="Times New Roman" w:hAnsi="Times New Roman"/>
          <w:sz w:val="22"/>
          <w:szCs w:val="22"/>
        </w:rPr>
        <w:t xml:space="preserve"> l'élaboration de plans communaux d'action pour l'environnement.</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En résumé</w:t>
      </w:r>
      <w:r w:rsidR="002575A2">
        <w:rPr>
          <w:rFonts w:ascii="Times New Roman" w:hAnsi="Times New Roman"/>
          <w:b/>
          <w:sz w:val="22"/>
          <w:szCs w:val="22"/>
        </w:rPr>
        <w:t> :</w:t>
      </w:r>
      <w:r w:rsidR="005F4017">
        <w:rPr>
          <w:rFonts w:ascii="Times New Roman" w:hAnsi="Times New Roman"/>
          <w:sz w:val="22"/>
          <w:szCs w:val="22"/>
        </w:rPr>
        <w:t xml:space="preserve"> l</w:t>
      </w:r>
      <w:r w:rsidRPr="00743B0B">
        <w:rPr>
          <w:rFonts w:ascii="Times New Roman" w:hAnsi="Times New Roman"/>
          <w:sz w:val="22"/>
          <w:szCs w:val="22"/>
        </w:rPr>
        <w:t xml:space="preserve">a commune répond à l’impératif d’une gestion de proximité des problèmes des populations et d’une participation des acteurs locaux à l’impulsion et à la mise en œuvre des stratégies de développement territorial. Quant au département il assure le maillage territorial nécessaire à la construction de la communalisation intégrale. Au regard de ces considérations la commune reste le partenaire indiqué du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p>
    <w:p w:rsidR="00743B0B" w:rsidRPr="00743B0B" w:rsidRDefault="00384043" w:rsidP="00743B0B">
      <w:pPr>
        <w:rPr>
          <w:rFonts w:ascii="Times New Roman" w:hAnsi="Times New Roman"/>
          <w:b/>
          <w:i/>
          <w:sz w:val="22"/>
          <w:szCs w:val="22"/>
        </w:rPr>
      </w:pPr>
      <w:r>
        <w:rPr>
          <w:rFonts w:ascii="Times New Roman" w:hAnsi="Times New Roman"/>
          <w:b/>
          <w:i/>
          <w:sz w:val="22"/>
          <w:szCs w:val="22"/>
        </w:rPr>
        <w:t>I</w:t>
      </w:r>
      <w:r w:rsidR="00743B0B" w:rsidRPr="00743B0B">
        <w:rPr>
          <w:rFonts w:ascii="Times New Roman" w:hAnsi="Times New Roman"/>
          <w:b/>
          <w:i/>
          <w:sz w:val="22"/>
          <w:szCs w:val="22"/>
        </w:rPr>
        <w:t>nsuffisance des ressources pour faire face aux besoins des CL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Depuis l’entrée en vigueur de l’Acte 3 de la décentralisation, les Collectivités locales sont confrontées à un déficit de moyens pour prendre en charge les compétences transférées dont l’environnement. C’est ce qui explique le faible niveau de prise en charge de la dimension environnement dans leurs budgets (moins de 1</w:t>
      </w:r>
      <w:r w:rsidR="00A72504">
        <w:rPr>
          <w:rFonts w:ascii="Times New Roman" w:hAnsi="Times New Roman"/>
          <w:sz w:val="22"/>
          <w:szCs w:val="22"/>
        </w:rPr>
        <w:t> %</w:t>
      </w:r>
      <w:r w:rsidRPr="00743B0B">
        <w:rPr>
          <w:rFonts w:ascii="Times New Roman" w:hAnsi="Times New Roman"/>
          <w:sz w:val="22"/>
          <w:szCs w:val="22"/>
        </w:rPr>
        <w:t xml:space="preserve"> sur l’ensemble des 15 communes concernées par le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Typologie et faisabilité de quelques mécanismes applicables aux CL</w:t>
      </w:r>
      <w:r w:rsidR="002575A2">
        <w:rPr>
          <w:rFonts w:ascii="Times New Roman" w:hAnsi="Times New Roman"/>
          <w:b/>
          <w:sz w:val="22"/>
          <w:szCs w:val="22"/>
          <w:u w:val="single"/>
        </w:rPr>
        <w:t> :</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b/>
          <w:i/>
          <w:sz w:val="22"/>
          <w:szCs w:val="22"/>
        </w:rPr>
      </w:pPr>
      <w:r>
        <w:rPr>
          <w:rFonts w:ascii="Times New Roman" w:hAnsi="Times New Roman"/>
          <w:b/>
          <w:i/>
          <w:sz w:val="22"/>
          <w:szCs w:val="22"/>
        </w:rPr>
        <w:t>-p</w:t>
      </w:r>
      <w:r w:rsidR="00743B0B" w:rsidRPr="00743B0B">
        <w:rPr>
          <w:rFonts w:ascii="Times New Roman" w:hAnsi="Times New Roman"/>
          <w:b/>
          <w:i/>
          <w:sz w:val="22"/>
          <w:szCs w:val="22"/>
        </w:rPr>
        <w:t xml:space="preserve">artenariat entre le secteur </w:t>
      </w:r>
      <w:r>
        <w:rPr>
          <w:rFonts w:ascii="Times New Roman" w:hAnsi="Times New Roman"/>
          <w:b/>
          <w:i/>
          <w:sz w:val="22"/>
          <w:szCs w:val="22"/>
        </w:rPr>
        <w:t>p</w:t>
      </w:r>
      <w:r w:rsidR="00743B0B" w:rsidRPr="00743B0B">
        <w:rPr>
          <w:rFonts w:ascii="Times New Roman" w:hAnsi="Times New Roman"/>
          <w:b/>
          <w:i/>
          <w:sz w:val="22"/>
          <w:szCs w:val="22"/>
        </w:rPr>
        <w:t>ublic et</w:t>
      </w:r>
      <w:r w:rsidR="00384043">
        <w:rPr>
          <w:rFonts w:ascii="Times New Roman" w:hAnsi="Times New Roman"/>
          <w:b/>
          <w:i/>
          <w:sz w:val="22"/>
          <w:szCs w:val="22"/>
        </w:rPr>
        <w:t xml:space="preserve"> secteur</w:t>
      </w:r>
      <w:r w:rsidR="004533D6">
        <w:rPr>
          <w:rFonts w:ascii="Times New Roman" w:hAnsi="Times New Roman"/>
          <w:b/>
          <w:i/>
          <w:sz w:val="22"/>
          <w:szCs w:val="22"/>
        </w:rPr>
        <w:t xml:space="preserve"> </w:t>
      </w:r>
      <w:r w:rsidR="00743B0B" w:rsidRPr="00743B0B">
        <w:rPr>
          <w:rFonts w:ascii="Times New Roman" w:hAnsi="Times New Roman"/>
          <w:b/>
          <w:i/>
          <w:sz w:val="22"/>
          <w:szCs w:val="22"/>
        </w:rPr>
        <w:t>privé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mobilisant le secteur privé intérieur pour l’amener à participer activement au financement des stratégies d’atténuation aux changements climatiques, les collectivités locales pourraient se procurer de nouvelles ressources. Pour ce faire, ils pourraient arrêter des mesures d’incitation fiscale récompensant la contribution à ce type de causes et des stratégies industrielles pour</w:t>
      </w:r>
      <w:r w:rsidR="004533D6">
        <w:rPr>
          <w:rFonts w:ascii="Times New Roman" w:hAnsi="Times New Roman"/>
          <w:sz w:val="22"/>
          <w:szCs w:val="22"/>
        </w:rPr>
        <w:t xml:space="preserve"> </w:t>
      </w:r>
      <w:r w:rsidRPr="00743B0B">
        <w:rPr>
          <w:rFonts w:ascii="Times New Roman" w:hAnsi="Times New Roman"/>
          <w:sz w:val="22"/>
          <w:szCs w:val="22"/>
        </w:rPr>
        <w:t>la prise en compte de considérations environnementales.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Un complément d’analyse s’impose, si l’on veut mieux saisir les rôles que le secteur privé pourrait éventuellement jouer, soit sous la forme de partenariats privé-public, soit sous la forme d’initiatives qui leur seraient propres. D’où la nécessité d’instaurer une politique qui facilite la participation du secteur privé, y compris les autres investisseurs.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Pour promouvoir des mécanismes de financement, aussi bien au niveau central que pour les collectivités locales, le Sénégal a fait adopter différentes réglementations depuis 2004. Il s’agit de la loi n°2004-13 du 1er mars relative aux contrats de Construction-Exploitation Transfert d’infrastructures, dite loi CET. Elle a été ensuite modifiée par les lois n° 2009-21 du 4 mai 2009 et n° 2011-11 du 28 avril 2011.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février 2014, une nouvelle loi(2014-09) relative au contrat de partenariat a été adoptée. A la faveur de ces innovations, elle vise à faciliter l’implication du secteur privé national dans la réalisation d’une nouvelle génération de projets d’infrastructures, tout en restant attractif au secteur privé international.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loi met un accent particulier sur l’accompagnement et l’encadrement technique des collectivités publiques avec la c</w:t>
      </w:r>
      <w:r w:rsidR="00B53BD8">
        <w:rPr>
          <w:rFonts w:ascii="Times New Roman" w:hAnsi="Times New Roman"/>
          <w:sz w:val="22"/>
          <w:szCs w:val="22"/>
        </w:rPr>
        <w:t>réation d’un Comité national d’appui aux partenariats</w:t>
      </w:r>
      <w:r w:rsidR="005F4017">
        <w:rPr>
          <w:rFonts w:ascii="Times New Roman" w:hAnsi="Times New Roman"/>
          <w:sz w:val="22"/>
          <w:szCs w:val="22"/>
        </w:rPr>
        <w:t xml:space="preserve"> entre secteur public et </w:t>
      </w:r>
      <w:r w:rsidR="00384043">
        <w:rPr>
          <w:rFonts w:ascii="Times New Roman" w:hAnsi="Times New Roman"/>
          <w:sz w:val="22"/>
          <w:szCs w:val="22"/>
        </w:rPr>
        <w:t xml:space="preserve">secteur </w:t>
      </w:r>
      <w:r w:rsidR="00B53BD8">
        <w:rPr>
          <w:rFonts w:ascii="Times New Roman" w:hAnsi="Times New Roman"/>
          <w:sz w:val="22"/>
          <w:szCs w:val="22"/>
        </w:rPr>
        <w:t>p</w:t>
      </w:r>
      <w:r w:rsidRPr="00743B0B">
        <w:rPr>
          <w:rFonts w:ascii="Times New Roman" w:hAnsi="Times New Roman"/>
          <w:sz w:val="22"/>
          <w:szCs w:val="22"/>
        </w:rPr>
        <w:t>rivé chargé, entre autres, de</w:t>
      </w:r>
      <w:r w:rsidR="002575A2">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valider les rapports d’opportunité des projets préparés par les autorités contractantes</w:t>
      </w:r>
      <w:r w:rsidR="00D2405E">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fournir un appui aux entités du secteur public dans la préparation, la négociation et le suivi des contrats de partenariat</w:t>
      </w:r>
      <w:r w:rsidR="00D2405E">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vulgariser les partenariats public-privé et en assurer la promotion.</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Au niveau collectivité locale, le cadre législatif et organisationnel</w:t>
      </w:r>
      <w:r w:rsidRPr="00743B0B">
        <w:rPr>
          <w:rFonts w:ascii="Times New Roman" w:hAnsi="Times New Roman"/>
          <w:sz w:val="22"/>
          <w:szCs w:val="22"/>
          <w:vertAlign w:val="superscript"/>
        </w:rPr>
        <w:footnoteReference w:id="44"/>
      </w:r>
      <w:r w:rsidRPr="00743B0B">
        <w:rPr>
          <w:rFonts w:ascii="Times New Roman" w:hAnsi="Times New Roman"/>
          <w:sz w:val="22"/>
          <w:szCs w:val="22"/>
        </w:rPr>
        <w:t xml:space="preserve"> laisse apparaître diverses formes de collaboration, notamment</w:t>
      </w:r>
      <w:r w:rsidR="002575A2">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la prise de participation des collectivités locales au capital des sociétés privées exploitant un service public prévue par l’article 241 du code des Collectivités Locales et qui fixe la participation maximale de celles-ci à hauteur de 33</w:t>
      </w:r>
      <w:r w:rsidR="00A72504">
        <w:rPr>
          <w:rFonts w:ascii="Times New Roman" w:hAnsi="Times New Roman"/>
          <w:sz w:val="22"/>
          <w:szCs w:val="22"/>
        </w:rPr>
        <w:t> %</w:t>
      </w:r>
      <w:r w:rsidRPr="00743B0B">
        <w:rPr>
          <w:rFonts w:ascii="Times New Roman" w:hAnsi="Times New Roman"/>
          <w:sz w:val="22"/>
          <w:szCs w:val="22"/>
        </w:rPr>
        <w:t xml:space="preserve"> des actions.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la gestion privée directe des infrastructures réalisées sous forme de concession et d’affermage</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le financement par levée de fonds au niveau du système bancaire et par émission d’obligations.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Cette disposition législative ouvre des opport</w:t>
      </w:r>
      <w:r w:rsidR="00384043">
        <w:rPr>
          <w:rFonts w:ascii="Times New Roman" w:hAnsi="Times New Roman"/>
          <w:sz w:val="22"/>
          <w:szCs w:val="22"/>
        </w:rPr>
        <w:t>unités de partenariat public-privé</w:t>
      </w:r>
      <w:r w:rsidRPr="00743B0B">
        <w:rPr>
          <w:rFonts w:ascii="Times New Roman" w:hAnsi="Times New Roman"/>
          <w:sz w:val="22"/>
          <w:szCs w:val="22"/>
        </w:rPr>
        <w:t xml:space="preserve"> dans la plupart des collectivités locales polarisées par le Projet. Ainsi donc par le biais de contrat d’affermage, de mise en concession, de prise de participation et d’amodiation, les collectivités locales peuvent générer des ressources pour une meilleure gestion de l’environnement et des nouveaux qu’il engendre.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 développement de ces types de partenariat dans le secteur de l’environnement requiert</w:t>
      </w:r>
      <w:r w:rsidR="004533D6">
        <w:rPr>
          <w:rFonts w:ascii="Times New Roman" w:hAnsi="Times New Roman"/>
          <w:sz w:val="22"/>
          <w:szCs w:val="22"/>
        </w:rPr>
        <w:t xml:space="preserve"> </w:t>
      </w:r>
      <w:r w:rsidRPr="00743B0B">
        <w:rPr>
          <w:rFonts w:ascii="Times New Roman" w:hAnsi="Times New Roman"/>
          <w:sz w:val="22"/>
          <w:szCs w:val="22"/>
        </w:rPr>
        <w:t>un secteur privé fort mais surtout conscientisé sur les enjeux et opportunités que regorge le secteur, mais surtout des collectivités locales outillées au plan des ressources humaines, pour conduire ce processus de contractualisation qui reste malgré tout complexe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partenariat est applicable notamment dans les domaines de</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collecte, le tri et le recyclage des déchets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l’aménagement et l’exploitation de sites de production ;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l’exploitation des ressources forestières, l’aquaculture</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l’écotourisme, etc..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Il reviendra au </w:t>
      </w:r>
      <w:r w:rsidR="00E80173">
        <w:rPr>
          <w:rFonts w:ascii="Times New Roman" w:hAnsi="Times New Roman"/>
          <w:sz w:val="22"/>
          <w:szCs w:val="22"/>
        </w:rPr>
        <w:t>PFNAC</w:t>
      </w:r>
      <w:r w:rsidRPr="00743B0B">
        <w:rPr>
          <w:rFonts w:ascii="Times New Roman" w:hAnsi="Times New Roman"/>
          <w:sz w:val="22"/>
          <w:szCs w:val="22"/>
        </w:rPr>
        <w:t xml:space="preserve"> d’identifier dans chaque zone d’intervention le mécanisme de partenariat public privé le plus approprié comme mode de financement en tenant de l’impératif de préservation de l’environnement et d’adaptation aux changements climatiques.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Différentes pistes pourraient être explorées par les collectivités locales en partenariat avec le secteur privé, de préférence local, à savoir</w:t>
      </w:r>
      <w:r w:rsidR="002575A2">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professionnalisation de l’exploitation du sel dans le Gandon-Gandiole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valorisation des produits horticoles (mangue) et forestiers non ligneux (anacarde) dans le Sokone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l’organisation et la structuration de l’activité de chasse dans la zone de Tambacounda et Kédougou</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b/>
          <w:i/>
          <w:sz w:val="22"/>
          <w:szCs w:val="22"/>
        </w:rPr>
      </w:pPr>
      <w:r>
        <w:rPr>
          <w:rFonts w:ascii="Times New Roman" w:hAnsi="Times New Roman"/>
          <w:b/>
          <w:i/>
          <w:sz w:val="22"/>
          <w:szCs w:val="22"/>
        </w:rPr>
        <w:t>-r</w:t>
      </w:r>
      <w:r w:rsidR="00743B0B" w:rsidRPr="00743B0B">
        <w:rPr>
          <w:rFonts w:ascii="Times New Roman" w:hAnsi="Times New Roman"/>
          <w:b/>
          <w:i/>
          <w:sz w:val="22"/>
          <w:szCs w:val="22"/>
        </w:rPr>
        <w:t>esponsabilité sociétale d’Entreprise (RSE)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Collectivités locales ayant en charge la gestion des compétences transférées (aménagement du territoire, planification, gestion de l’environnement et des ressources naturelles, santé et action sociale, éducation, alphabétisation, promotion des langues nationales et formation professionnelle, culture, urbanisme et habitat, jeunesse et sport), le dialogue avec tous les acteurs du territoire reste un élément inhérent à la réussite de leurs missions. La présence d’entreprises sur son territoire est une réelle opportunité de développement économique et social.</w:t>
      </w:r>
      <w:r w:rsidR="004533D6">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Créatrices de richesses et consommatrices de ressources, certaines entreprises ont une capacité d’intervention qui peut se révéler particulièrement efficace en faveur du développement durable</w:t>
      </w:r>
      <w:r w:rsidR="002575A2">
        <w:rPr>
          <w:rFonts w:ascii="Times New Roman" w:hAnsi="Times New Roman"/>
          <w:sz w:val="22"/>
          <w:szCs w:val="22"/>
        </w:rPr>
        <w:t> :</w:t>
      </w:r>
    </w:p>
    <w:p w:rsidR="00743B0B" w:rsidRPr="00743B0B" w:rsidRDefault="00743B0B" w:rsidP="00771667">
      <w:pPr>
        <w:numPr>
          <w:ilvl w:val="0"/>
          <w:numId w:val="72"/>
        </w:numPr>
        <w:spacing w:after="0"/>
        <w:jc w:val="left"/>
        <w:rPr>
          <w:rFonts w:ascii="Times New Roman" w:hAnsi="Times New Roman"/>
          <w:sz w:val="22"/>
          <w:szCs w:val="22"/>
        </w:rPr>
      </w:pPr>
      <w:r w:rsidRPr="00743B0B">
        <w:rPr>
          <w:rFonts w:ascii="Times New Roman" w:hAnsi="Times New Roman"/>
          <w:sz w:val="22"/>
          <w:szCs w:val="22"/>
        </w:rPr>
        <w:t>elles participent directement au développement économique par leurs investissements ;</w:t>
      </w:r>
    </w:p>
    <w:p w:rsidR="00743B0B" w:rsidRPr="00743B0B" w:rsidRDefault="00743B0B" w:rsidP="00771667">
      <w:pPr>
        <w:numPr>
          <w:ilvl w:val="0"/>
          <w:numId w:val="72"/>
        </w:numPr>
        <w:spacing w:after="0"/>
        <w:jc w:val="left"/>
        <w:rPr>
          <w:rFonts w:ascii="Times New Roman" w:hAnsi="Times New Roman"/>
          <w:sz w:val="22"/>
          <w:szCs w:val="22"/>
        </w:rPr>
      </w:pPr>
      <w:r w:rsidRPr="00743B0B">
        <w:rPr>
          <w:rFonts w:ascii="Times New Roman" w:hAnsi="Times New Roman"/>
          <w:sz w:val="22"/>
          <w:szCs w:val="22"/>
        </w:rPr>
        <w:t>à travers les conditions de travail qu’elles proposent à leurs salariés, elles participent à r</w:t>
      </w:r>
      <w:r w:rsidR="005F4017">
        <w:rPr>
          <w:rFonts w:ascii="Times New Roman" w:hAnsi="Times New Roman"/>
          <w:sz w:val="22"/>
          <w:szCs w:val="22"/>
        </w:rPr>
        <w:t>éduire des inégalités sociales.</w:t>
      </w:r>
    </w:p>
    <w:p w:rsidR="00743B0B" w:rsidRPr="00743B0B" w:rsidRDefault="005F4017" w:rsidP="00743B0B">
      <w:pPr>
        <w:rPr>
          <w:rFonts w:ascii="Times New Roman" w:hAnsi="Times New Roman"/>
          <w:sz w:val="22"/>
          <w:szCs w:val="22"/>
        </w:rPr>
      </w:pPr>
      <w:r>
        <w:rPr>
          <w:rFonts w:ascii="Times New Roman" w:hAnsi="Times New Roman"/>
          <w:sz w:val="22"/>
          <w:szCs w:val="22"/>
        </w:rPr>
        <w:t>À</w:t>
      </w:r>
      <w:r w:rsidR="00743B0B" w:rsidRPr="00743B0B">
        <w:rPr>
          <w:rFonts w:ascii="Times New Roman" w:hAnsi="Times New Roman"/>
          <w:sz w:val="22"/>
          <w:szCs w:val="22"/>
        </w:rPr>
        <w:t xml:space="preserve"> côté, d’autres entreprises sont considérées comme consommatrices de ressources naturelles, productrices de déchets et génératrices de pollutions. Leurs activités modifient plus ou moins profondément l’environnement. Ce qui engage leurs responsabilités dans la dégradation de l’environnement.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responsabilité sociétale des entreprises désigne la prise en charge par les entreprises des préoccupations sociales, environnementales, et de développement durable en général dans leurs activités.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 manière générale, ce type d’unité industrielle se retrouve dans la zone de Tambacounda -Salemata avec une forte concentration d’activités minière hautement polluantes. On peut citer parmi elle la SODEFITEX dans le coton, OROMIN, IAM Gold à Sadio et Teranga Gold opération à Sabadola</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entreprises concernées investissent sur le plan social et économique par la création d’infrastructure de base au profit des populations et s’adonnent à l’occasion à des activités humanitaires. Il fait signaler que cette RSE se fait sur la base du volontariat et constitue par conséquent un mode de financement peu maitrisé.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br/>
        <w:t>Pour tirer un maximum de profit de cette RSE, il y’a lieu de renforcer les capacités des élus locaux pour une meilleure perception de</w:t>
      </w:r>
      <w:r w:rsidR="004533D6">
        <w:rPr>
          <w:rFonts w:ascii="Times New Roman" w:hAnsi="Times New Roman"/>
          <w:sz w:val="22"/>
          <w:szCs w:val="22"/>
        </w:rPr>
        <w:t>s véritables enjeux, des répercussions</w:t>
      </w:r>
      <w:r w:rsidRPr="00743B0B">
        <w:rPr>
          <w:rFonts w:ascii="Times New Roman" w:hAnsi="Times New Roman"/>
          <w:sz w:val="22"/>
          <w:szCs w:val="22"/>
        </w:rPr>
        <w:t xml:space="preserve"> des activités industrielles sur l’environnement et de mieux articuler un plaidoyer dans le sens de l’amélioration du cadre de vie et des conditions d’existence des population.</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Dans le cadre du partenariat, la Collectivité locale pourrait mener quelques actions au profit de l’entreprise, à savoir</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résoudre les problèmes et conflits (avec paysans, ouvriers)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définir des actions prioritaire de développement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exonérer de taxes municipales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mettre à disposition une main d’œuvre locale</w:t>
      </w:r>
      <w:r w:rsidR="005F4017">
        <w:rPr>
          <w:rFonts w:ascii="Times New Roman" w:hAnsi="Times New Roman"/>
          <w:sz w:val="22"/>
          <w:szCs w:val="22"/>
        </w:rPr>
        <w: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Quant aux entreprises engagées dans une politique RSE, elles pourraient participer à</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désenclavement</w:t>
      </w:r>
      <w:r w:rsidR="004533D6">
        <w:rPr>
          <w:rFonts w:ascii="Times New Roman" w:hAnsi="Times New Roman"/>
          <w:sz w:val="22"/>
          <w:szCs w:val="22"/>
        </w:rPr>
        <w:t xml:space="preserve"> </w:t>
      </w:r>
      <w:r w:rsidRPr="00743B0B">
        <w:rPr>
          <w:rFonts w:ascii="Times New Roman" w:hAnsi="Times New Roman"/>
          <w:sz w:val="22"/>
          <w:szCs w:val="22"/>
        </w:rPr>
        <w:t>et au développement de la localité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l’assainissement et à la gestion des déchets</w:t>
      </w:r>
      <w:r w:rsidR="005F4017">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développement d’infrastructures (routes, téléphones, eau, électricité)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 Accès à des services essentiels (infrastr</w:t>
      </w:r>
      <w:r w:rsidR="005F4017">
        <w:rPr>
          <w:rFonts w:ascii="Times New Roman" w:hAnsi="Times New Roman"/>
          <w:sz w:val="22"/>
          <w:szCs w:val="22"/>
        </w:rPr>
        <w:t>uctures de santé,</w:t>
      </w:r>
      <w:r w:rsidR="004533D6">
        <w:rPr>
          <w:rFonts w:ascii="Times New Roman" w:hAnsi="Times New Roman"/>
          <w:sz w:val="22"/>
          <w:szCs w:val="22"/>
        </w:rPr>
        <w:t xml:space="preserve"> </w:t>
      </w:r>
      <w:r w:rsidR="005F4017">
        <w:rPr>
          <w:rFonts w:ascii="Times New Roman" w:hAnsi="Times New Roman"/>
          <w:sz w:val="22"/>
          <w:szCs w:val="22"/>
        </w:rPr>
        <w:t>éducation…)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Appui aux activités socioéducatives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Promotion de la main d’œuvre locale.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Par conséquent l’intervention du </w:t>
      </w:r>
      <w:r w:rsidR="00E80173">
        <w:rPr>
          <w:rFonts w:ascii="Times New Roman" w:hAnsi="Times New Roman"/>
          <w:sz w:val="22"/>
          <w:szCs w:val="22"/>
        </w:rPr>
        <w:t>PFNAC</w:t>
      </w:r>
      <w:r w:rsidRPr="00743B0B">
        <w:rPr>
          <w:rFonts w:ascii="Times New Roman" w:hAnsi="Times New Roman"/>
          <w:sz w:val="22"/>
          <w:szCs w:val="22"/>
        </w:rPr>
        <w:t xml:space="preserve"> devrait dans un premier temps être orientée au renforcement des capacités des élus à porter le plaidoyer pour une RSE efficiente et efficace par des actions de formation, des visites d’échange.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Ensuite le </w:t>
      </w:r>
      <w:r w:rsidR="00E80173">
        <w:rPr>
          <w:rFonts w:ascii="Times New Roman" w:hAnsi="Times New Roman"/>
          <w:sz w:val="22"/>
          <w:szCs w:val="22"/>
        </w:rPr>
        <w:t>PFNAC</w:t>
      </w:r>
      <w:r w:rsidRPr="00743B0B">
        <w:rPr>
          <w:rFonts w:ascii="Times New Roman" w:hAnsi="Times New Roman"/>
          <w:sz w:val="22"/>
          <w:szCs w:val="22"/>
        </w:rPr>
        <w:t xml:space="preserve"> devrait aider à l’installation d’un cadre d’échange permettant aux entreprises de se retrouver avec la collectivité locale pour développer des projets commun</w:t>
      </w:r>
      <w:r w:rsidR="0077528A">
        <w:rPr>
          <w:rFonts w:ascii="Times New Roman" w:hAnsi="Times New Roman"/>
          <w:sz w:val="22"/>
          <w:szCs w:val="22"/>
        </w:rPr>
        <w:t>s</w:t>
      </w:r>
      <w:r w:rsidRPr="00743B0B">
        <w:rPr>
          <w:rFonts w:ascii="Times New Roman" w:hAnsi="Times New Roman"/>
          <w:sz w:val="22"/>
          <w:szCs w:val="22"/>
        </w:rPr>
        <w:t>.</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Le Programme social minier</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 Le Programme social Minier (PSM) est un exercice de Responsabilité Sociale d’Entreprise (RSE), il résulte d’engagements spécifiques d’investissements sociaux au profit des populations des collectivités locales abritant les opérations minières, qui ont été négociés dans le cadre des conventions minières entre l’Etat et les sociétés minières. Il est directement exécuté par lesdites sociétés en partant des préoccupations exprimées par les populations elles-mêmes, sous la supervision du Ministère en charge des mines. C’est ainsi que d’importants travaux d’infrastructures socio- éducatives ont été réalisés ou sont en cours d’achèvement (extension du lycée de Kédougou, construction d’écoles, construction et équipement du collège de Khossanto, modernisation et équipement du collège de Saraya, réalisation de forages et de châteaux d’eau, de bornes fontaines et d’abreuvoirs, électrification par voie solaire, construction et équipement de postes et cases de santé, construction et réhabilitation de routes, piste et ponts, allégement des travaux de la femme, etc.). A ces infrastructures et équipements, s’ajoute un important volet de bourses et de subventions pour les étudiants ressortissants de Kédougou.</w:t>
      </w: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0" w:name="_Toc498638409"/>
      <w:r w:rsidRPr="00743B0B">
        <w:rPr>
          <w:rFonts w:eastAsia="MS Gothic"/>
          <w:b/>
          <w:bCs/>
          <w:color w:val="4F81BD"/>
          <w:sz w:val="26"/>
          <w:szCs w:val="26"/>
          <w:lang w:eastAsia="fr-FR"/>
        </w:rPr>
        <w:t xml:space="preserve">I.2 Mécanismes privés qui peuvent être promus par le </w:t>
      </w:r>
      <w:r w:rsidR="00E80173">
        <w:rPr>
          <w:rFonts w:eastAsia="MS Gothic"/>
          <w:b/>
          <w:bCs/>
          <w:color w:val="4F81BD"/>
          <w:sz w:val="26"/>
          <w:szCs w:val="26"/>
          <w:lang w:eastAsia="fr-FR"/>
        </w:rPr>
        <w:t>PFNAC</w:t>
      </w:r>
      <w:bookmarkEnd w:id="70"/>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u w:val="single"/>
        </w:rPr>
      </w:pPr>
      <w:r w:rsidRPr="00743B0B">
        <w:rPr>
          <w:rFonts w:ascii="Times New Roman" w:hAnsi="Times New Roman"/>
          <w:b/>
          <w:i/>
          <w:sz w:val="22"/>
          <w:szCs w:val="22"/>
          <w:u w:val="single"/>
        </w:rPr>
        <w:t>- Warrantage</w:t>
      </w:r>
    </w:p>
    <w:p w:rsidR="00743B0B" w:rsidRPr="00743B0B" w:rsidRDefault="00743B0B" w:rsidP="00743B0B">
      <w:pPr>
        <w:rPr>
          <w:rFonts w:ascii="Times New Roman" w:hAnsi="Times New Roman"/>
          <w:sz w:val="22"/>
          <w:szCs w:val="22"/>
        </w:rPr>
      </w:pPr>
      <w:r w:rsidRPr="00743B0B">
        <w:rPr>
          <w:rFonts w:ascii="Times New Roman" w:hAnsi="Times New Roman"/>
          <w:b/>
          <w:bCs/>
          <w:sz w:val="22"/>
          <w:szCs w:val="22"/>
        </w:rPr>
        <w:t xml:space="preserve">Le warrantage </w:t>
      </w:r>
      <w:r w:rsidRPr="00743B0B">
        <w:rPr>
          <w:rFonts w:ascii="Times New Roman" w:hAnsi="Times New Roman"/>
          <w:sz w:val="22"/>
          <w:szCs w:val="22"/>
        </w:rPr>
        <w:t xml:space="preserve">est un système où le prêt est garanti par le produit agricole dont la valeur augmente sur une période donnée.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Il s’agit d’un mécanisme de financement </w:t>
      </w:r>
      <w:r w:rsidR="00311A1A">
        <w:rPr>
          <w:rFonts w:ascii="Times New Roman" w:hAnsi="Times New Roman"/>
          <w:sz w:val="22"/>
          <w:szCs w:val="22"/>
        </w:rPr>
        <w:t>novateur</w:t>
      </w:r>
      <w:r w:rsidRPr="00743B0B">
        <w:rPr>
          <w:rFonts w:ascii="Times New Roman" w:hAnsi="Times New Roman"/>
          <w:sz w:val="22"/>
          <w:szCs w:val="22"/>
        </w:rPr>
        <w:t xml:space="preserve"> qui facilite l’accès au crédit pour les agriculteurs les plus pauvres ne pouvant présenter les garanties nécessaires. Le crédit obtenu peut être utilisé pour plusieurs dépenses. Ce système permet l’accès au financement d’intrants agricoles, réduit les coûts de transactions pour les acheteurs, réduit l’insécurité alimentaire et la vulnérabilité face à des changements de prix sur les marchés, réduit les risques de crédit pour l’IMF et finalement contribue à augmenter le pouvoir de négociation des producteurs agricoles.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première chose à faire est de connaître le marché, afin de déterminer les produits éligibles dans le cadre du warrantage. Aussi, il faut mettre en place des partenariats avec différents acteurs. En particulier, les relations avec les organisations paysannes doivent être solides et transparentes.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Du côté des défis posés par le warrantage, on peut noter le manque d’infrastructures, de compétences et de connaissances, qui ne permet pas de mettre en place un bon produit et d’assurer sa durabilité.</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B0195E">
        <w:rPr>
          <w:rFonts w:ascii="Times New Roman" w:hAnsi="Times New Roman"/>
          <w:sz w:val="22"/>
          <w:szCs w:val="22"/>
        </w:rPr>
        <w:t>Le warrantage est un investissement</w:t>
      </w:r>
      <w:r w:rsidRPr="00743B0B">
        <w:rPr>
          <w:rFonts w:ascii="Times New Roman" w:hAnsi="Times New Roman"/>
          <w:sz w:val="22"/>
          <w:szCs w:val="22"/>
        </w:rPr>
        <w:t xml:space="preserve"> conjoint, qui fonctionnent avec 3 acteurs principaux</w:t>
      </w:r>
      <w:r w:rsidR="005F4017">
        <w:rPr>
          <w:rFonts w:ascii="Times New Roman" w:hAnsi="Times New Roman"/>
          <w:sz w:val="22"/>
          <w:szCs w:val="22"/>
        </w:rPr>
        <w:t> </w:t>
      </w:r>
      <w:r w:rsidRPr="00743B0B">
        <w:rPr>
          <w:rFonts w:ascii="Times New Roman" w:hAnsi="Times New Roman"/>
          <w:sz w:val="22"/>
          <w:szCs w:val="22"/>
        </w:rPr>
        <w:t>:</w:t>
      </w:r>
    </w:p>
    <w:p w:rsidR="00743B0B" w:rsidRPr="00743B0B" w:rsidRDefault="005F4017" w:rsidP="00743B0B">
      <w:pPr>
        <w:rPr>
          <w:rFonts w:ascii="Times New Roman" w:hAnsi="Times New Roman"/>
          <w:sz w:val="22"/>
          <w:szCs w:val="22"/>
        </w:rPr>
      </w:pPr>
      <w:r>
        <w:rPr>
          <w:rFonts w:ascii="Times New Roman" w:hAnsi="Times New Roman"/>
          <w:b/>
          <w:bCs/>
          <w:sz w:val="22"/>
          <w:szCs w:val="22"/>
        </w:rPr>
        <w:t>-c</w:t>
      </w:r>
      <w:r w:rsidR="00743B0B" w:rsidRPr="00743B0B">
        <w:rPr>
          <w:rFonts w:ascii="Times New Roman" w:hAnsi="Times New Roman"/>
          <w:b/>
          <w:bCs/>
          <w:sz w:val="22"/>
          <w:szCs w:val="22"/>
        </w:rPr>
        <w:t>oopérative</w:t>
      </w:r>
      <w:r w:rsidR="00743B0B" w:rsidRPr="00743B0B">
        <w:rPr>
          <w:rFonts w:ascii="Times New Roman" w:hAnsi="Times New Roman"/>
          <w:sz w:val="22"/>
          <w:szCs w:val="22"/>
        </w:rPr>
        <w:t xml:space="preserve"> des agriculteurs bien organisé</w:t>
      </w:r>
      <w:r>
        <w:rPr>
          <w:rFonts w:ascii="Times New Roman" w:hAnsi="Times New Roman"/>
          <w:sz w:val="22"/>
          <w:szCs w:val="22"/>
        </w:rPr>
        <w:t>s</w:t>
      </w:r>
    </w:p>
    <w:p w:rsidR="00743B0B" w:rsidRPr="00743B0B" w:rsidRDefault="00743B0B" w:rsidP="00743B0B">
      <w:pPr>
        <w:rPr>
          <w:rFonts w:ascii="Times New Roman" w:hAnsi="Times New Roman"/>
          <w:sz w:val="22"/>
          <w:szCs w:val="22"/>
        </w:rPr>
      </w:pPr>
      <w:r w:rsidRPr="00743B0B">
        <w:rPr>
          <w:rFonts w:ascii="Times New Roman" w:hAnsi="Times New Roman"/>
          <w:b/>
          <w:bCs/>
          <w:sz w:val="22"/>
          <w:szCs w:val="22"/>
        </w:rPr>
        <w:t>-</w:t>
      </w:r>
      <w:r w:rsidR="005F4017">
        <w:rPr>
          <w:rFonts w:ascii="Times New Roman" w:hAnsi="Times New Roman"/>
          <w:b/>
          <w:bCs/>
          <w:sz w:val="22"/>
          <w:szCs w:val="22"/>
        </w:rPr>
        <w:t>i</w:t>
      </w:r>
      <w:r w:rsidRPr="00743B0B">
        <w:rPr>
          <w:rFonts w:ascii="Times New Roman" w:hAnsi="Times New Roman"/>
          <w:b/>
          <w:bCs/>
          <w:sz w:val="22"/>
          <w:szCs w:val="22"/>
        </w:rPr>
        <w:t>nstitution financière</w:t>
      </w:r>
      <w:r w:rsidRPr="00743B0B">
        <w:rPr>
          <w:rFonts w:ascii="Times New Roman" w:hAnsi="Times New Roman"/>
          <w:sz w:val="22"/>
          <w:szCs w:val="22"/>
        </w:rPr>
        <w:t xml:space="preserve"> locale intéressée</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5F4017" w:rsidP="00743B0B">
      <w:pPr>
        <w:rPr>
          <w:rFonts w:ascii="Times New Roman" w:hAnsi="Times New Roman"/>
          <w:sz w:val="22"/>
          <w:szCs w:val="22"/>
        </w:rPr>
      </w:pPr>
      <w:r>
        <w:rPr>
          <w:rFonts w:ascii="Times New Roman" w:hAnsi="Times New Roman"/>
          <w:b/>
          <w:bCs/>
          <w:sz w:val="22"/>
          <w:szCs w:val="22"/>
        </w:rPr>
        <w:t>-m</w:t>
      </w:r>
      <w:r w:rsidR="00743B0B" w:rsidRPr="00743B0B">
        <w:rPr>
          <w:rFonts w:ascii="Times New Roman" w:hAnsi="Times New Roman"/>
          <w:b/>
          <w:bCs/>
          <w:sz w:val="22"/>
          <w:szCs w:val="22"/>
        </w:rPr>
        <w:t xml:space="preserve">agasin </w:t>
      </w:r>
      <w:r w:rsidR="00743B0B" w:rsidRPr="00743B0B">
        <w:rPr>
          <w:rFonts w:ascii="Times New Roman" w:hAnsi="Times New Roman"/>
          <w:sz w:val="22"/>
          <w:szCs w:val="22"/>
        </w:rPr>
        <w:t>sécurisé pour le stockage des produits mis en dépôt</w:t>
      </w:r>
      <w:r>
        <w:rPr>
          <w:rFonts w:ascii="Times New Roman" w:hAnsi="Times New Roman"/>
          <w:sz w:val="22"/>
          <w:szCs w:val="22"/>
        </w:rPr>
        <w:t>.</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b/>
          <w:sz w:val="22"/>
          <w:szCs w:val="22"/>
        </w:rPr>
        <w:sectPr w:rsidR="00743B0B" w:rsidRPr="00743B0B" w:rsidSect="00743B0B">
          <w:pgSz w:w="11900" w:h="16840"/>
          <w:pgMar w:top="1247" w:right="1247" w:bottom="1247" w:left="1247" w:header="709" w:footer="709" w:gutter="0"/>
          <w:cols w:space="708"/>
          <w:docGrid w:linePitch="360"/>
        </w:sectPr>
      </w:pP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Mécanismes du warrantage (voir descriptif du mécanisme ci-dessous)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83108F" w:rsidP="00743B0B">
      <w:pPr>
        <w:rPr>
          <w:rFonts w:ascii="Times New Roman" w:hAnsi="Times New Roman"/>
          <w:sz w:val="22"/>
          <w:szCs w:val="22"/>
        </w:rPr>
      </w:pPr>
      <w:r>
        <w:rPr>
          <w:rFonts w:ascii="Times New Roman" w:hAnsi="Times New Roman"/>
          <w:noProof/>
          <w:sz w:val="22"/>
          <w:szCs w:val="22"/>
          <w:lang w:eastAsia="fr-FR"/>
        </w:rPr>
        <mc:AlternateContent>
          <mc:Choice Requires="wps">
            <w:drawing>
              <wp:anchor distT="0" distB="0" distL="114300" distR="114300" simplePos="0" relativeHeight="251675648" behindDoc="0" locked="0" layoutInCell="1" allowOverlap="1" wp14:anchorId="571F29C9" wp14:editId="6192F7A2">
                <wp:simplePos x="0" y="0"/>
                <wp:positionH relativeFrom="column">
                  <wp:posOffset>2794000</wp:posOffset>
                </wp:positionH>
                <wp:positionV relativeFrom="paragraph">
                  <wp:posOffset>145415</wp:posOffset>
                </wp:positionV>
                <wp:extent cx="2707640" cy="715645"/>
                <wp:effectExtent l="17145" t="12700" r="18415" b="1460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7640" cy="715645"/>
                        </a:xfrm>
                        <a:prstGeom prst="rect">
                          <a:avLst/>
                        </a:prstGeom>
                        <a:solidFill>
                          <a:srgbClr val="FFFFFF"/>
                        </a:solidFill>
                        <a:ln w="25400">
                          <a:solidFill>
                            <a:srgbClr val="000000"/>
                          </a:solidFill>
                          <a:miter lim="800000"/>
                          <a:headEnd/>
                          <a:tailEnd/>
                        </a:ln>
                      </wps:spPr>
                      <wps:txbx>
                        <w:txbxContent>
                          <w:p w:rsidR="00061010" w:rsidRPr="005B05D2" w:rsidRDefault="00061010" w:rsidP="00743B0B">
                            <w:pPr>
                              <w:jc w:val="center"/>
                              <w:rPr>
                                <w:rFonts w:ascii="Arial Narrow" w:hAnsi="Arial Narrow"/>
                                <w:b/>
                                <w:sz w:val="40"/>
                              </w:rPr>
                            </w:pPr>
                            <w:r w:rsidRPr="005B05D2">
                              <w:rPr>
                                <w:rFonts w:ascii="Arial Narrow" w:hAnsi="Arial Narrow"/>
                                <w:b/>
                                <w:sz w:val="40"/>
                              </w:rPr>
                              <w:t>Gestion du magasin et entretien du stock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71F29C9" id="Rectangle 6" o:spid="_x0000_s1066" style="position:absolute;left:0;text-align:left;margin-left:220pt;margin-top:11.45pt;width:213.2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" strokeweight="2pt">
                <v:path arrowok="t"/>
                <v:textbox>
                  <w:txbxContent>
                    <w:p w:rsidR="00061010" w:rsidRPr="005B05D2" w:rsidRDefault="00061010" w:rsidP="00743B0B">
                      <w:pPr>
                        <w:jc w:val="center"/>
                        <w:rPr>
                          <w:rFonts w:ascii="Arial Narrow" w:hAnsi="Arial Narrow"/>
                          <w:b/>
                          <w:sz w:val="40"/>
                        </w:rPr>
                      </w:pPr>
                      <w:r w:rsidRPr="005B05D2">
                        <w:rPr>
                          <w:rFonts w:ascii="Arial Narrow" w:hAnsi="Arial Narrow"/>
                          <w:b/>
                          <w:sz w:val="40"/>
                        </w:rPr>
                        <w:t>Gestion du magasin et entretien du stock</w:t>
                      </w:r>
                    </w:p>
                  </w:txbxContent>
                </v:textbox>
              </v:rect>
            </w:pict>
          </mc:Fallback>
        </mc:AlternateContent>
      </w:r>
    </w:p>
    <w:p w:rsidR="00743B0B" w:rsidRPr="00743B0B" w:rsidRDefault="0083108F" w:rsidP="00743B0B">
      <w:pPr>
        <w:rPr>
          <w:rFonts w:ascii="Times New Roman" w:hAnsi="Times New Roman"/>
          <w:sz w:val="22"/>
          <w:szCs w:val="22"/>
        </w:rPr>
      </w:pPr>
      <w:r>
        <w:rPr>
          <w:rFonts w:ascii="Times New Roman" w:hAnsi="Times New Roman"/>
          <w:noProof/>
          <w:sz w:val="22"/>
          <w:szCs w:val="22"/>
          <w:lang w:eastAsia="fr-FR"/>
        </w:rPr>
        <mc:AlternateContent>
          <mc:Choice Requires="wps">
            <w:drawing>
              <wp:anchor distT="0" distB="0" distL="114300" distR="114300" simplePos="0" relativeHeight="251686912" behindDoc="0" locked="0" layoutInCell="1" allowOverlap="1" wp14:anchorId="5E32E61B" wp14:editId="61B274FF">
                <wp:simplePos x="0" y="0"/>
                <wp:positionH relativeFrom="column">
                  <wp:posOffset>1246505</wp:posOffset>
                </wp:positionH>
                <wp:positionV relativeFrom="paragraph">
                  <wp:posOffset>1495425</wp:posOffset>
                </wp:positionV>
                <wp:extent cx="1626235" cy="2242820"/>
                <wp:effectExtent l="22225" t="27940" r="104140" b="91440"/>
                <wp:wrapNone/>
                <wp:docPr id="20"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6235" cy="224282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12B6CA8" id="Connecteur droit avec flèche 17" o:spid="_x0000_s1026" type="#_x0000_t32" style="position:absolute;margin-left:98.15pt;margin-top:117.75pt;width:128.05pt;height:17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7936" behindDoc="0" locked="0" layoutInCell="1" allowOverlap="1" wp14:anchorId="163F36A7" wp14:editId="12205A3F">
                <wp:simplePos x="0" y="0"/>
                <wp:positionH relativeFrom="column">
                  <wp:posOffset>895985</wp:posOffset>
                </wp:positionH>
                <wp:positionV relativeFrom="paragraph">
                  <wp:posOffset>1634490</wp:posOffset>
                </wp:positionV>
                <wp:extent cx="1562735" cy="2256790"/>
                <wp:effectExtent l="109855" t="81280" r="22860" b="24130"/>
                <wp:wrapNone/>
                <wp:docPr id="19"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62735" cy="225679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B2818" id="Connecteur droit avec flèche 18" o:spid="_x0000_s1026" type="#_x0000_t32" style="position:absolute;margin-left:70.55pt;margin-top:128.7pt;width:123.05pt;height:177.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9984" behindDoc="0" locked="0" layoutInCell="1" allowOverlap="1" wp14:anchorId="7E32D17D" wp14:editId="7E9BA7DC">
                <wp:simplePos x="0" y="0"/>
                <wp:positionH relativeFrom="column">
                  <wp:posOffset>5967095</wp:posOffset>
                </wp:positionH>
                <wp:positionV relativeFrom="paragraph">
                  <wp:posOffset>1612265</wp:posOffset>
                </wp:positionV>
                <wp:extent cx="1510030" cy="2125980"/>
                <wp:effectExtent l="27940" t="87630" r="109855" b="24765"/>
                <wp:wrapNone/>
                <wp:docPr id="18"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212598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06727" id="Connecteur droit avec flèche 20" o:spid="_x0000_s1026" type="#_x0000_t32" style="position:absolute;margin-left:469.85pt;margin-top:126.95pt;width:118.9pt;height:167.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8720" behindDoc="0" locked="0" layoutInCell="1" allowOverlap="1" wp14:anchorId="3483A214" wp14:editId="38ED962F">
                <wp:simplePos x="0" y="0"/>
                <wp:positionH relativeFrom="column">
                  <wp:posOffset>2872740</wp:posOffset>
                </wp:positionH>
                <wp:positionV relativeFrom="paragraph">
                  <wp:posOffset>5132070</wp:posOffset>
                </wp:positionV>
                <wp:extent cx="892810" cy="292735"/>
                <wp:effectExtent l="10160" t="6985" r="11430" b="508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83A214" id="Rectangle 9" o:spid="_x0000_s1067" style="position:absolute;left:0;text-align:left;margin-left:226.2pt;margin-top:404.1pt;width:70.3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1792" behindDoc="0" locked="0" layoutInCell="1" allowOverlap="1" wp14:anchorId="0DA75667" wp14:editId="67AA7246">
                <wp:simplePos x="0" y="0"/>
                <wp:positionH relativeFrom="column">
                  <wp:posOffset>4181475</wp:posOffset>
                </wp:positionH>
                <wp:positionV relativeFrom="paragraph">
                  <wp:posOffset>5132070</wp:posOffset>
                </wp:positionV>
                <wp:extent cx="977900" cy="292735"/>
                <wp:effectExtent l="13970" t="6985" r="8255" b="508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A75667" id="Rectangle 12" o:spid="_x0000_s1068" style="position:absolute;left:0;text-align:left;margin-left:329.25pt;margin-top:404.1pt;width:77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3840" behindDoc="0" locked="0" layoutInCell="1" allowOverlap="1" wp14:anchorId="10EEE4DD" wp14:editId="37CEA84F">
                <wp:simplePos x="0" y="0"/>
                <wp:positionH relativeFrom="column">
                  <wp:posOffset>4745355</wp:posOffset>
                </wp:positionH>
                <wp:positionV relativeFrom="paragraph">
                  <wp:posOffset>4643120</wp:posOffset>
                </wp:positionV>
                <wp:extent cx="1031240" cy="292735"/>
                <wp:effectExtent l="6350" t="13335" r="10160" b="825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EEE4DD" id="Rectangle 14" o:spid="_x0000_s1069" style="position:absolute;left:0;text-align:left;margin-left:373.65pt;margin-top:365.6pt;width:81.2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2816" behindDoc="0" locked="0" layoutInCell="1" allowOverlap="1" wp14:anchorId="0E1BB71E" wp14:editId="584CBA43">
                <wp:simplePos x="0" y="0"/>
                <wp:positionH relativeFrom="column">
                  <wp:posOffset>3511550</wp:posOffset>
                </wp:positionH>
                <wp:positionV relativeFrom="paragraph">
                  <wp:posOffset>4632325</wp:posOffset>
                </wp:positionV>
                <wp:extent cx="998855" cy="292735"/>
                <wp:effectExtent l="10795" t="12065" r="9525" b="9525"/>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1BB71E" id="Rectangle 13" o:spid="_x0000_s1070" style="position:absolute;left:0;text-align:left;margin-left:276.5pt;margin-top:364.75pt;width:78.6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0768" behindDoc="0" locked="0" layoutInCell="1" allowOverlap="1" wp14:anchorId="1292774E" wp14:editId="17F7B272">
                <wp:simplePos x="0" y="0"/>
                <wp:positionH relativeFrom="column">
                  <wp:posOffset>2277745</wp:posOffset>
                </wp:positionH>
                <wp:positionV relativeFrom="paragraph">
                  <wp:posOffset>4632325</wp:posOffset>
                </wp:positionV>
                <wp:extent cx="1020445" cy="292735"/>
                <wp:effectExtent l="5715" t="12065" r="12065"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92774E" id="Rectangle 11" o:spid="_x0000_s1071" style="position:absolute;left:0;text-align:left;margin-left:179.35pt;margin-top:364.75pt;width:80.35pt;height:2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2576" behindDoc="0" locked="0" layoutInCell="1" allowOverlap="1" wp14:anchorId="1485815B" wp14:editId="60C02D8A">
                <wp:simplePos x="0" y="0"/>
                <wp:positionH relativeFrom="column">
                  <wp:posOffset>6793230</wp:posOffset>
                </wp:positionH>
                <wp:positionV relativeFrom="paragraph">
                  <wp:posOffset>3362960</wp:posOffset>
                </wp:positionV>
                <wp:extent cx="1431925" cy="715645"/>
                <wp:effectExtent l="15875" t="19050" r="19050" b="1778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715645"/>
                        </a:xfrm>
                        <a:prstGeom prst="rect">
                          <a:avLst/>
                        </a:prstGeom>
                        <a:solidFill>
                          <a:srgbClr val="FFFFFF"/>
                        </a:solidFill>
                        <a:ln w="25400">
                          <a:solidFill>
                            <a:srgbClr val="000000"/>
                          </a:solidFill>
                          <a:miter lim="800000"/>
                          <a:headEnd/>
                          <a:tailEnd/>
                        </a:ln>
                      </wps:spPr>
                      <wps:txbx>
                        <w:txbxContent>
                          <w:p w:rsidR="00061010" w:rsidRPr="007B0178" w:rsidRDefault="00061010" w:rsidP="00743B0B">
                            <w:pPr>
                              <w:jc w:val="center"/>
                              <w:rPr>
                                <w:rFonts w:ascii="Arial Narrow" w:hAnsi="Arial Narrow"/>
                                <w:b/>
                                <w:sz w:val="40"/>
                              </w:rPr>
                            </w:pPr>
                            <w:r w:rsidRPr="007B0178">
                              <w:rPr>
                                <w:rFonts w:ascii="Arial Narrow" w:hAnsi="Arial Narrow"/>
                                <w:b/>
                                <w:sz w:val="40"/>
                              </w:rPr>
                              <w:t>Dépôt du produit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485815B" id="Rectangle 3" o:spid="_x0000_s1072" style="position:absolute;left:0;text-align:left;margin-left:534.9pt;margin-top:264.8pt;width:112.75pt;height:5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" strokeweight="2pt">
                <v:path arrowok="t"/>
                <v:textbox>
                  <w:txbxContent>
                    <w:p w:rsidR="00061010" w:rsidRPr="007B0178" w:rsidRDefault="00061010" w:rsidP="00743B0B">
                      <w:pPr>
                        <w:jc w:val="center"/>
                        <w:rPr>
                          <w:rFonts w:ascii="Arial Narrow" w:hAnsi="Arial Narrow"/>
                          <w:b/>
                          <w:sz w:val="40"/>
                        </w:rPr>
                      </w:pPr>
                      <w:r w:rsidRPr="007B0178">
                        <w:rPr>
                          <w:rFonts w:ascii="Arial Narrow" w:hAnsi="Arial Narrow"/>
                          <w:b/>
                          <w:sz w:val="40"/>
                        </w:rPr>
                        <w:t>Dépôt du produit</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8960" behindDoc="0" locked="0" layoutInCell="1" allowOverlap="1" wp14:anchorId="479FEACA" wp14:editId="5CFF1130">
                <wp:simplePos x="0" y="0"/>
                <wp:positionH relativeFrom="column">
                  <wp:posOffset>5584825</wp:posOffset>
                </wp:positionH>
                <wp:positionV relativeFrom="paragraph">
                  <wp:posOffset>1612900</wp:posOffset>
                </wp:positionV>
                <wp:extent cx="1403350" cy="2040890"/>
                <wp:effectExtent l="112395" t="21590" r="27305" b="90170"/>
                <wp:wrapNone/>
                <wp:docPr id="11"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03350" cy="204089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E42C7" id="Connecteur droit avec flèche 19" o:spid="_x0000_s1026" type="#_x0000_t32" style="position:absolute;margin-left:439.75pt;margin-top:127pt;width:110.5pt;height:160.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7696" behindDoc="0" locked="0" layoutInCell="1" allowOverlap="1" wp14:anchorId="4043350E" wp14:editId="6D573306">
                <wp:simplePos x="0" y="0"/>
                <wp:positionH relativeFrom="column">
                  <wp:posOffset>2767330</wp:posOffset>
                </wp:positionH>
                <wp:positionV relativeFrom="paragraph">
                  <wp:posOffset>3856355</wp:posOffset>
                </wp:positionV>
                <wp:extent cx="3008630" cy="488950"/>
                <wp:effectExtent l="19050" t="17145" r="20320" b="177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8630" cy="488950"/>
                        </a:xfrm>
                        <a:prstGeom prst="rect">
                          <a:avLst/>
                        </a:prstGeom>
                        <a:solidFill>
                          <a:srgbClr val="A5A5A5"/>
                        </a:solidFill>
                        <a:ln w="25400">
                          <a:solidFill>
                            <a:srgbClr val="000000"/>
                          </a:solidFill>
                          <a:miter lim="800000"/>
                          <a:headEnd/>
                          <a:tailEnd/>
                        </a:ln>
                      </wps:spPr>
                      <wps:txbx>
                        <w:txbxContent>
                          <w:p w:rsidR="00061010" w:rsidRPr="00044386" w:rsidRDefault="00061010" w:rsidP="00743B0B">
                            <w:pPr>
                              <w:jc w:val="center"/>
                              <w:rPr>
                                <w:rFonts w:ascii="Arial Narrow" w:hAnsi="Arial Narrow"/>
                                <w:sz w:val="52"/>
                              </w:rPr>
                            </w:pPr>
                            <w:r w:rsidRPr="00044386">
                              <w:rPr>
                                <w:rFonts w:ascii="Arial Narrow" w:hAnsi="Arial Narrow"/>
                                <w:sz w:val="52"/>
                              </w:rPr>
                              <w:t>Coopérative</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43350E" id="Rectangle 8" o:spid="_x0000_s1073" style="position:absolute;left:0;text-align:left;margin-left:217.9pt;margin-top:303.65pt;width:236.9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" fillcolor="#a5a5a5" strokeweight="2pt">
                <v:path arrowok="t"/>
                <v:textbox>
                  <w:txbxContent>
                    <w:p w:rsidR="00061010" w:rsidRPr="00044386" w:rsidRDefault="00061010" w:rsidP="00743B0B">
                      <w:pPr>
                        <w:jc w:val="center"/>
                        <w:rPr>
                          <w:rFonts w:ascii="Arial Narrow" w:hAnsi="Arial Narrow"/>
                          <w:sz w:val="52"/>
                        </w:rPr>
                      </w:pPr>
                      <w:r w:rsidRPr="00044386">
                        <w:rPr>
                          <w:rFonts w:ascii="Arial Narrow" w:hAnsi="Arial Narrow"/>
                          <w:sz w:val="52"/>
                        </w:rPr>
                        <w:t>Coopérative</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6672" behindDoc="0" locked="0" layoutInCell="1" allowOverlap="1" wp14:anchorId="454D5E52" wp14:editId="4428546B">
                <wp:simplePos x="0" y="0"/>
                <wp:positionH relativeFrom="column">
                  <wp:posOffset>6083935</wp:posOffset>
                </wp:positionH>
                <wp:positionV relativeFrom="paragraph">
                  <wp:posOffset>647700</wp:posOffset>
                </wp:positionV>
                <wp:extent cx="1742440" cy="853440"/>
                <wp:effectExtent l="20955" t="18415" r="17780"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853440"/>
                        </a:xfrm>
                        <a:prstGeom prst="rect">
                          <a:avLst/>
                        </a:prstGeom>
                        <a:solidFill>
                          <a:srgbClr val="F2F2F2"/>
                        </a:solidFill>
                        <a:ln w="28575">
                          <a:solidFill>
                            <a:srgbClr val="000000"/>
                          </a:solidFill>
                          <a:miter lim="800000"/>
                          <a:headEnd/>
                          <a:tailEnd/>
                        </a:ln>
                      </wps:spPr>
                      <wps:txbx>
                        <w:txbxContent>
                          <w:p w:rsidR="00061010" w:rsidRPr="008B5F29" w:rsidRDefault="00061010" w:rsidP="00743B0B">
                            <w:pPr>
                              <w:jc w:val="center"/>
                              <w:rPr>
                                <w:rFonts w:ascii="Arial Narrow" w:hAnsi="Arial Narrow"/>
                                <w:b/>
                                <w:sz w:val="48"/>
                              </w:rPr>
                            </w:pPr>
                            <w:r w:rsidRPr="008B5F29">
                              <w:rPr>
                                <w:rFonts w:ascii="Arial Narrow" w:hAnsi="Arial Narrow"/>
                                <w:b/>
                                <w:sz w:val="48"/>
                              </w:rPr>
                              <w:t>Dépôt Magasin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4D5E52" id="Rectangle 7" o:spid="_x0000_s1074" style="position:absolute;left:0;text-align:left;margin-left:479.05pt;margin-top:51pt;width:137.2pt;height:6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" fillcolor="#f2f2f2" strokeweight="2.25pt">
                <v:path arrowok="t"/>
                <v:textbox>
                  <w:txbxContent>
                    <w:p w:rsidR="00061010" w:rsidRPr="008B5F29" w:rsidRDefault="00061010" w:rsidP="00743B0B">
                      <w:pPr>
                        <w:jc w:val="center"/>
                        <w:rPr>
                          <w:rFonts w:ascii="Arial Narrow" w:hAnsi="Arial Narrow"/>
                          <w:b/>
                          <w:sz w:val="48"/>
                        </w:rPr>
                      </w:pPr>
                      <w:r w:rsidRPr="008B5F29">
                        <w:rPr>
                          <w:rFonts w:ascii="Arial Narrow" w:hAnsi="Arial Narrow"/>
                          <w:b/>
                          <w:sz w:val="48"/>
                        </w:rPr>
                        <w:t>Dépôt Magasin</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4624" behindDoc="0" locked="0" layoutInCell="1" allowOverlap="1" wp14:anchorId="5A3B6489" wp14:editId="338CC98A">
                <wp:simplePos x="0" y="0"/>
                <wp:positionH relativeFrom="column">
                  <wp:posOffset>4255135</wp:posOffset>
                </wp:positionH>
                <wp:positionV relativeFrom="paragraph">
                  <wp:posOffset>2076450</wp:posOffset>
                </wp:positionV>
                <wp:extent cx="1466215" cy="715645"/>
                <wp:effectExtent l="20955" t="18415" r="17780"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715645"/>
                        </a:xfrm>
                        <a:prstGeom prst="rect">
                          <a:avLst/>
                        </a:prstGeom>
                        <a:solidFill>
                          <a:srgbClr val="FFFFFF"/>
                        </a:solidFill>
                        <a:ln w="25400">
                          <a:solidFill>
                            <a:srgbClr val="000000"/>
                          </a:solidFill>
                          <a:miter lim="800000"/>
                          <a:headEnd/>
                          <a:tailEnd/>
                        </a:ln>
                      </wps:spPr>
                      <wps:txb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A3B6489" id="Rectangle 5" o:spid="_x0000_s1075" style="position:absolute;left:0;text-align:left;margin-left:335.05pt;margin-top:163.5pt;width:115.45pt;height:5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" strokeweight="2pt">
                <v:path arrowok="t"/>
                <v:textbo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1552" behindDoc="0" locked="0" layoutInCell="1" allowOverlap="1" wp14:anchorId="3B1C90F2" wp14:editId="51F15746">
                <wp:simplePos x="0" y="0"/>
                <wp:positionH relativeFrom="column">
                  <wp:posOffset>2671445</wp:posOffset>
                </wp:positionH>
                <wp:positionV relativeFrom="paragraph">
                  <wp:posOffset>1729740</wp:posOffset>
                </wp:positionV>
                <wp:extent cx="1371600" cy="1573530"/>
                <wp:effectExtent l="18415" t="14605" r="19685" b="2159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573530"/>
                        </a:xfrm>
                        <a:prstGeom prst="rect">
                          <a:avLst/>
                        </a:prstGeom>
                        <a:solidFill>
                          <a:srgbClr val="FFFFFF"/>
                        </a:solidFill>
                        <a:ln w="25400">
                          <a:solidFill>
                            <a:srgbClr val="000000"/>
                          </a:solidFill>
                          <a:miter lim="800000"/>
                          <a:headEnd/>
                          <a:tailEnd/>
                        </a:ln>
                      </wps:spPr>
                      <wps:txbx>
                        <w:txbxContent>
                          <w:p w:rsidR="00061010" w:rsidRPr="005B05D2" w:rsidRDefault="00061010" w:rsidP="00743B0B">
                            <w:pPr>
                              <w:jc w:val="center"/>
                              <w:rPr>
                                <w:rFonts w:ascii="Arial Narrow" w:hAnsi="Arial Narrow"/>
                                <w:b/>
                                <w:sz w:val="32"/>
                                <w:szCs w:val="32"/>
                              </w:rPr>
                            </w:pPr>
                            <w:r w:rsidRPr="005B05D2">
                              <w:rPr>
                                <w:rFonts w:ascii="Arial Narrow" w:hAnsi="Arial Narrow"/>
                                <w:b/>
                                <w:sz w:val="40"/>
                              </w:rPr>
                              <w:t xml:space="preserve">Octroi du Prêt </w:t>
                            </w:r>
                            <w:r w:rsidRPr="005B05D2">
                              <w:rPr>
                                <w:rFonts w:ascii="Arial Narrow" w:hAnsi="Arial Narrow"/>
                                <w:b/>
                                <w:sz w:val="32"/>
                                <w:szCs w:val="32"/>
                              </w:rPr>
                              <w:t>(60% à 80% de la valeur du stock)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1C90F2" id="Rectangle 2" o:spid="_x0000_s1076" style="position:absolute;left:0;text-align:left;margin-left:210.35pt;margin-top:136.2pt;width:108pt;height:1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" strokeweight="2pt">
                <v:path arrowok="t"/>
                <v:textbox>
                  <w:txbxContent>
                    <w:p w:rsidR="00061010" w:rsidRPr="005B05D2" w:rsidRDefault="00061010" w:rsidP="00743B0B">
                      <w:pPr>
                        <w:jc w:val="center"/>
                        <w:rPr>
                          <w:rFonts w:ascii="Arial Narrow" w:hAnsi="Arial Narrow"/>
                          <w:b/>
                          <w:sz w:val="32"/>
                          <w:szCs w:val="32"/>
                        </w:rPr>
                      </w:pPr>
                      <w:r w:rsidRPr="005B05D2">
                        <w:rPr>
                          <w:rFonts w:ascii="Arial Narrow" w:hAnsi="Arial Narrow"/>
                          <w:b/>
                          <w:sz w:val="40"/>
                        </w:rPr>
                        <w:t xml:space="preserve">Octroi du Prêt </w:t>
                      </w:r>
                      <w:r w:rsidRPr="005B05D2">
                        <w:rPr>
                          <w:rFonts w:ascii="Arial Narrow" w:hAnsi="Arial Narrow"/>
                          <w:b/>
                          <w:sz w:val="32"/>
                          <w:szCs w:val="32"/>
                        </w:rPr>
                        <w:t>(60% à 80% de la valeur du stock)</w:t>
                      </w:r>
                    </w:p>
                  </w:txbxContent>
                </v:textbox>
              </v:rect>
            </w:pict>
          </mc:Fallback>
        </mc:AlternateContent>
      </w:r>
      <w:r>
        <w:rPr>
          <w:rFonts w:ascii="Times New Roman" w:hAnsi="Times New Roman"/>
          <w:noProof/>
          <w:sz w:val="22"/>
          <w:szCs w:val="22"/>
          <w:lang w:eastAsia="fr-FR"/>
        </w:rPr>
        <mc:AlternateContent>
          <mc:Choice Requires="wps">
            <w:drawing>
              <wp:anchor distT="4294967295" distB="4294967295" distL="114300" distR="114300" simplePos="0" relativeHeight="251685888" behindDoc="0" locked="0" layoutInCell="1" allowOverlap="1" wp14:anchorId="32ADFD96" wp14:editId="57E61F35">
                <wp:simplePos x="0" y="0"/>
                <wp:positionH relativeFrom="column">
                  <wp:posOffset>2458720</wp:posOffset>
                </wp:positionH>
                <wp:positionV relativeFrom="paragraph">
                  <wp:posOffset>1249045</wp:posOffset>
                </wp:positionV>
                <wp:extent cx="3221355" cy="0"/>
                <wp:effectExtent l="24765" t="114935" r="30480" b="123190"/>
                <wp:wrapNone/>
                <wp:docPr id="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2135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2B623" id="Connecteur droit avec flèche 16" o:spid="_x0000_s1026" type="#_x0000_t32" style="position:absolute;margin-left:193.6pt;margin-top:98.35pt;width:253.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4864" behindDoc="0" locked="0" layoutInCell="1" allowOverlap="1" wp14:anchorId="32482B8A" wp14:editId="15BB2D92">
                <wp:simplePos x="0" y="0"/>
                <wp:positionH relativeFrom="column">
                  <wp:posOffset>2458720</wp:posOffset>
                </wp:positionH>
                <wp:positionV relativeFrom="paragraph">
                  <wp:posOffset>866140</wp:posOffset>
                </wp:positionV>
                <wp:extent cx="3221355" cy="20955"/>
                <wp:effectExtent l="34290" t="122555" r="20955" b="94615"/>
                <wp:wrapNone/>
                <wp:docPr id="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21355" cy="2095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15421" id="Connecteur droit avec flèche 15" o:spid="_x0000_s1026" type="#_x0000_t32" style="position:absolute;margin-left:193.6pt;margin-top:68.2pt;width:253.65pt;height:1.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0528" behindDoc="0" locked="0" layoutInCell="1" allowOverlap="1" wp14:anchorId="48CFE4BF" wp14:editId="6A8761C1">
                <wp:simplePos x="0" y="0"/>
                <wp:positionH relativeFrom="column">
                  <wp:posOffset>143510</wp:posOffset>
                </wp:positionH>
                <wp:positionV relativeFrom="paragraph">
                  <wp:posOffset>541655</wp:posOffset>
                </wp:positionV>
                <wp:extent cx="2199640" cy="887730"/>
                <wp:effectExtent l="5080" t="7620" r="5080" b="952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640" cy="887730"/>
                        </a:xfrm>
                        <a:prstGeom prst="rect">
                          <a:avLst/>
                        </a:prstGeom>
                        <a:solidFill>
                          <a:srgbClr val="BFBFBF"/>
                        </a:solidFill>
                        <a:ln w="3175">
                          <a:solidFill>
                            <a:srgbClr val="000000"/>
                          </a:solidFill>
                          <a:miter lim="800000"/>
                          <a:headEnd/>
                          <a:tailEnd/>
                        </a:ln>
                      </wps:spPr>
                      <wps:txbx>
                        <w:txbxContent>
                          <w:p w:rsidR="00061010" w:rsidRPr="00743B0B" w:rsidRDefault="00061010" w:rsidP="00743B0B">
                            <w:pPr>
                              <w:jc w:val="center"/>
                              <w:rPr>
                                <w:rFonts w:ascii="Arial Narrow" w:hAnsi="Arial Narrow"/>
                                <w:b/>
                                <w:color w:val="FFFFFF"/>
                                <w:sz w:val="48"/>
                                <w:szCs w:val="48"/>
                              </w:rPr>
                            </w:pPr>
                            <w:r w:rsidRPr="00743B0B">
                              <w:rPr>
                                <w:rFonts w:ascii="Arial Narrow" w:hAnsi="Arial Narrow"/>
                                <w:b/>
                                <w:color w:val="FFFFFF"/>
                                <w:sz w:val="48"/>
                                <w:szCs w:val="48"/>
                              </w:rPr>
                              <w:t>Institution de Microfinance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FE4BF" id="Rectangle 1" o:spid="_x0000_s1077" style="position:absolute;left:0;text-align:left;margin-left:11.3pt;margin-top:42.65pt;width:173.2pt;height:6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" fillcolor="#bfbfbf" strokeweight=".25pt">
                <v:path arrowok="t"/>
                <v:textbox>
                  <w:txbxContent>
                    <w:p w:rsidR="00061010" w:rsidRPr="00743B0B" w:rsidRDefault="00061010" w:rsidP="00743B0B">
                      <w:pPr>
                        <w:jc w:val="center"/>
                        <w:rPr>
                          <w:rFonts w:ascii="Arial Narrow" w:hAnsi="Arial Narrow"/>
                          <w:b/>
                          <w:color w:val="FFFFFF"/>
                          <w:sz w:val="48"/>
                          <w:szCs w:val="48"/>
                        </w:rPr>
                      </w:pPr>
                      <w:r w:rsidRPr="00743B0B">
                        <w:rPr>
                          <w:rFonts w:ascii="Arial Narrow" w:hAnsi="Arial Narrow"/>
                          <w:b/>
                          <w:color w:val="FFFFFF"/>
                          <w:sz w:val="48"/>
                          <w:szCs w:val="48"/>
                        </w:rPr>
                        <w:t>Institution de Microfinance</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9744" behindDoc="0" locked="0" layoutInCell="1" allowOverlap="1" wp14:anchorId="66BE184E" wp14:editId="25B75775">
                <wp:simplePos x="0" y="0"/>
                <wp:positionH relativeFrom="column">
                  <wp:posOffset>6924675</wp:posOffset>
                </wp:positionH>
                <wp:positionV relativeFrom="paragraph">
                  <wp:posOffset>4619625</wp:posOffset>
                </wp:positionV>
                <wp:extent cx="2199640" cy="372110"/>
                <wp:effectExtent l="13970" t="18415" r="15240" b="1905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640" cy="372110"/>
                        </a:xfrm>
                        <a:prstGeom prst="rect">
                          <a:avLst/>
                        </a:prstGeom>
                        <a:solidFill>
                          <a:srgbClr val="FFFFFF"/>
                        </a:solidFill>
                        <a:ln w="25400">
                          <a:solidFill>
                            <a:srgbClr val="000000"/>
                          </a:solidFill>
                          <a:miter lim="800000"/>
                          <a:headEnd/>
                          <a:tailEnd/>
                        </a:ln>
                      </wps:spPr>
                      <wps:txbx>
                        <w:txbxContent>
                          <w:p w:rsidR="00061010" w:rsidRPr="00044386" w:rsidRDefault="00061010" w:rsidP="00743B0B">
                            <w:pPr>
                              <w:jc w:val="center"/>
                              <w:rPr>
                                <w:rFonts w:ascii="Arial Narrow" w:hAnsi="Arial Narrow"/>
                                <w:b/>
                                <w:sz w:val="36"/>
                              </w:rPr>
                            </w:pPr>
                            <w:r w:rsidRPr="00044386">
                              <w:rPr>
                                <w:rFonts w:ascii="Arial Narrow" w:hAnsi="Arial Narrow"/>
                                <w:b/>
                                <w:sz w:val="36"/>
                              </w:rPr>
                              <w:t>P.P : petit producteur</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BE184E" id="Rectangle 10" o:spid="_x0000_s1078" style="position:absolute;left:0;text-align:left;margin-left:545.25pt;margin-top:363.75pt;width:173.2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" strokeweight="2pt">
                <v:path arrowok="t"/>
                <v:textbox>
                  <w:txbxContent>
                    <w:p w:rsidR="00061010" w:rsidRPr="00044386" w:rsidRDefault="00061010" w:rsidP="00743B0B">
                      <w:pPr>
                        <w:jc w:val="center"/>
                        <w:rPr>
                          <w:rFonts w:ascii="Arial Narrow" w:hAnsi="Arial Narrow"/>
                          <w:b/>
                          <w:sz w:val="36"/>
                        </w:rPr>
                      </w:pPr>
                      <w:r w:rsidRPr="00044386">
                        <w:rPr>
                          <w:rFonts w:ascii="Arial Narrow" w:hAnsi="Arial Narrow"/>
                          <w:b/>
                          <w:sz w:val="36"/>
                        </w:rPr>
                        <w:t>P.P : petit producteur</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3600" behindDoc="0" locked="0" layoutInCell="1" allowOverlap="1" wp14:anchorId="05A2E54B" wp14:editId="55433427">
                <wp:simplePos x="0" y="0"/>
                <wp:positionH relativeFrom="column">
                  <wp:posOffset>143510</wp:posOffset>
                </wp:positionH>
                <wp:positionV relativeFrom="paragraph">
                  <wp:posOffset>3154045</wp:posOffset>
                </wp:positionV>
                <wp:extent cx="1353820" cy="715645"/>
                <wp:effectExtent l="14605" t="19685" r="12700" b="1714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715645"/>
                        </a:xfrm>
                        <a:prstGeom prst="rect">
                          <a:avLst/>
                        </a:prstGeom>
                        <a:solidFill>
                          <a:srgbClr val="FFFFFF"/>
                        </a:solidFill>
                        <a:ln w="25400">
                          <a:solidFill>
                            <a:srgbClr val="000000"/>
                          </a:solidFill>
                          <a:miter lim="800000"/>
                          <a:headEnd/>
                          <a:tailEnd/>
                        </a:ln>
                      </wps:spPr>
                      <wps:txb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5A2E54B" id="Rectangle 4" o:spid="_x0000_s1079" style="position:absolute;left:0;text-align:left;margin-left:11.3pt;margin-top:248.35pt;width:106.6pt;height:5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" strokeweight="2pt">
                <v:path arrowok="t"/>
                <v:textbo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p w:rsidR="00061010" w:rsidRDefault="00061010" w:rsidP="00743B0B">
                      <w:pPr>
                        <w:jc w:val="center"/>
                      </w:pPr>
                    </w:p>
                  </w:txbxContent>
                </v:textbox>
              </v:rect>
            </w:pict>
          </mc:Fallback>
        </mc:AlternateConten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ascii="Times New Roman" w:eastAsia="MS Gothic" w:hAnsi="Times New Roman"/>
          <w:b/>
          <w:bCs/>
          <w:color w:val="4F81BD"/>
          <w:sz w:val="22"/>
          <w:szCs w:val="22"/>
          <w:lang w:eastAsia="fr-FR"/>
        </w:rPr>
        <w:sectPr w:rsidR="00743B0B" w:rsidRPr="00743B0B" w:rsidSect="00743B0B">
          <w:pgSz w:w="16840" w:h="11900" w:orient="landscape"/>
          <w:pgMar w:top="1417" w:right="1417" w:bottom="1417" w:left="1417" w:header="708" w:footer="708" w:gutter="0"/>
          <w:cols w:space="708"/>
          <w:docGrid w:linePitch="360"/>
        </w:sect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Avantages du warrantage</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Moyen de sécuriser les prêts octroyés.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Sécurité alimentaire.</w:t>
      </w:r>
      <w:r w:rsidR="004533D6">
        <w:rPr>
          <w:rFonts w:ascii="Times New Roman" w:hAnsi="Times New Roman"/>
          <w:sz w:val="22"/>
          <w:szCs w:val="22"/>
        </w:rPr>
        <w:t xml:space="preserve">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Vente des récoltes différée pour un plus grand profit.</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Institutionnalisation et amélioration du crédit en milieu rural.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Participation des producteurs à la fixation des prix.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Sécurité des stocks.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Préparation de la campagne à venir.</w:t>
      </w:r>
      <w:r w:rsidR="004533D6">
        <w:rPr>
          <w:rFonts w:ascii="Times New Roman" w:hAnsi="Times New Roman"/>
          <w:sz w:val="22"/>
          <w:szCs w:val="22"/>
        </w:rPr>
        <w:t xml:space="preserve">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Diversification des activités durant la période de soudure.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Un tel système requiert la mise en place de magasin de stockage pour sécuriser le produit en dépôt. Ce mécanisme de financement est approprié pour l’agriculture notamment les céréales ; l’anacarde et certaines spéculations qui ont cours dans la zone d’intervention</w:t>
      </w:r>
      <w:r w:rsidR="005F4017">
        <w:rPr>
          <w:rFonts w:ascii="Times New Roman" w:hAnsi="Times New Roman"/>
          <w:sz w:val="22"/>
          <w:szCs w:val="22"/>
        </w:rPr>
        <w:t xml:space="preserve"> des sites du</w:t>
      </w:r>
      <w:r w:rsidR="002575A2">
        <w:rPr>
          <w:rFonts w:ascii="Times New Roman" w:hAnsi="Times New Roman"/>
          <w:sz w:val="22"/>
          <w:szCs w:val="22"/>
        </w:rPr>
        <w:t> :</w:t>
      </w:r>
    </w:p>
    <w:p w:rsidR="00743B0B" w:rsidRPr="00743B0B" w:rsidRDefault="00E82CB3" w:rsidP="00743B0B">
      <w:pPr>
        <w:ind w:firstLine="708"/>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elta du Saloum sur le mil, le maïs et l’anacarde ;</w:t>
      </w:r>
    </w:p>
    <w:p w:rsidR="00743B0B" w:rsidRPr="00743B0B" w:rsidRDefault="00743B0B" w:rsidP="00743B0B">
      <w:pPr>
        <w:ind w:firstLine="708"/>
        <w:rPr>
          <w:rFonts w:ascii="Times New Roman" w:hAnsi="Times New Roman"/>
          <w:sz w:val="22"/>
          <w:szCs w:val="22"/>
        </w:rPr>
      </w:pPr>
      <w:r w:rsidRPr="00743B0B">
        <w:rPr>
          <w:rFonts w:ascii="Times New Roman" w:hAnsi="Times New Roman"/>
          <w:sz w:val="22"/>
          <w:szCs w:val="22"/>
        </w:rPr>
        <w:t>-Ferlo avec la gomme arabique ;</w:t>
      </w:r>
    </w:p>
    <w:p w:rsidR="00743B0B" w:rsidRPr="00743B0B" w:rsidRDefault="00743B0B" w:rsidP="00743B0B">
      <w:pPr>
        <w:ind w:firstLine="708"/>
        <w:rPr>
          <w:rFonts w:ascii="Times New Roman" w:hAnsi="Times New Roman"/>
          <w:sz w:val="22"/>
          <w:szCs w:val="22"/>
        </w:rPr>
      </w:pPr>
      <w:r w:rsidRPr="00743B0B">
        <w:rPr>
          <w:rFonts w:ascii="Times New Roman" w:hAnsi="Times New Roman"/>
          <w:sz w:val="22"/>
          <w:szCs w:val="22"/>
        </w:rPr>
        <w:t>-Tambacounda av</w:t>
      </w:r>
      <w:r w:rsidR="005F4017">
        <w:rPr>
          <w:rFonts w:ascii="Times New Roman" w:hAnsi="Times New Roman"/>
          <w:sz w:val="22"/>
          <w:szCs w:val="22"/>
        </w:rPr>
        <w:t>ec le mil, le maïs et le fonio.</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sz w:val="22"/>
          <w:szCs w:val="22"/>
        </w:rPr>
      </w:pPr>
      <w:r>
        <w:rPr>
          <w:rFonts w:ascii="Times New Roman" w:hAnsi="Times New Roman"/>
          <w:sz w:val="22"/>
          <w:szCs w:val="22"/>
        </w:rPr>
        <w:t>Pour opérationnaliser</w:t>
      </w:r>
      <w:r w:rsidR="00743B0B" w:rsidRPr="00743B0B">
        <w:rPr>
          <w:rFonts w:ascii="Times New Roman" w:hAnsi="Times New Roman"/>
          <w:sz w:val="22"/>
          <w:szCs w:val="22"/>
        </w:rPr>
        <w:t xml:space="preserve"> le warrantage dans ce contexte, le </w:t>
      </w:r>
      <w:r w:rsidR="00E80173">
        <w:rPr>
          <w:rFonts w:ascii="Times New Roman" w:hAnsi="Times New Roman"/>
          <w:sz w:val="22"/>
          <w:szCs w:val="22"/>
        </w:rPr>
        <w:t>PFNAC</w:t>
      </w:r>
      <w:r w:rsidR="00743B0B" w:rsidRPr="00743B0B">
        <w:rPr>
          <w:rFonts w:ascii="Times New Roman" w:hAnsi="Times New Roman"/>
          <w:sz w:val="22"/>
          <w:szCs w:val="22"/>
        </w:rPr>
        <w:t xml:space="preserve"> mettra à profit l’intervention des mutuelles partenaires comme bras financier.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Ainsi le </w:t>
      </w:r>
      <w:r w:rsidR="00E80173">
        <w:rPr>
          <w:rFonts w:ascii="Times New Roman" w:hAnsi="Times New Roman"/>
          <w:sz w:val="22"/>
          <w:szCs w:val="22"/>
        </w:rPr>
        <w:t>PFNAC</w:t>
      </w:r>
      <w:r w:rsidRPr="00743B0B">
        <w:rPr>
          <w:rFonts w:ascii="Times New Roman" w:hAnsi="Times New Roman"/>
          <w:sz w:val="22"/>
          <w:szCs w:val="22"/>
        </w:rPr>
        <w:t xml:space="preserve"> pourra s’appuyer dans le </w:t>
      </w:r>
      <w:r w:rsidR="00E82CB3">
        <w:rPr>
          <w:rFonts w:ascii="Times New Roman" w:hAnsi="Times New Roman"/>
          <w:sz w:val="22"/>
          <w:szCs w:val="22"/>
        </w:rPr>
        <w:t>delta du Saloum</w:t>
      </w:r>
      <w:r w:rsidRPr="00743B0B">
        <w:rPr>
          <w:rFonts w:ascii="Times New Roman" w:hAnsi="Times New Roman"/>
          <w:sz w:val="22"/>
          <w:szCs w:val="22"/>
        </w:rPr>
        <w:t xml:space="preserve"> sur la MEC/PNDS, dans le Ferlo sur la MEC UIMCEC et dans le Tambacounda sur la MEC URMECS ou Caurie Microfinance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outre, il devrait aider à organiser et à structurer les coopératives existantes. Le dispositif sera accompagné par des investissements structurants par la création et l’équipement de magasins de stockage ainsi que la mise œuvre d’un programme de renforcement de capacités des acteurs.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xml:space="preserve">Rôles et places du </w:t>
      </w:r>
      <w:r w:rsidR="00E80173">
        <w:rPr>
          <w:rFonts w:ascii="Times New Roman" w:hAnsi="Times New Roman"/>
          <w:b/>
          <w:i/>
          <w:sz w:val="22"/>
          <w:szCs w:val="22"/>
        </w:rPr>
        <w:t>PFNAC</w:t>
      </w:r>
      <w:r w:rsidRPr="00743B0B">
        <w:rPr>
          <w:rFonts w:ascii="Times New Roman" w:hAnsi="Times New Roman"/>
          <w:b/>
          <w:i/>
          <w:sz w:val="22"/>
          <w:szCs w:val="22"/>
        </w:rPr>
        <w:t xml:space="preserve"> dans la mise en place du mécanisme</w:t>
      </w:r>
    </w:p>
    <w:p w:rsidR="00743B0B" w:rsidRPr="00743B0B" w:rsidRDefault="00743B0B" w:rsidP="00743B0B">
      <w:pPr>
        <w:rPr>
          <w:rFonts w:ascii="Times New Roman" w:hAnsi="Times New Roman"/>
          <w:b/>
          <w:sz w:val="22"/>
          <w:szCs w:val="22"/>
        </w:rPr>
      </w:pP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Etudier la faisabilité du mécanisme de warrantage dans la zone d’intervention</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Elaborer et mettre en œuvre un bon programme d’information et de formation des différentes parties.</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Renforcer les capacités des producteurs po</w:t>
      </w:r>
      <w:r w:rsidR="004533D6">
        <w:rPr>
          <w:rFonts w:ascii="Times New Roman" w:hAnsi="Times New Roman"/>
          <w:sz w:val="22"/>
          <w:szCs w:val="22"/>
        </w:rPr>
        <w:t>ur une production de qualité.</w:t>
      </w:r>
      <w:r w:rsidRPr="00743B0B">
        <w:rPr>
          <w:rFonts w:ascii="Times New Roman" w:hAnsi="Times New Roman"/>
          <w:sz w:val="22"/>
          <w:szCs w:val="22"/>
        </w:rPr>
        <w:t xml:space="preserve">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Disposer d’un</w:t>
      </w:r>
      <w:r w:rsidR="008712CB">
        <w:rPr>
          <w:rFonts w:ascii="Times New Roman" w:hAnsi="Times New Roman"/>
          <w:sz w:val="22"/>
          <w:szCs w:val="22"/>
        </w:rPr>
        <w:t xml:space="preserve"> </w:t>
      </w:r>
      <w:r w:rsidRPr="00743B0B">
        <w:rPr>
          <w:rFonts w:ascii="Times New Roman" w:hAnsi="Times New Roman"/>
          <w:sz w:val="22"/>
          <w:szCs w:val="22"/>
        </w:rPr>
        <w:t xml:space="preserve">bon système d’information sur les marchés (Demande/Prix).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 xml:space="preserve">Disposer de magasins répondant aux normes techniques de stockage.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Renforcer le personnel des institutions de m</w:t>
      </w:r>
      <w:r w:rsidR="004533D6">
        <w:rPr>
          <w:rFonts w:ascii="Times New Roman" w:hAnsi="Times New Roman"/>
          <w:sz w:val="22"/>
          <w:szCs w:val="22"/>
        </w:rPr>
        <w:t>icrofinance pour une meilleure</w:t>
      </w:r>
      <w:r w:rsidRPr="00743B0B">
        <w:rPr>
          <w:rFonts w:ascii="Times New Roman" w:hAnsi="Times New Roman"/>
          <w:sz w:val="22"/>
          <w:szCs w:val="22"/>
        </w:rPr>
        <w:t xml:space="preserve"> connaissance des </w:t>
      </w:r>
      <w:r w:rsidR="007236BE">
        <w:rPr>
          <w:rFonts w:ascii="Times New Roman" w:hAnsi="Times New Roman"/>
          <w:sz w:val="22"/>
          <w:szCs w:val="22"/>
        </w:rPr>
        <w:t>chaînes de valeur</w:t>
      </w:r>
      <w:r w:rsidRPr="00743B0B">
        <w:rPr>
          <w:rFonts w:ascii="Times New Roman" w:hAnsi="Times New Roman"/>
          <w:sz w:val="22"/>
          <w:szCs w:val="22"/>
        </w:rPr>
        <w:t xml:space="preserve"> agricoles.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 xml:space="preserve">Mettre en place un système de certification qualité. </w:t>
      </w:r>
    </w:p>
    <w:p w:rsidR="00743B0B" w:rsidRPr="00743B0B" w:rsidRDefault="00743B0B" w:rsidP="00743B0B">
      <w:pPr>
        <w:ind w:left="1440"/>
        <w:rPr>
          <w:rFonts w:ascii="Times New Roman" w:hAnsi="Times New Roman"/>
          <w:sz w:val="22"/>
          <w:szCs w:val="22"/>
        </w:rPr>
      </w:pPr>
    </w:p>
    <w:p w:rsidR="00743B0B" w:rsidRPr="00743B0B" w:rsidRDefault="00743B0B" w:rsidP="00743B0B">
      <w:pPr>
        <w:rPr>
          <w:rFonts w:ascii="Times New Roman" w:hAnsi="Times New Roman"/>
          <w:b/>
          <w:i/>
          <w:sz w:val="22"/>
          <w:szCs w:val="22"/>
          <w:u w:val="single"/>
        </w:rPr>
      </w:pPr>
      <w:r w:rsidRPr="00743B0B">
        <w:rPr>
          <w:rFonts w:ascii="Times New Roman" w:hAnsi="Times New Roman"/>
          <w:b/>
          <w:i/>
          <w:sz w:val="22"/>
          <w:szCs w:val="22"/>
          <w:u w:val="single"/>
        </w:rPr>
        <w:t>- L’assurance agricole</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Banque mondiale donne la définition suivante de l’assurance agricole</w:t>
      </w:r>
      <w:r w:rsidR="002575A2">
        <w:rPr>
          <w:rFonts w:ascii="Times New Roman" w:hAnsi="Times New Roman"/>
          <w:sz w:val="22"/>
          <w:szCs w:val="22"/>
        </w:rPr>
        <w:t> :</w:t>
      </w:r>
      <w:r w:rsidRPr="00743B0B">
        <w:rPr>
          <w:rFonts w:ascii="Times New Roman" w:hAnsi="Times New Roman"/>
          <w:sz w:val="22"/>
          <w:szCs w:val="22"/>
        </w:rPr>
        <w:t xml:space="preserve"> « </w:t>
      </w:r>
      <w:r w:rsidRPr="00743B0B">
        <w:rPr>
          <w:rFonts w:ascii="Times New Roman" w:hAnsi="Times New Roman"/>
          <w:i/>
          <w:sz w:val="22"/>
          <w:szCs w:val="22"/>
        </w:rPr>
        <w:t xml:space="preserve">Généralement l'assurance est une forme de gestion de risques utilisée pour se protéger contre une perte éventuelle. La définition conventionnelle est le transfert équitable d'un risque de perte d'une entité à l'autre, en échange d'une prime, ou d'une petite perte déterminée et quantifiable, pour empêcher une grande perte éventuellement dévastatrice. L'assurance agricole n'est pas limitée à l'assurance des récoltes, elle inclut également le bétail, les animaux de race, la </w:t>
      </w:r>
      <w:r w:rsidR="00F06548">
        <w:rPr>
          <w:rFonts w:ascii="Times New Roman" w:hAnsi="Times New Roman"/>
          <w:i/>
          <w:sz w:val="22"/>
          <w:szCs w:val="22"/>
        </w:rPr>
        <w:t>foresterie</w:t>
      </w:r>
      <w:r w:rsidRPr="00743B0B">
        <w:rPr>
          <w:rFonts w:ascii="Times New Roman" w:hAnsi="Times New Roman"/>
          <w:i/>
          <w:sz w:val="22"/>
          <w:szCs w:val="22"/>
        </w:rPr>
        <w:t>, l'aquaculture, et les serres. »</w:t>
      </w:r>
    </w:p>
    <w:p w:rsidR="00743B0B" w:rsidRPr="00743B0B" w:rsidRDefault="00743B0B" w:rsidP="00743B0B">
      <w:pPr>
        <w:rPr>
          <w:rFonts w:ascii="Times New Roman" w:hAnsi="Times New Roman"/>
          <w:i/>
          <w:sz w:val="22"/>
          <w:szCs w:val="22"/>
        </w:rPr>
      </w:pPr>
    </w:p>
    <w:p w:rsidR="00743B0B" w:rsidRPr="00743B0B" w:rsidRDefault="00743B0B" w:rsidP="00743B0B">
      <w:pPr>
        <w:shd w:val="clear" w:color="auto" w:fill="FFFFFF"/>
        <w:rPr>
          <w:rFonts w:ascii="Times New Roman" w:hAnsi="Times New Roman"/>
          <w:sz w:val="22"/>
          <w:szCs w:val="22"/>
        </w:rPr>
      </w:pPr>
      <w:r w:rsidRPr="00743B0B">
        <w:rPr>
          <w:rFonts w:ascii="Times New Roman" w:hAnsi="Times New Roman"/>
          <w:sz w:val="22"/>
          <w:szCs w:val="22"/>
        </w:rPr>
        <w:t>On peut considérer qu’elle a pour objectif de protéger les agriculteurs en les indemnisant en cas de dégâts, et donc de pertes de revenu, découlant de certains problèmes y compris éventuellement de pertes liées aux marchés. L’assureur fournit donc un service qui est défini dans le cadre d’un contrat avec un (ou des) assuré(s), et qui a un coût.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Au Sénégal le système d’assurance agricole poursuit spécifiquement les objectifs suivants</w:t>
      </w:r>
      <w:r w:rsidR="002575A2">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-r</w:t>
      </w:r>
      <w:r w:rsidR="00743B0B" w:rsidRPr="00743B0B">
        <w:rPr>
          <w:rFonts w:ascii="Times New Roman" w:hAnsi="Times New Roman"/>
          <w:sz w:val="22"/>
          <w:szCs w:val="22"/>
        </w:rPr>
        <w:t>éduction de la vulnérabilité des agriculteurs aux aléas</w:t>
      </w:r>
      <w:r>
        <w:rPr>
          <w:rFonts w:ascii="Times New Roman" w:hAnsi="Times New Roman"/>
          <w:sz w:val="22"/>
          <w:szCs w:val="22"/>
        </w:rPr>
        <w:t>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-a</w:t>
      </w:r>
      <w:r w:rsidR="00743B0B" w:rsidRPr="00743B0B">
        <w:rPr>
          <w:rFonts w:ascii="Times New Roman" w:hAnsi="Times New Roman"/>
          <w:sz w:val="22"/>
          <w:szCs w:val="22"/>
        </w:rPr>
        <w:t>ugmentation des productions agricoles et de la sécurité alimentaire</w:t>
      </w:r>
      <w:r>
        <w:rPr>
          <w:rFonts w:ascii="Times New Roman" w:hAnsi="Times New Roman"/>
          <w:sz w:val="22"/>
          <w:szCs w:val="22"/>
        </w:rPr>
        <w:t>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-s</w:t>
      </w:r>
      <w:r w:rsidR="00743B0B" w:rsidRPr="00743B0B">
        <w:rPr>
          <w:rFonts w:ascii="Times New Roman" w:hAnsi="Times New Roman"/>
          <w:sz w:val="22"/>
          <w:szCs w:val="22"/>
        </w:rPr>
        <w:t>tabilisation et croissance des revenus des agriculteurs</w:t>
      </w:r>
      <w:r>
        <w:rPr>
          <w:rFonts w:ascii="Times New Roman" w:hAnsi="Times New Roman"/>
          <w:sz w:val="22"/>
          <w:szCs w:val="22"/>
        </w:rPr>
        <w:t> ;</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sz w:val="22"/>
          <w:szCs w:val="22"/>
        </w:rPr>
      </w:pPr>
      <w:r>
        <w:rPr>
          <w:rFonts w:ascii="Times New Roman" w:hAnsi="Times New Roman"/>
          <w:sz w:val="22"/>
          <w:szCs w:val="22"/>
        </w:rPr>
        <w:t>Une des initiatives les</w:t>
      </w:r>
      <w:r w:rsidR="00743B0B" w:rsidRPr="00743B0B">
        <w:rPr>
          <w:rFonts w:ascii="Times New Roman" w:hAnsi="Times New Roman"/>
          <w:sz w:val="22"/>
          <w:szCs w:val="22"/>
        </w:rPr>
        <w:t xml:space="preserve"> plus dynamique</w:t>
      </w:r>
      <w:r>
        <w:rPr>
          <w:rFonts w:ascii="Times New Roman" w:hAnsi="Times New Roman"/>
          <w:sz w:val="22"/>
          <w:szCs w:val="22"/>
        </w:rPr>
        <w:t>s</w:t>
      </w:r>
      <w:r w:rsidR="00743B0B" w:rsidRPr="00743B0B">
        <w:rPr>
          <w:rFonts w:ascii="Times New Roman" w:hAnsi="Times New Roman"/>
          <w:sz w:val="22"/>
          <w:szCs w:val="22"/>
        </w:rPr>
        <w:t xml:space="preserve"> est la CNAAS créée en 2008 sous forme </w:t>
      </w:r>
      <w:r>
        <w:rPr>
          <w:rFonts w:ascii="Times New Roman" w:hAnsi="Times New Roman"/>
          <w:sz w:val="22"/>
          <w:szCs w:val="22"/>
        </w:rPr>
        <w:t xml:space="preserve">de </w:t>
      </w:r>
      <w:r w:rsidR="00743B0B" w:rsidRPr="00743B0B">
        <w:rPr>
          <w:rFonts w:ascii="Times New Roman" w:hAnsi="Times New Roman"/>
          <w:sz w:val="22"/>
          <w:szCs w:val="22"/>
        </w:rPr>
        <w:t xml:space="preserve">SA et qui est le fruit d’un </w:t>
      </w:r>
      <w:r>
        <w:rPr>
          <w:rFonts w:ascii="Times New Roman" w:hAnsi="Times New Roman"/>
          <w:sz w:val="22"/>
          <w:szCs w:val="22"/>
        </w:rPr>
        <w:t>p</w:t>
      </w:r>
      <w:r w:rsidR="00743B0B" w:rsidRPr="00743B0B">
        <w:rPr>
          <w:rFonts w:ascii="Times New Roman" w:hAnsi="Times New Roman"/>
          <w:sz w:val="22"/>
          <w:szCs w:val="22"/>
        </w:rPr>
        <w:t xml:space="preserve">artenariat </w:t>
      </w:r>
      <w:r>
        <w:rPr>
          <w:rFonts w:ascii="Times New Roman" w:hAnsi="Times New Roman"/>
          <w:sz w:val="22"/>
          <w:szCs w:val="22"/>
        </w:rPr>
        <w:t xml:space="preserve">entre secteur public et </w:t>
      </w:r>
      <w:r w:rsidR="00384043">
        <w:rPr>
          <w:rFonts w:ascii="Times New Roman" w:hAnsi="Times New Roman"/>
          <w:sz w:val="22"/>
          <w:szCs w:val="22"/>
        </w:rPr>
        <w:t xml:space="preserve">secteur </w:t>
      </w:r>
      <w:r>
        <w:rPr>
          <w:rFonts w:ascii="Times New Roman" w:hAnsi="Times New Roman"/>
          <w:sz w:val="22"/>
          <w:szCs w:val="22"/>
        </w:rPr>
        <w:t>privé</w:t>
      </w:r>
      <w:r w:rsidR="00743B0B"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termes de prestations, pour couvrir 1 ha d’arachid</w:t>
      </w:r>
      <w:r w:rsidR="00384043">
        <w:rPr>
          <w:rFonts w:ascii="Times New Roman" w:hAnsi="Times New Roman"/>
          <w:sz w:val="22"/>
          <w:szCs w:val="22"/>
        </w:rPr>
        <w:t>e, la prime moyenne s’élève à FCFA</w:t>
      </w:r>
      <w:r w:rsidRPr="00743B0B">
        <w:rPr>
          <w:rFonts w:ascii="Times New Roman" w:hAnsi="Times New Roman"/>
          <w:sz w:val="22"/>
          <w:szCs w:val="22"/>
        </w:rPr>
        <w:t xml:space="preserve"> 3.370 dont la moitié seulement est payée par l’agriculteur, le reste étant subventionné par l’</w:t>
      </w:r>
      <w:r w:rsidR="00384043" w:rsidRPr="00743B0B">
        <w:rPr>
          <w:rFonts w:ascii="Times New Roman" w:hAnsi="Times New Roman"/>
          <w:sz w:val="22"/>
          <w:szCs w:val="22"/>
        </w:rPr>
        <w:t>État</w:t>
      </w:r>
      <w:r w:rsidRPr="00743B0B">
        <w:rPr>
          <w:rFonts w:ascii="Times New Roman" w:hAnsi="Times New Roman"/>
          <w:sz w:val="22"/>
          <w:szCs w:val="22"/>
        </w:rPr>
        <w:t xml:space="preserve"> pour l’inciter à souscrire une police d’assurance.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Concernant l’élevage, la prime moyenne unitaire est de 5</w:t>
      </w:r>
      <w:r w:rsidR="00A72504">
        <w:rPr>
          <w:rFonts w:ascii="Times New Roman" w:hAnsi="Times New Roman"/>
          <w:sz w:val="22"/>
          <w:szCs w:val="22"/>
        </w:rPr>
        <w:t> %</w:t>
      </w:r>
      <w:r w:rsidRPr="00743B0B">
        <w:rPr>
          <w:rFonts w:ascii="Times New Roman" w:hAnsi="Times New Roman"/>
          <w:sz w:val="22"/>
          <w:szCs w:val="22"/>
        </w:rPr>
        <w:t xml:space="preserve"> de la valeur de l’animal soit 2,5</w:t>
      </w:r>
      <w:r w:rsidR="00A72504">
        <w:rPr>
          <w:rFonts w:ascii="Times New Roman" w:hAnsi="Times New Roman"/>
          <w:sz w:val="22"/>
          <w:szCs w:val="22"/>
        </w:rPr>
        <w:t> %</w:t>
      </w:r>
      <w:r w:rsidRPr="00743B0B">
        <w:rPr>
          <w:rFonts w:ascii="Times New Roman" w:hAnsi="Times New Roman"/>
          <w:sz w:val="22"/>
          <w:szCs w:val="22"/>
        </w:rPr>
        <w:t xml:space="preserve"> à payer par l’éleveur.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risques garantis pour la pêche portent sur les dommages subis par l’embarcation et le matériel de pêche à bord, la responsabilité civile du propriétaire de l’embarcation et les dommages corporels subis par le personnel d’équipage transporté</w:t>
      </w:r>
      <w:r w:rsidR="004533D6">
        <w:rPr>
          <w:rFonts w:ascii="Times New Roman" w:hAnsi="Times New Roman"/>
          <w:sz w:val="22"/>
          <w:szCs w:val="22"/>
        </w:rPr>
        <w:t xml:space="preserve"> </w:t>
      </w:r>
      <w:r w:rsidRPr="00743B0B">
        <w:rPr>
          <w:rFonts w:ascii="Times New Roman" w:hAnsi="Times New Roman"/>
          <w:sz w:val="22"/>
          <w:szCs w:val="22"/>
        </w:rPr>
        <w:t>en fonction de la capacité de l’unité.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dispositif de financement est approprié pour l’agriculture l’élevage et la pêche dans les zones d’intervention du </w:t>
      </w:r>
      <w:r w:rsidR="00E80173">
        <w:rPr>
          <w:rFonts w:ascii="Times New Roman" w:hAnsi="Times New Roman"/>
          <w:sz w:val="22"/>
          <w:szCs w:val="22"/>
        </w:rPr>
        <w:t>PFNAC</w:t>
      </w: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institutions de micro finance pourraient jouer un rôle dans la promotion de ce mécanisme en ce qu’il leur permet de garantir la bonne fin du crédit accordé.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Quelques barrières à prendre en compte pour la mise en place de l’assurance agricole</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Les conditions économiques et méfiance des acteurs par rapport à ce mécanisme qui reste malgré tout une nouveauté au Sénégal, donc peu connu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 besoin de renforcer la confiance entre assureurs et assurés</w:t>
      </w:r>
      <w:r w:rsidR="002575A2">
        <w:rPr>
          <w:rFonts w:ascii="Times New Roman" w:hAnsi="Times New Roman"/>
          <w:sz w:val="22"/>
          <w:szCs w:val="22"/>
        </w:rPr>
        <w:t> :</w:t>
      </w:r>
      <w:r w:rsidRPr="00743B0B">
        <w:rPr>
          <w:rFonts w:ascii="Times New Roman" w:hAnsi="Times New Roman"/>
          <w:sz w:val="22"/>
          <w:szCs w:val="22"/>
        </w:rPr>
        <w:t xml:space="preserve"> les assurés doivent connaitre les impératifs techniques à respecter et les valeurs des prime</w:t>
      </w:r>
      <w:r w:rsidR="005F4017">
        <w:rPr>
          <w:rFonts w:ascii="Times New Roman" w:hAnsi="Times New Roman"/>
          <w:sz w:val="22"/>
          <w:szCs w:val="22"/>
        </w:rPr>
        <w:t>s</w:t>
      </w:r>
      <w:r w:rsidRPr="00743B0B">
        <w:rPr>
          <w:rFonts w:ascii="Times New Roman" w:hAnsi="Times New Roman"/>
          <w:sz w:val="22"/>
          <w:szCs w:val="22"/>
        </w:rPr>
        <w:t>. Pour ce faire, il faut un travail d’explication pour que les agriculteurs appréhendent le fonctionnement du système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Les coûts de gestion du service des assurances au regard de la dispersion et de la dissémination des petites exploitations, d’où la nécessité que les paysans soient organisés en coopérative ou groupement pour minimiser les frais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La nécessité de coupler l’assurance agricole au crédit et que les deux soient gérés par un même organisme (cas du partenariat entre le crédit Mutuel et la CNAAS à Sokone)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Rôle du Projet dans ce mécanisme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Information et sensibilisation des acteurs sur l’opportunité de souscrire une assurance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Facilitation pour la signature de contrat collectif d’assurance avec les groupements avec des avantages en termes d’abattement sur la prime</w:t>
      </w:r>
      <w:r w:rsidR="005F4017">
        <w:rPr>
          <w:rFonts w:ascii="Times New Roman" w:hAnsi="Times New Roman"/>
          <w:sz w:val="22"/>
          <w:szCs w:val="22"/>
        </w:rPr>
        <w: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Mise en place de mécanisme de subvention de la prime (10 à 20</w:t>
      </w:r>
      <w:r w:rsidR="00A72504">
        <w:rPr>
          <w:rFonts w:ascii="Times New Roman" w:hAnsi="Times New Roman"/>
          <w:sz w:val="22"/>
          <w:szCs w:val="22"/>
        </w:rPr>
        <w:t> %</w:t>
      </w:r>
      <w:r w:rsidRPr="00743B0B">
        <w:rPr>
          <w:rFonts w:ascii="Times New Roman" w:hAnsi="Times New Roman"/>
          <w:sz w:val="22"/>
          <w:szCs w:val="22"/>
        </w:rPr>
        <w: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 xml:space="preserve">Appuyer sous forme de subvention, les souscripteurs pour davantage les inciter à utiliser le service des assurances (exemple le </w:t>
      </w:r>
      <w:r w:rsidR="00E80173">
        <w:rPr>
          <w:rFonts w:ascii="Times New Roman" w:hAnsi="Times New Roman"/>
          <w:sz w:val="22"/>
          <w:szCs w:val="22"/>
        </w:rPr>
        <w:t>PFNAC</w:t>
      </w:r>
      <w:r w:rsidRPr="00743B0B">
        <w:rPr>
          <w:rFonts w:ascii="Times New Roman" w:hAnsi="Times New Roman"/>
          <w:sz w:val="22"/>
          <w:szCs w:val="22"/>
        </w:rPr>
        <w:t xml:space="preserve"> pourrait prendre en charge 10 à 20</w:t>
      </w:r>
      <w:r w:rsidR="00A72504">
        <w:rPr>
          <w:rFonts w:ascii="Times New Roman" w:hAnsi="Times New Roman"/>
          <w:sz w:val="22"/>
          <w:szCs w:val="22"/>
        </w:rPr>
        <w:t> %</w:t>
      </w:r>
      <w:r w:rsidRPr="00743B0B">
        <w:rPr>
          <w:rFonts w:ascii="Times New Roman" w:hAnsi="Times New Roman"/>
          <w:sz w:val="22"/>
          <w:szCs w:val="22"/>
        </w:rPr>
        <w:t xml:space="preserve"> de la prime pour la première année de contrat)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 xml:space="preserve"> Suivi régulier avec les IMF et la CNAAS de la mise en œuvre du mécanisme et du taux de sinistralité.</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 Les Contrats tripartites (Producteur, Structure de financement et Transformateur ou Exportateur)</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modèle qui appelle trois acteurs à savoir le producteur, la structure de financement et le client qui peut être un transformateur ou exportateur, vise à </w:t>
      </w:r>
      <w:r w:rsidRPr="00B0195E">
        <w:rPr>
          <w:rFonts w:ascii="Times New Roman" w:hAnsi="Times New Roman"/>
          <w:sz w:val="22"/>
          <w:szCs w:val="22"/>
        </w:rPr>
        <w:t xml:space="preserve">asseoir une dynamique </w:t>
      </w:r>
      <w:r w:rsidR="007236BE" w:rsidRPr="00B0195E">
        <w:rPr>
          <w:rFonts w:ascii="Times New Roman" w:hAnsi="Times New Roman"/>
          <w:sz w:val="22"/>
          <w:szCs w:val="22"/>
        </w:rPr>
        <w:t>chaîne de valeur</w:t>
      </w:r>
      <w:r w:rsidRPr="00B0195E">
        <w:rPr>
          <w:rFonts w:ascii="Times New Roman" w:hAnsi="Times New Roman"/>
          <w:sz w:val="22"/>
          <w:szCs w:val="22"/>
        </w:rPr>
        <w:t> ; à renforcer</w:t>
      </w:r>
      <w:r w:rsidRPr="00743B0B">
        <w:rPr>
          <w:rFonts w:ascii="Times New Roman" w:hAnsi="Times New Roman"/>
          <w:sz w:val="22"/>
          <w:szCs w:val="22"/>
        </w:rPr>
        <w:t xml:space="preserve"> la capacité productive des coopératives de producteurs, à leur offrir plus de débouchés, à sécuriser le financement accordé par les institutions financières et à garantir aux transformateurs plus de qualité et de traçabilité des produits.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vertu de l’accord de financement obtenu par le producteur, le client qui a passé la commande s’engage à payer le prix à l’organisme de financement. Le préalable c’est la constitution des producteurs en groupement pour déclencher l’accompagnement du Projet.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mécanisme peut s’appliquer pour les secteurs de l’anacarde, des céréales, des cultures vivrières entre autres.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Cependant les limites de ce mécanisme porte</w:t>
      </w:r>
      <w:r w:rsidR="00055F99">
        <w:rPr>
          <w:rFonts w:ascii="Times New Roman" w:hAnsi="Times New Roman"/>
          <w:sz w:val="22"/>
          <w:szCs w:val="22"/>
        </w:rPr>
        <w:t>nt</w:t>
      </w:r>
      <w:r w:rsidRPr="00743B0B">
        <w:rPr>
          <w:rFonts w:ascii="Times New Roman" w:hAnsi="Times New Roman"/>
          <w:sz w:val="22"/>
          <w:szCs w:val="22"/>
        </w:rPr>
        <w:t xml:space="preserve"> sur l’exigence de garantie supplémentaire par l’organisme de financement. Auquel cas il faudrait recourir à la tierce détention, à l’assurance agricole, au warrantage, etc.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xml:space="preserve">Rôle du </w:t>
      </w:r>
      <w:r w:rsidR="00E80173">
        <w:rPr>
          <w:rFonts w:ascii="Times New Roman" w:hAnsi="Times New Roman"/>
          <w:b/>
          <w:i/>
          <w:sz w:val="22"/>
          <w:szCs w:val="22"/>
        </w:rPr>
        <w:t>PFNAC</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mise en place de contrats tripartites suppose au préalable une bonne organisation des filières, l’identification de groupement de producteur capable de répondre aux spécifications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Information et sensibilisation des acteurs sur la portée du mécanisme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Facilitation de la mise en place des conventions, la coordination avec les structures concernées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L’encadrement et l’assistance des parties prenantes à la convention tripartite</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 suivi du mécanisme</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1" w:name="_Toc498638410"/>
      <w:r w:rsidRPr="00743B0B">
        <w:rPr>
          <w:rFonts w:eastAsia="MS Gothic"/>
          <w:b/>
          <w:bCs/>
          <w:color w:val="4F81BD"/>
          <w:sz w:val="26"/>
          <w:szCs w:val="26"/>
          <w:lang w:eastAsia="fr-FR"/>
        </w:rPr>
        <w:t>I.3</w:t>
      </w:r>
      <w:r w:rsidR="004533D6">
        <w:rPr>
          <w:rFonts w:eastAsia="MS Gothic"/>
          <w:b/>
          <w:bCs/>
          <w:color w:val="4F81BD"/>
          <w:sz w:val="26"/>
          <w:szCs w:val="26"/>
          <w:lang w:eastAsia="fr-FR"/>
        </w:rPr>
        <w:t xml:space="preserve"> </w:t>
      </w:r>
      <w:r w:rsidRPr="00743B0B">
        <w:rPr>
          <w:rFonts w:eastAsia="MS Gothic"/>
          <w:b/>
          <w:bCs/>
          <w:color w:val="4F81BD"/>
          <w:sz w:val="26"/>
          <w:szCs w:val="26"/>
          <w:lang w:eastAsia="fr-FR"/>
        </w:rPr>
        <w:t>Quelques initiatives endogènes</w:t>
      </w:r>
      <w:bookmarkEnd w:id="71"/>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Mise à l’essai et vulgarisation de semences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L’une des initiatives prévues concerne la distribution et la mise à l’essai de variétés de cultures traditionnelles (par exemple mil, sorgho et maïs) présentant une meilleure résistance à la sécheresse. Les obstacles à l’utilisation généralisée de ces variétés végétales sont à la fois techniques et financiers. Les semences doivent être achetées, et les agriculteurs pauvres ne sont pas en mesure d’assurer cette dépense.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 </w:t>
      </w:r>
      <w:r w:rsidR="00E80173">
        <w:rPr>
          <w:rFonts w:ascii="Times New Roman" w:hAnsi="Times New Roman"/>
          <w:sz w:val="22"/>
          <w:szCs w:val="22"/>
        </w:rPr>
        <w:t>PFNAC</w:t>
      </w:r>
      <w:r w:rsidRPr="00743B0B">
        <w:rPr>
          <w:rFonts w:ascii="Times New Roman" w:hAnsi="Times New Roman"/>
          <w:sz w:val="22"/>
          <w:szCs w:val="22"/>
        </w:rPr>
        <w:t xml:space="preserve"> jouera donc un rôle essentiel en créant des mécanismes facilitant la vulgarisation de l’accès durable aux variétés culturales adaptées à la sécheresse.</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Sécurité alimentaire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L’encouragement à la mise en place de banques alimentaires contribuera à assurer la sécurité alimentaire des populations locales en cas de perturbations climatiques. </w:t>
      </w:r>
    </w:p>
    <w:p w:rsidR="00743B0B" w:rsidRPr="00743B0B" w:rsidRDefault="00743B0B" w:rsidP="00743B0B">
      <w:pPr>
        <w:rPr>
          <w:rFonts w:ascii="Times New Roman" w:hAnsi="Times New Roman"/>
          <w:sz w:val="22"/>
          <w:szCs w:val="22"/>
        </w:rPr>
        <w:sectPr w:rsidR="00743B0B" w:rsidRPr="00743B0B" w:rsidSect="00743B0B">
          <w:pgSz w:w="11900" w:h="16840"/>
          <w:pgMar w:top="1417" w:right="1417" w:bottom="1417" w:left="1417" w:header="708" w:footer="708" w:gutter="0"/>
          <w:cols w:space="708"/>
          <w:docGrid w:linePitch="360"/>
        </w:sectPr>
      </w:pPr>
      <w:r w:rsidRPr="00743B0B">
        <w:rPr>
          <w:rFonts w:ascii="Times New Roman" w:hAnsi="Times New Roman"/>
          <w:sz w:val="22"/>
          <w:szCs w:val="22"/>
        </w:rPr>
        <w:t>Les communautés rurales connaissent fréquemment des pénuries alimentaires, pendant de courtes périodes en fin de saison sèche (période de soudure), un phénomène qui augmentera probablement sous l’effet des changements climatiques. Les banques alimentaires sont un bon moyen de fournir des vivres dans ces périodes critiques. Il s’agit d’une activité durable dans la mesure où ces banques s’auto entretiennent une fois établies</w:t>
      </w:r>
      <w:r w:rsidR="002575A2">
        <w:rPr>
          <w:rFonts w:ascii="Times New Roman" w:hAnsi="Times New Roman"/>
          <w:sz w:val="22"/>
          <w:szCs w:val="22"/>
        </w:rPr>
        <w:t> :</w:t>
      </w:r>
      <w:r w:rsidRPr="00743B0B">
        <w:rPr>
          <w:rFonts w:ascii="Times New Roman" w:hAnsi="Times New Roman"/>
          <w:sz w:val="22"/>
          <w:szCs w:val="22"/>
        </w:rPr>
        <w:t xml:space="preserve"> le premier stock d’aliments est acheté à faible coût par le </w:t>
      </w:r>
      <w:r w:rsidR="00E80173">
        <w:rPr>
          <w:rFonts w:ascii="Times New Roman" w:hAnsi="Times New Roman"/>
          <w:sz w:val="22"/>
          <w:szCs w:val="22"/>
        </w:rPr>
        <w:t>PFNAC</w:t>
      </w:r>
      <w:r w:rsidRPr="00743B0B">
        <w:rPr>
          <w:rFonts w:ascii="Times New Roman" w:hAnsi="Times New Roman"/>
          <w:sz w:val="22"/>
          <w:szCs w:val="22"/>
        </w:rPr>
        <w:t>, entreposés et mis à disposition aux moments propices à des prix préférentiels.</w:t>
      </w:r>
      <w:r w:rsidR="004533D6">
        <w:rPr>
          <w:rFonts w:ascii="Times New Roman" w:hAnsi="Times New Roman"/>
          <w:sz w:val="22"/>
          <w:szCs w:val="22"/>
        </w:rPr>
        <w:t xml:space="preserve"> </w:t>
      </w:r>
      <w:r w:rsidRPr="00743B0B">
        <w:rPr>
          <w:rFonts w:ascii="Times New Roman" w:hAnsi="Times New Roman"/>
          <w:sz w:val="22"/>
          <w:szCs w:val="22"/>
        </w:rPr>
        <w:t xml:space="preserve">Pour pérenniser le dispositif, il s’agira, pour le </w:t>
      </w:r>
      <w:r w:rsidR="00E80173">
        <w:rPr>
          <w:rFonts w:ascii="Times New Roman" w:hAnsi="Times New Roman"/>
          <w:sz w:val="22"/>
          <w:szCs w:val="22"/>
        </w:rPr>
        <w:t>PFNAC</w:t>
      </w:r>
      <w:r w:rsidRPr="00743B0B">
        <w:rPr>
          <w:rFonts w:ascii="Times New Roman" w:hAnsi="Times New Roman"/>
          <w:sz w:val="22"/>
          <w:szCs w:val="22"/>
        </w:rPr>
        <w:t xml:space="preserve">, d’organiser et de former les bénéficiaires pour servir de relais à l’expérience. </w:t>
      </w:r>
    </w:p>
    <w:p w:rsidR="00743B0B" w:rsidRPr="00743B0B" w:rsidRDefault="00743B0B" w:rsidP="00743B0B">
      <w:pPr>
        <w:rPr>
          <w:rFonts w:ascii="Times New Roman" w:hAnsi="Times New Roman"/>
          <w:sz w:val="22"/>
          <w:szCs w:val="22"/>
        </w:r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72" w:name="_Toc498638411"/>
      <w:r w:rsidRPr="00743B0B">
        <w:rPr>
          <w:rFonts w:ascii="Century Gothic" w:hAnsi="Century Gothic"/>
          <w:b/>
          <w:smallCaps/>
          <w:spacing w:val="-2"/>
          <w:sz w:val="28"/>
          <w:szCs w:val="20"/>
        </w:rPr>
        <w:t>II Accès au fin</w:t>
      </w:r>
      <w:r w:rsidR="005F4017">
        <w:rPr>
          <w:rFonts w:ascii="Century Gothic" w:hAnsi="Century Gothic"/>
          <w:b/>
          <w:smallCaps/>
          <w:spacing w:val="-2"/>
          <w:sz w:val="28"/>
          <w:szCs w:val="20"/>
        </w:rPr>
        <w:t>ancement pour les producteurs: m</w:t>
      </w:r>
      <w:r w:rsidRPr="00743B0B">
        <w:rPr>
          <w:rFonts w:ascii="Century Gothic" w:hAnsi="Century Gothic"/>
          <w:b/>
          <w:smallCaps/>
          <w:spacing w:val="-2"/>
          <w:sz w:val="28"/>
          <w:szCs w:val="20"/>
        </w:rPr>
        <w:t>utuelles, microfinance</w:t>
      </w:r>
      <w:bookmarkEnd w:id="72"/>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Constat</w:t>
      </w:r>
      <w:r w:rsidR="002575A2">
        <w:rPr>
          <w:rFonts w:ascii="Times New Roman" w:hAnsi="Times New Roman"/>
          <w:b/>
          <w:sz w:val="22"/>
          <w:szCs w:val="22"/>
        </w:rPr>
        <w:t> :</w:t>
      </w:r>
    </w:p>
    <w:p w:rsidR="00743B0B" w:rsidRPr="00743B0B" w:rsidRDefault="00743B0B" w:rsidP="00743B0B">
      <w:pPr>
        <w:rPr>
          <w:rFonts w:ascii="Times New Roman" w:hAnsi="Times New Roman"/>
          <w:sz w:val="22"/>
          <w:szCs w:val="22"/>
        </w:rPr>
      </w:pPr>
      <w:r w:rsidRPr="00F12E0C">
        <w:rPr>
          <w:rFonts w:ascii="Times New Roman" w:hAnsi="Times New Roman"/>
          <w:sz w:val="22"/>
          <w:szCs w:val="22"/>
        </w:rPr>
        <w:t xml:space="preserve">Il ne reste plus qu’une Mutuelle (MEC </w:t>
      </w:r>
      <w:r w:rsidR="00E82CB3" w:rsidRPr="00F12E0C">
        <w:rPr>
          <w:rFonts w:ascii="Times New Roman" w:hAnsi="Times New Roman"/>
          <w:sz w:val="22"/>
          <w:szCs w:val="22"/>
        </w:rPr>
        <w:t>du delta du Saloum</w:t>
      </w:r>
      <w:r w:rsidRPr="00F12E0C">
        <w:rPr>
          <w:rFonts w:ascii="Times New Roman" w:hAnsi="Times New Roman"/>
          <w:sz w:val="22"/>
          <w:szCs w:val="22"/>
        </w:rPr>
        <w:t>). Les autres MEC ne fonctionnent plus depuis 3 ans. Et au regard des contraintes réglementaires en terme</w:t>
      </w:r>
      <w:r w:rsidR="00055F99">
        <w:rPr>
          <w:rFonts w:ascii="Times New Roman" w:hAnsi="Times New Roman"/>
          <w:sz w:val="22"/>
          <w:szCs w:val="22"/>
        </w:rPr>
        <w:t>s</w:t>
      </w:r>
      <w:r w:rsidRPr="00F12E0C">
        <w:rPr>
          <w:rFonts w:ascii="Times New Roman" w:hAnsi="Times New Roman"/>
          <w:sz w:val="22"/>
          <w:szCs w:val="22"/>
        </w:rPr>
        <w:t xml:space="preserve"> de présentation des rapports annuels et d’activités trimestrielles sur le fonctionnement, les mutuelles ne figurent plus sur la plateforme éditées par la Direction de la réglementation et de la supervision, et peuvent être considérées comme ayant perdu leur agrément.</w:t>
      </w: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tbl>
      <w:tblPr>
        <w:tblStyle w:val="Grilledutableau"/>
        <w:tblW w:w="0" w:type="auto"/>
        <w:tblLook w:val="04A0" w:firstRow="1" w:lastRow="0" w:firstColumn="1" w:lastColumn="0" w:noHBand="0" w:noVBand="1"/>
      </w:tblPr>
      <w:tblGrid>
        <w:gridCol w:w="1573"/>
        <w:gridCol w:w="1608"/>
        <w:gridCol w:w="1367"/>
        <w:gridCol w:w="1542"/>
        <w:gridCol w:w="1592"/>
        <w:gridCol w:w="1374"/>
      </w:tblGrid>
      <w:tr w:rsidR="00743B0B" w:rsidRPr="00743B0B" w:rsidTr="00743B0B">
        <w:tc>
          <w:tcPr>
            <w:tcW w:w="1682" w:type="dxa"/>
          </w:tcPr>
          <w:p w:rsidR="00743B0B" w:rsidRPr="00743B0B" w:rsidRDefault="00743B0B" w:rsidP="00743B0B">
            <w:pPr>
              <w:rPr>
                <w:rFonts w:ascii="Times New Roman" w:hAnsi="Times New Roman"/>
                <w:sz w:val="22"/>
                <w:szCs w:val="22"/>
              </w:rPr>
            </w:pP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Agrément obtenu et valide</w:t>
            </w:r>
          </w:p>
        </w:tc>
        <w:tc>
          <w:tcPr>
            <w:tcW w:w="1446"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Montant épargne</w:t>
            </w:r>
          </w:p>
        </w:tc>
        <w:tc>
          <w:tcPr>
            <w:tcW w:w="1660"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Encours de crédit</w:t>
            </w:r>
          </w:p>
        </w:tc>
        <w:tc>
          <w:tcPr>
            <w:tcW w:w="1679"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Crédits en souffrance</w:t>
            </w:r>
          </w:p>
        </w:tc>
        <w:tc>
          <w:tcPr>
            <w:tcW w:w="1447"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Résultat financier 2015</w:t>
            </w:r>
          </w:p>
        </w:tc>
      </w:tr>
      <w:tr w:rsidR="00743B0B" w:rsidRPr="00743B0B" w:rsidTr="00743B0B">
        <w:tc>
          <w:tcPr>
            <w:tcW w:w="168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Mutuelle </w:t>
            </w:r>
            <w:r w:rsidR="00E82CB3">
              <w:rPr>
                <w:rFonts w:ascii="Times New Roman" w:hAnsi="Times New Roman"/>
                <w:sz w:val="22"/>
                <w:szCs w:val="22"/>
              </w:rPr>
              <w:t>du delta du Saloum</w:t>
            </w: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Oui</w:t>
            </w:r>
          </w:p>
        </w:tc>
        <w:tc>
          <w:tcPr>
            <w:tcW w:w="1446"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34 218 000</w:t>
            </w:r>
          </w:p>
        </w:tc>
        <w:tc>
          <w:tcPr>
            <w:tcW w:w="1660"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24 475 000</w:t>
            </w:r>
          </w:p>
        </w:tc>
        <w:tc>
          <w:tcPr>
            <w:tcW w:w="1679" w:type="dxa"/>
          </w:tcPr>
          <w:p w:rsidR="00743B0B" w:rsidRPr="00743B0B" w:rsidRDefault="00743B0B" w:rsidP="00743B0B">
            <w:pPr>
              <w:rPr>
                <w:rFonts w:ascii="Times New Roman" w:hAnsi="Times New Roman"/>
                <w:sz w:val="22"/>
                <w:szCs w:val="22"/>
              </w:rPr>
            </w:pPr>
            <w:r w:rsidRPr="00743B0B">
              <w:rPr>
                <w:rFonts w:ascii="Times New Roman" w:eastAsia="Calibri" w:hAnsi="Times New Roman"/>
                <w:sz w:val="22"/>
                <w:szCs w:val="22"/>
              </w:rPr>
              <w:t>1 133 085</w:t>
            </w:r>
          </w:p>
        </w:tc>
        <w:tc>
          <w:tcPr>
            <w:tcW w:w="1447"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-2 339 297</w:t>
            </w:r>
          </w:p>
        </w:tc>
      </w:tr>
      <w:tr w:rsidR="00743B0B" w:rsidRPr="00743B0B" w:rsidTr="00743B0B">
        <w:tc>
          <w:tcPr>
            <w:tcW w:w="168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Mutuelle 2 Gandon</w:t>
            </w: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Non</w:t>
            </w:r>
          </w:p>
        </w:tc>
        <w:tc>
          <w:tcPr>
            <w:tcW w:w="1446"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1963 050</w:t>
            </w:r>
          </w:p>
        </w:tc>
        <w:tc>
          <w:tcPr>
            <w:tcW w:w="1660" w:type="dxa"/>
          </w:tcPr>
          <w:p w:rsidR="00743B0B" w:rsidRPr="00743B0B" w:rsidRDefault="00743B0B" w:rsidP="00743B0B">
            <w:pPr>
              <w:rPr>
                <w:rFonts w:ascii="Times New Roman" w:hAnsi="Times New Roman"/>
                <w:sz w:val="22"/>
                <w:szCs w:val="22"/>
              </w:rPr>
            </w:pPr>
          </w:p>
        </w:tc>
        <w:tc>
          <w:tcPr>
            <w:tcW w:w="1679"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46 421 375</w:t>
            </w:r>
          </w:p>
        </w:tc>
        <w:tc>
          <w:tcPr>
            <w:tcW w:w="1447" w:type="dxa"/>
          </w:tcPr>
          <w:p w:rsidR="00743B0B" w:rsidRPr="00743B0B" w:rsidRDefault="00743B0B" w:rsidP="00743B0B">
            <w:pPr>
              <w:rPr>
                <w:rFonts w:ascii="Times New Roman" w:hAnsi="Times New Roman"/>
                <w:sz w:val="22"/>
                <w:szCs w:val="22"/>
              </w:rPr>
            </w:pP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color w:val="00B050"/>
          <w:sz w:val="22"/>
          <w:szCs w:val="22"/>
        </w:rPr>
      </w:pPr>
    </w:p>
    <w:p w:rsidR="00743B0B" w:rsidRPr="00743B0B" w:rsidRDefault="00743B0B" w:rsidP="00743B0B">
      <w:pPr>
        <w:rPr>
          <w:rFonts w:ascii="Times New Roman" w:hAnsi="Times New Roman"/>
          <w:color w:val="00B050"/>
          <w:sz w:val="22"/>
          <w:szCs w:val="22"/>
        </w:rPr>
      </w:pPr>
      <w:r w:rsidRPr="00743B0B">
        <w:rPr>
          <w:rFonts w:ascii="Times New Roman" w:hAnsi="Times New Roman"/>
          <w:sz w:val="22"/>
          <w:szCs w:val="22"/>
        </w:rPr>
        <w:t>Compte tenu de ce constat, quelles sont les alternatives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F12E0C" w:rsidP="00743B0B">
      <w:pPr>
        <w:pBdr>
          <w:top w:val="single" w:sz="4" w:space="1" w:color="auto"/>
          <w:left w:val="single" w:sz="4" w:space="4" w:color="auto"/>
          <w:bottom w:val="single" w:sz="4" w:space="1" w:color="auto"/>
          <w:right w:val="single" w:sz="4" w:space="4" w:color="auto"/>
        </w:pBdr>
        <w:rPr>
          <w:rFonts w:ascii="Times New Roman" w:hAnsi="Times New Roman"/>
          <w:b/>
          <w:i/>
          <w:sz w:val="22"/>
          <w:szCs w:val="22"/>
        </w:rPr>
      </w:pPr>
      <w:r>
        <w:rPr>
          <w:rFonts w:ascii="Times New Roman" w:hAnsi="Times New Roman"/>
          <w:b/>
          <w:sz w:val="22"/>
          <w:szCs w:val="22"/>
          <w:u w:val="single"/>
        </w:rPr>
        <w:t>Alternative </w:t>
      </w:r>
      <w:r w:rsidR="00743B0B" w:rsidRPr="00743B0B">
        <w:rPr>
          <w:rFonts w:ascii="Times New Roman" w:hAnsi="Times New Roman"/>
          <w:b/>
          <w:sz w:val="22"/>
          <w:szCs w:val="22"/>
          <w:u w:val="single"/>
        </w:rPr>
        <w:t>1</w:t>
      </w:r>
      <w:r w:rsidR="002575A2">
        <w:rPr>
          <w:rFonts w:ascii="Times New Roman" w:hAnsi="Times New Roman"/>
          <w:b/>
          <w:sz w:val="22"/>
          <w:szCs w:val="22"/>
        </w:rPr>
        <w:t> :</w:t>
      </w:r>
      <w:r w:rsidR="00743B0B" w:rsidRPr="00743B0B">
        <w:rPr>
          <w:rFonts w:ascii="Times New Roman" w:hAnsi="Times New Roman"/>
          <w:b/>
          <w:sz w:val="22"/>
          <w:szCs w:val="22"/>
        </w:rPr>
        <w:t xml:space="preserve"> </w:t>
      </w:r>
      <w:r>
        <w:rPr>
          <w:rFonts w:ascii="Times New Roman" w:hAnsi="Times New Roman"/>
          <w:b/>
          <w:i/>
          <w:sz w:val="22"/>
          <w:szCs w:val="22"/>
        </w:rPr>
        <w:t>R</w:t>
      </w:r>
      <w:r w:rsidR="00743B0B" w:rsidRPr="00743B0B">
        <w:rPr>
          <w:rFonts w:ascii="Times New Roman" w:hAnsi="Times New Roman"/>
          <w:b/>
          <w:i/>
          <w:sz w:val="22"/>
          <w:szCs w:val="22"/>
        </w:rPr>
        <w:t xml:space="preserve">enforcer la MEC </w:t>
      </w:r>
      <w:r w:rsidR="00E82CB3">
        <w:rPr>
          <w:rFonts w:ascii="Times New Roman" w:hAnsi="Times New Roman"/>
          <w:b/>
          <w:i/>
          <w:sz w:val="22"/>
          <w:szCs w:val="22"/>
        </w:rPr>
        <w:t>du delta du Saloum</w:t>
      </w:r>
      <w:r w:rsidR="00743B0B" w:rsidRPr="00743B0B">
        <w:rPr>
          <w:rFonts w:ascii="Times New Roman" w:hAnsi="Times New Roman"/>
          <w:b/>
          <w:i/>
          <w:sz w:val="22"/>
          <w:szCs w:val="22"/>
        </w:rPr>
        <w:t xml:space="preserve"> toujours fonctionnelle et transformer les six (6) autres mutuelles en guichets. Les étapes de cette alternative sont les suivantes:</w:t>
      </w:r>
    </w:p>
    <w:p w:rsidR="00743B0B" w:rsidRPr="00743B0B" w:rsidRDefault="00743B0B" w:rsidP="00743B0B">
      <w:pPr>
        <w:rPr>
          <w:rFonts w:ascii="Times New Roman" w:hAnsi="Times New Roman"/>
          <w:b/>
          <w:i/>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L’opérationnalisation d’une telle alternative se fera par</w:t>
      </w:r>
      <w:r w:rsidR="005F4017">
        <w:rPr>
          <w:rFonts w:ascii="Times New Roman" w:hAnsi="Times New Roman"/>
          <w:sz w:val="22"/>
          <w:szCs w:val="22"/>
        </w:rPr>
        <w:t> </w:t>
      </w:r>
      <w:r w:rsidRPr="00743B0B">
        <w:rPr>
          <w:rFonts w:ascii="Times New Roman" w:hAnsi="Times New Roman"/>
          <w:sz w:val="22"/>
          <w:szCs w:val="22"/>
        </w:rPr>
        <w:t>:</w:t>
      </w:r>
    </w:p>
    <w:p w:rsidR="00743B0B" w:rsidRPr="00743B0B" w:rsidRDefault="00743B0B" w:rsidP="00743B0B">
      <w:pPr>
        <w:rPr>
          <w:rFonts w:ascii="Times New Roman" w:hAnsi="Times New Roman"/>
          <w:b/>
          <w:i/>
          <w:sz w:val="22"/>
          <w:szCs w:val="22"/>
        </w:rPr>
      </w:pPr>
    </w:p>
    <w:p w:rsidR="00743B0B" w:rsidRPr="00743B0B" w:rsidRDefault="00E82CB3" w:rsidP="00743B0B">
      <w:pPr>
        <w:rPr>
          <w:rFonts w:ascii="Times New Roman" w:hAnsi="Times New Roman"/>
          <w:sz w:val="22"/>
          <w:szCs w:val="22"/>
        </w:rPr>
      </w:pPr>
      <w:r>
        <w:rPr>
          <w:rFonts w:ascii="Times New Roman" w:hAnsi="Times New Roman"/>
          <w:sz w:val="22"/>
          <w:szCs w:val="22"/>
          <w:u w:val="single"/>
        </w:rPr>
        <w:t>Du côté de la M</w:t>
      </w:r>
      <w:r w:rsidR="00743B0B" w:rsidRPr="00743B0B">
        <w:rPr>
          <w:rFonts w:ascii="Times New Roman" w:hAnsi="Times New Roman"/>
          <w:sz w:val="22"/>
          <w:szCs w:val="22"/>
          <w:u w:val="single"/>
        </w:rPr>
        <w:t xml:space="preserve">utuelle du </w:t>
      </w:r>
      <w:r>
        <w:rPr>
          <w:rFonts w:ascii="Times New Roman" w:hAnsi="Times New Roman"/>
          <w:sz w:val="22"/>
          <w:szCs w:val="22"/>
          <w:u w:val="single"/>
        </w:rPr>
        <w:t>delta du Saloum</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L’organisation d’</w:t>
      </w:r>
      <w:r w:rsidR="00743B0B" w:rsidRPr="00743B0B">
        <w:rPr>
          <w:rFonts w:ascii="Times New Roman" w:hAnsi="Times New Roman"/>
          <w:sz w:val="22"/>
          <w:szCs w:val="22"/>
        </w:rPr>
        <w:t>une assemblée générale extraordinaire statuant sur cette nouvelle situation à savoir modification du lien commun et de la dénomination.</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L’envoi</w:t>
      </w:r>
      <w:r w:rsidR="00743B0B" w:rsidRPr="00743B0B">
        <w:rPr>
          <w:rFonts w:ascii="Times New Roman" w:hAnsi="Times New Roman"/>
          <w:sz w:val="22"/>
          <w:szCs w:val="22"/>
        </w:rPr>
        <w:t xml:space="preserve"> </w:t>
      </w:r>
      <w:r>
        <w:rPr>
          <w:rFonts w:ascii="Times New Roman" w:hAnsi="Times New Roman"/>
          <w:sz w:val="22"/>
          <w:szCs w:val="22"/>
        </w:rPr>
        <w:t>d’</w:t>
      </w:r>
      <w:r w:rsidR="00743B0B" w:rsidRPr="00743B0B">
        <w:rPr>
          <w:rFonts w:ascii="Times New Roman" w:hAnsi="Times New Roman"/>
          <w:sz w:val="22"/>
          <w:szCs w:val="22"/>
        </w:rPr>
        <w:t>un dossier à la Direction de la réglementation et de la supervision, du Ministère de l’Economie et des Finances, pour autorisation portant sur le changement de dénomination, l’extension du lien commun (</w:t>
      </w:r>
      <w:r w:rsidR="002575A2">
        <w:rPr>
          <w:rFonts w:ascii="Times New Roman" w:hAnsi="Times New Roman"/>
          <w:sz w:val="22"/>
          <w:szCs w:val="22"/>
        </w:rPr>
        <w:t> :</w:t>
      </w:r>
      <w:r w:rsidR="00743B0B" w:rsidRPr="00743B0B">
        <w:rPr>
          <w:rFonts w:ascii="Times New Roman" w:hAnsi="Times New Roman"/>
          <w:sz w:val="22"/>
          <w:szCs w:val="22"/>
        </w:rPr>
        <w:t xml:space="preserve"> ex Mutuelle Verte) et de la zone de couverture de la Mutuelle.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NB</w:t>
      </w:r>
      <w:r w:rsidR="002575A2">
        <w:rPr>
          <w:rFonts w:ascii="Times New Roman" w:hAnsi="Times New Roman"/>
          <w:sz w:val="22"/>
          <w:szCs w:val="22"/>
          <w:u w:val="single"/>
        </w:rPr>
        <w:t> :</w:t>
      </w:r>
      <w:r w:rsidRPr="00743B0B">
        <w:rPr>
          <w:rFonts w:ascii="Times New Roman" w:hAnsi="Times New Roman"/>
          <w:sz w:val="22"/>
          <w:szCs w:val="22"/>
        </w:rPr>
        <w:t xml:space="preserve"> la Mutuelle ne pourrait adopter ces nouvelles dispositions de l’AGE qu’après notification expresse par la DRS de l’autorisation.</w:t>
      </w:r>
    </w:p>
    <w:p w:rsidR="00743B0B" w:rsidRPr="00743B0B" w:rsidRDefault="005F4017" w:rsidP="00743B0B">
      <w:pPr>
        <w:rPr>
          <w:rFonts w:ascii="Times New Roman" w:hAnsi="Times New Roman"/>
          <w:sz w:val="22"/>
          <w:szCs w:val="22"/>
        </w:rPr>
      </w:pPr>
      <w:r>
        <w:rPr>
          <w:rFonts w:ascii="Times New Roman" w:hAnsi="Times New Roman"/>
          <w:sz w:val="22"/>
          <w:szCs w:val="22"/>
        </w:rPr>
        <w:t>Aprè</w:t>
      </w:r>
      <w:r w:rsidR="00743B0B" w:rsidRPr="00743B0B">
        <w:rPr>
          <w:rFonts w:ascii="Times New Roman" w:hAnsi="Times New Roman"/>
          <w:sz w:val="22"/>
          <w:szCs w:val="22"/>
        </w:rPr>
        <w:t>s obtention de cette autorisation, il revient de restructurer la mutuelle du PNDS au plans technique, infrastructurel, organisationnel et des ressources humaines, afin qu’elle puisse jouer son nouveau rôle de faitière.</w:t>
      </w:r>
    </w:p>
    <w:p w:rsidR="00743B0B" w:rsidRPr="00743B0B" w:rsidRDefault="00743B0B" w:rsidP="00743B0B">
      <w:pPr>
        <w:spacing w:after="0"/>
        <w:ind w:left="1440"/>
        <w:rPr>
          <w:rFonts w:ascii="Times New Roman" w:hAnsi="Times New Roman"/>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Du côté des six (6) autres mutuelles</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La redéfinition d</w:t>
      </w:r>
      <w:r w:rsidR="00743B0B" w:rsidRPr="00743B0B">
        <w:rPr>
          <w:rFonts w:ascii="Times New Roman" w:hAnsi="Times New Roman"/>
          <w:sz w:val="22"/>
          <w:szCs w:val="22"/>
        </w:rPr>
        <w:t>es sites d’im</w:t>
      </w:r>
      <w:r>
        <w:rPr>
          <w:rFonts w:ascii="Times New Roman" w:hAnsi="Times New Roman"/>
          <w:sz w:val="22"/>
          <w:szCs w:val="22"/>
        </w:rPr>
        <w:t>plantation des guichets. Il</w:t>
      </w:r>
      <w:r w:rsidR="004533D6">
        <w:rPr>
          <w:rFonts w:ascii="Times New Roman" w:hAnsi="Times New Roman"/>
          <w:sz w:val="22"/>
          <w:szCs w:val="22"/>
        </w:rPr>
        <w:t xml:space="preserve"> </w:t>
      </w:r>
      <w:r w:rsidR="00743B0B" w:rsidRPr="00743B0B">
        <w:rPr>
          <w:rFonts w:ascii="Times New Roman" w:hAnsi="Times New Roman"/>
          <w:sz w:val="22"/>
          <w:szCs w:val="22"/>
        </w:rPr>
        <w:t xml:space="preserve">semble plus pertinent que l’implantation des nouveaux guichets se fasse sur la base des potentialités de la zone en termes de nombre de membre, d’activités économiques, d’épargne et de crédit et leur rentabilité. </w:t>
      </w:r>
    </w:p>
    <w:p w:rsidR="00743B0B" w:rsidRPr="00743B0B" w:rsidRDefault="00743B0B" w:rsidP="00743B0B">
      <w:pPr>
        <w:ind w:left="708"/>
        <w:rPr>
          <w:rFonts w:ascii="Times New Roman" w:hAnsi="Times New Roman"/>
          <w:sz w:val="22"/>
          <w:szCs w:val="22"/>
        </w:rPr>
      </w:pPr>
      <w:r w:rsidRPr="00743B0B">
        <w:rPr>
          <w:rFonts w:ascii="Times New Roman" w:hAnsi="Times New Roman"/>
          <w:sz w:val="22"/>
          <w:szCs w:val="22"/>
        </w:rPr>
        <w:t>Par conséquent trois guichets pourraient être ouverts (ces 3 guichets vont partir de l’existant, mais avec des possibilités de regroupement par axe, par souci d’efficacité de leur intervention et de rentabilité du guichet</w:t>
      </w:r>
      <w:r w:rsidR="002575A2">
        <w:rPr>
          <w:rFonts w:ascii="Times New Roman" w:hAnsi="Times New Roman"/>
          <w:sz w:val="22"/>
          <w:szCs w:val="22"/>
        </w:rPr>
        <w:t>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n guichet polarisant l’axe Gandon-Gandiole. Il peut être implanté à Gandon sur la Nationale pour faciliter l’accès et offrir plus de possibilité de développement du sociétariat et de son activité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 xml:space="preserve">n guichet pour desservir le Ferlo. </w:t>
      </w:r>
      <w:r>
        <w:rPr>
          <w:rFonts w:ascii="Times New Roman" w:hAnsi="Times New Roman"/>
          <w:sz w:val="22"/>
          <w:szCs w:val="22"/>
        </w:rPr>
        <w:t>Il pourrait être implanté à Rané</w:t>
      </w:r>
      <w:r w:rsidR="00743B0B" w:rsidRPr="00743B0B">
        <w:rPr>
          <w:rFonts w:ascii="Times New Roman" w:hAnsi="Times New Roman"/>
          <w:sz w:val="22"/>
          <w:szCs w:val="22"/>
        </w:rPr>
        <w:t>rou, avec possibilité par un système mobile de desservir les zones polarisées par les ancienn</w:t>
      </w:r>
      <w:r>
        <w:rPr>
          <w:rFonts w:ascii="Times New Roman" w:hAnsi="Times New Roman"/>
          <w:sz w:val="22"/>
          <w:szCs w:val="22"/>
        </w:rPr>
        <w:t>es mutuelles de Malandou et de Loumpol-Samba-</w:t>
      </w:r>
      <w:r w:rsidR="00743B0B" w:rsidRPr="00743B0B">
        <w:rPr>
          <w:rFonts w:ascii="Times New Roman" w:hAnsi="Times New Roman"/>
          <w:sz w:val="22"/>
          <w:szCs w:val="22"/>
        </w:rPr>
        <w:t>Abdoul (possibilité d’exploiter leurs locaux)</w:t>
      </w:r>
      <w:r>
        <w:rPr>
          <w:rFonts w:ascii="Times New Roman" w:hAnsi="Times New Roman"/>
          <w:sz w:val="22"/>
          <w:szCs w:val="22"/>
        </w:rPr>
        <w:t>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n guichet dans l’axe Koar-Linkelling-Mansadala pour les populations des départements de Tambacounda et Salémata.</w:t>
      </w:r>
    </w:p>
    <w:p w:rsidR="00743B0B" w:rsidRPr="00743B0B" w:rsidRDefault="00743B0B" w:rsidP="00743B0B">
      <w:pPr>
        <w:spacing w:after="0"/>
        <w:ind w:left="1276"/>
        <w:rPr>
          <w:rFonts w:ascii="Times New Roman" w:hAnsi="Times New Roman"/>
          <w:color w:val="00B05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 xml:space="preserve">Du côté du </w:t>
      </w:r>
      <w:r w:rsidR="00E80173">
        <w:rPr>
          <w:rFonts w:ascii="Times New Roman" w:hAnsi="Times New Roman"/>
          <w:sz w:val="22"/>
          <w:szCs w:val="22"/>
          <w:u w:val="single"/>
        </w:rPr>
        <w:t>PFNAC</w:t>
      </w:r>
    </w:p>
    <w:p w:rsidR="00743B0B" w:rsidRPr="00743B0B" w:rsidRDefault="00743B0B" w:rsidP="00771667">
      <w:pPr>
        <w:numPr>
          <w:ilvl w:val="0"/>
          <w:numId w:val="79"/>
        </w:numPr>
        <w:spacing w:after="0"/>
        <w:contextualSpacing/>
        <w:rPr>
          <w:rFonts w:ascii="Times New Roman" w:hAnsi="Times New Roman"/>
          <w:sz w:val="22"/>
          <w:szCs w:val="22"/>
        </w:rPr>
      </w:pPr>
      <w:r w:rsidRPr="00743B0B">
        <w:rPr>
          <w:rFonts w:ascii="Times New Roman" w:hAnsi="Times New Roman"/>
          <w:sz w:val="22"/>
          <w:szCs w:val="22"/>
        </w:rPr>
        <w:t>Au regard de la situation peu reluisante des MEC, décrite dans le diagnostic, pour optimiser ses chances de succès, le projet doit mobiliser les ressources nécessaires pour faire face aux besoins liés à cette nouvelle configuration. Les activités et travaux</w:t>
      </w:r>
      <w:r w:rsidR="004533D6">
        <w:rPr>
          <w:rFonts w:ascii="Times New Roman" w:hAnsi="Times New Roman"/>
          <w:sz w:val="22"/>
          <w:szCs w:val="22"/>
        </w:rPr>
        <w:t xml:space="preserve"> </w:t>
      </w:r>
      <w:r w:rsidRPr="00743B0B">
        <w:rPr>
          <w:rFonts w:ascii="Times New Roman" w:hAnsi="Times New Roman"/>
          <w:sz w:val="22"/>
          <w:szCs w:val="22"/>
        </w:rPr>
        <w:t>à initier par le Projet auront trait à</w:t>
      </w:r>
      <w:r w:rsidR="002575A2">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appuyer la construction et l’équipement du siège de la MEC de PNDS sur le terrain attribué par la Mairie de Toubacouta sur la voie principale. Ceci contribuerait à améliorer l’image et la notoriété de la MEC et renforcerait son positionnement dans un environnement de plus en plus concurrentiel</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renforcer la MEC/PNDS en personnel qualifié pour lui permettre de jouer pleinement son rôle de faitière. Il faut au moins un agent de crédit pour ses activités et un autre agent chargé de la supervision des activités des autres guichets. (le projet appuiera la prise en charge de ce personnel au moins pour une année - si oui à intégrer dans le budget appui institutionnel)</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s’attacher les services d’un cabinet spécialisé dont la mission sera d’accompagner la Mutuelle dans cette mutation institutionnelle, de proposer les textes structurant et organisant ce nouveau dispositif, d’appuyer le recrutement pour les postes retenus, d’élaborer les manuels de procédures et autres outils de gestion, de coacher aussi bien la MEC/PNDS que les Guichets, etc.</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doter chaque guichet d’un local sécurisé et équipé, d’un personnel motivé e</w:t>
      </w:r>
      <w:r w:rsidR="005F4017">
        <w:rPr>
          <w:rFonts w:ascii="Times New Roman" w:hAnsi="Times New Roman"/>
          <w:sz w:val="22"/>
          <w:szCs w:val="22"/>
        </w:rPr>
        <w:t>t apte à conduire les activités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de mettre en place un programme d’éducation financière au profit des bénéficiaires de crédit pour davantage renforcer leurs capacités et donner plus de chance de dénouement du crédit. Activité qui pourrait être menée en partenariat avec la Direction de la Microfinance dans le cadre de sa nouvelle lettre de politique sectorielle</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de renforcer les capacités des Mec et guichets pour leur faire jouer pleinement leur rôle, à travers un programme de formation centré sur les questions de Gouvernance et la gestion d’une institution, la gestion du crédit, la gestion comptable et financière et le développement de produits adaptés aux réalités locales.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Dans le contexte d’intervention des Mutuelles, le suivi et l’interprétation des données climatiques constituent une source importante d’informations pour les IMF partenaires du </w:t>
      </w:r>
      <w:r w:rsidR="00E80173">
        <w:rPr>
          <w:rFonts w:ascii="Times New Roman" w:hAnsi="Times New Roman"/>
          <w:sz w:val="22"/>
          <w:szCs w:val="22"/>
        </w:rPr>
        <w:t>PFNAC</w:t>
      </w:r>
      <w:r w:rsidRPr="00743B0B">
        <w:rPr>
          <w:rFonts w:ascii="Times New Roman" w:hAnsi="Times New Roman"/>
          <w:sz w:val="22"/>
          <w:szCs w:val="22"/>
        </w:rPr>
        <w:t xml:space="preserve">, puisque cela permet d’évaluer et potentiellement de gérer le risque climatique. La connaissance des comportements climatiques offre aussi des possibilités de diversifier l’offre de produits financiers, par exemple les assurances qui couvrent les risques liés au climat. La quantité et la qualité des données sur le climat (ANACIM) sont aujourd’hui disponibles, ce qui permet aux IMF et autres compagnies d’assurance de développer des produits financiers adaptés aux différents contextes. Il est donc possible pour le </w:t>
      </w:r>
      <w:r w:rsidR="00E80173">
        <w:rPr>
          <w:rFonts w:ascii="Times New Roman" w:hAnsi="Times New Roman"/>
          <w:sz w:val="22"/>
          <w:szCs w:val="22"/>
        </w:rPr>
        <w:t>PFNAC</w:t>
      </w:r>
      <w:r w:rsidRPr="00743B0B">
        <w:rPr>
          <w:rFonts w:ascii="Times New Roman" w:hAnsi="Times New Roman"/>
          <w:sz w:val="22"/>
          <w:szCs w:val="22"/>
        </w:rPr>
        <w:t xml:space="preserve"> d’exploiter les données techniques nécessaires pour informer les populations rurales, mais aussi les institutions financières</w:t>
      </w:r>
      <w:r w:rsidR="004533D6">
        <w:rPr>
          <w:rFonts w:ascii="Times New Roman" w:hAnsi="Times New Roman"/>
          <w:sz w:val="22"/>
          <w:szCs w:val="22"/>
        </w:rPr>
        <w:t xml:space="preserve"> </w:t>
      </w:r>
      <w:r w:rsidRPr="00743B0B">
        <w:rPr>
          <w:rFonts w:ascii="Times New Roman" w:hAnsi="Times New Roman"/>
          <w:sz w:val="22"/>
          <w:szCs w:val="22"/>
        </w:rPr>
        <w:t>partenaires</w:t>
      </w:r>
      <w:r w:rsidR="004533D6">
        <w:rPr>
          <w:rFonts w:ascii="Times New Roman" w:hAnsi="Times New Roman"/>
          <w:sz w:val="22"/>
          <w:szCs w:val="22"/>
        </w:rPr>
        <w:t xml:space="preserve"> </w:t>
      </w:r>
      <w:r w:rsidRPr="00743B0B">
        <w:rPr>
          <w:rFonts w:ascii="Times New Roman" w:hAnsi="Times New Roman"/>
          <w:sz w:val="22"/>
          <w:szCs w:val="22"/>
        </w:rPr>
        <w:t>pour la prise de décision.</w:t>
      </w:r>
    </w:p>
    <w:p w:rsidR="00743B0B" w:rsidRPr="00743B0B" w:rsidRDefault="00743B0B" w:rsidP="00743B0B">
      <w:pPr>
        <w:spacing w:after="0"/>
        <w:ind w:left="1416"/>
        <w:rPr>
          <w:rFonts w:ascii="Times New Roman" w:hAnsi="Times New Roman"/>
          <w:b/>
          <w:sz w:val="22"/>
          <w:szCs w:val="22"/>
          <w:u w:val="single"/>
        </w:rPr>
      </w:pPr>
    </w:p>
    <w:p w:rsidR="00743B0B" w:rsidRPr="00743B0B" w:rsidRDefault="00743B0B" w:rsidP="00743B0B">
      <w:pPr>
        <w:spacing w:after="0"/>
        <w:ind w:left="1416"/>
        <w:rPr>
          <w:rFonts w:ascii="Times New Roman" w:hAnsi="Times New Roman"/>
          <w:b/>
          <w:sz w:val="22"/>
          <w:szCs w:val="22"/>
          <w:u w:val="single"/>
        </w:rPr>
      </w:pPr>
      <w:r w:rsidRPr="00743B0B">
        <w:rPr>
          <w:rFonts w:ascii="Times New Roman" w:hAnsi="Times New Roman"/>
          <w:b/>
          <w:sz w:val="22"/>
          <w:szCs w:val="22"/>
          <w:u w:val="single"/>
        </w:rPr>
        <w:t>Synthèse des activités à financer par le Projet dans cette hypothèse</w:t>
      </w:r>
    </w:p>
    <w:p w:rsidR="00743B0B" w:rsidRPr="00743B0B" w:rsidRDefault="00743B0B" w:rsidP="00743B0B">
      <w:pPr>
        <w:spacing w:after="0"/>
        <w:ind w:left="1416"/>
        <w:rPr>
          <w:rFonts w:ascii="Times New Roman" w:hAnsi="Times New Roman"/>
          <w:sz w:val="22"/>
          <w:szCs w:val="22"/>
        </w:rPr>
      </w:pPr>
    </w:p>
    <w:tbl>
      <w:tblPr>
        <w:tblStyle w:val="Grilledutableau"/>
        <w:tblW w:w="0" w:type="auto"/>
        <w:tblInd w:w="-34" w:type="dxa"/>
        <w:tblLook w:val="04A0" w:firstRow="1" w:lastRow="0" w:firstColumn="1" w:lastColumn="0" w:noHBand="0" w:noVBand="1"/>
      </w:tblPr>
      <w:tblGrid>
        <w:gridCol w:w="3296"/>
        <w:gridCol w:w="1885"/>
        <w:gridCol w:w="1977"/>
        <w:gridCol w:w="1932"/>
      </w:tblGrid>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Nature de l’activité</w:t>
            </w:r>
          </w:p>
        </w:tc>
        <w:tc>
          <w:tcPr>
            <w:tcW w:w="2015"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Intervenants</w:t>
            </w:r>
          </w:p>
        </w:tc>
        <w:tc>
          <w:tcPr>
            <w:tcW w:w="2129"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Bénéficiaires</w:t>
            </w:r>
          </w:p>
        </w:tc>
        <w:tc>
          <w:tcPr>
            <w:tcW w:w="201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Coût de l’Action</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Investissement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96"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1-Construction et équipement en mobilier du siège de 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2-Construction et équipement des trois(3) guichets (Ranérou, Gandon, Mansadala)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3-Equipement en motos (siège et 3 guichets)</w:t>
            </w:r>
          </w:p>
          <w:p w:rsidR="00743B0B" w:rsidRPr="00743B0B" w:rsidRDefault="00743B0B" w:rsidP="00743B0B">
            <w:pPr>
              <w:spacing w:after="0"/>
              <w:rPr>
                <w:rFonts w:ascii="Times New Roman" w:hAnsi="Times New Roman"/>
                <w:sz w:val="22"/>
                <w:szCs w:val="22"/>
              </w:rPr>
            </w:pP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129"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2E6C8F" w:rsidRDefault="008712CB" w:rsidP="00743B0B">
            <w:pPr>
              <w:spacing w:after="0"/>
              <w:rPr>
                <w:rFonts w:ascii="Times New Roman" w:hAnsi="Times New Roman"/>
                <w:sz w:val="22"/>
                <w:szCs w:val="22"/>
                <w:lang w:val="es-ES"/>
              </w:rPr>
            </w:pPr>
            <w:r w:rsidRPr="002E6C8F">
              <w:rPr>
                <w:rFonts w:ascii="Times New Roman" w:hAnsi="Times New Roman"/>
                <w:sz w:val="22"/>
                <w:szCs w:val="22"/>
                <w:lang w:val="es-ES"/>
              </w:rPr>
              <w:t>Ferlo, Gandon ,Niokol-</w:t>
            </w:r>
            <w:r w:rsidR="00743B0B" w:rsidRPr="002E6C8F">
              <w:rPr>
                <w:rFonts w:ascii="Times New Roman" w:hAnsi="Times New Roman"/>
                <w:sz w:val="22"/>
                <w:szCs w:val="22"/>
                <w:lang w:val="es-ES"/>
              </w:rPr>
              <w:t>Koba</w:t>
            </w:r>
          </w:p>
          <w:p w:rsidR="00743B0B" w:rsidRPr="002E6C8F" w:rsidRDefault="00743B0B" w:rsidP="00743B0B">
            <w:pPr>
              <w:spacing w:after="0"/>
              <w:rPr>
                <w:rFonts w:ascii="Times New Roman" w:hAnsi="Times New Roman"/>
                <w:sz w:val="22"/>
                <w:szCs w:val="22"/>
                <w:lang w:val="es-ES"/>
              </w:rPr>
            </w:pPr>
          </w:p>
          <w:p w:rsidR="00743B0B" w:rsidRPr="002E6C8F" w:rsidRDefault="00743B0B" w:rsidP="00743B0B">
            <w:pPr>
              <w:spacing w:after="0"/>
              <w:rPr>
                <w:rFonts w:ascii="Times New Roman" w:hAnsi="Times New Roman"/>
                <w:sz w:val="22"/>
                <w:szCs w:val="22"/>
                <w:lang w:val="es-ES"/>
              </w:rPr>
            </w:pPr>
          </w:p>
          <w:p w:rsidR="00743B0B" w:rsidRPr="002E6C8F" w:rsidRDefault="00743B0B" w:rsidP="00743B0B">
            <w:pPr>
              <w:spacing w:after="0"/>
              <w:rPr>
                <w:rFonts w:ascii="Times New Roman" w:hAnsi="Times New Roman"/>
                <w:sz w:val="22"/>
                <w:szCs w:val="22"/>
                <w:lang w:val="es-ES"/>
              </w:rPr>
            </w:pPr>
            <w:r w:rsidRPr="002E6C8F">
              <w:rPr>
                <w:rFonts w:ascii="Times New Roman" w:hAnsi="Times New Roman"/>
                <w:sz w:val="22"/>
                <w:szCs w:val="22"/>
                <w:lang w:val="es-ES"/>
              </w:rPr>
              <w:t>MEC/PNDS, Ferlo,</w:t>
            </w:r>
            <w:r w:rsidR="004533D6" w:rsidRPr="002E6C8F">
              <w:rPr>
                <w:rFonts w:ascii="Times New Roman" w:hAnsi="Times New Roman"/>
                <w:sz w:val="22"/>
                <w:szCs w:val="22"/>
                <w:lang w:val="es-ES"/>
              </w:rPr>
              <w:t xml:space="preserve"> </w:t>
            </w:r>
            <w:r w:rsidR="008712CB" w:rsidRPr="002E6C8F">
              <w:rPr>
                <w:rFonts w:ascii="Times New Roman" w:hAnsi="Times New Roman"/>
                <w:sz w:val="22"/>
                <w:szCs w:val="22"/>
                <w:lang w:val="es-ES"/>
              </w:rPr>
              <w:t>Gandon ,Niokol-</w:t>
            </w:r>
            <w:r w:rsidRPr="002E6C8F">
              <w:rPr>
                <w:rFonts w:ascii="Times New Roman" w:hAnsi="Times New Roman"/>
                <w:sz w:val="22"/>
                <w:szCs w:val="22"/>
                <w:lang w:val="es-ES"/>
              </w:rPr>
              <w:t>Koba</w:t>
            </w: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20 000 0000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51 000 000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(3x17 000 000)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4 000 000</w:t>
            </w:r>
          </w:p>
          <w:p w:rsidR="00743B0B" w:rsidRPr="00743B0B" w:rsidRDefault="00743B0B" w:rsidP="00743B0B">
            <w:pPr>
              <w:spacing w:after="0"/>
              <w:ind w:left="360"/>
              <w:jc w:val="left"/>
              <w:rPr>
                <w:rFonts w:ascii="Times New Roman" w:hAnsi="Times New Roman"/>
                <w:sz w:val="22"/>
                <w:szCs w:val="22"/>
              </w:rPr>
            </w:pPr>
            <w:r w:rsidRPr="00743B0B">
              <w:rPr>
                <w:rFonts w:ascii="Times New Roman" w:hAnsi="Times New Roman"/>
                <w:sz w:val="22"/>
                <w:szCs w:val="22"/>
              </w:rPr>
              <w:t>(5x800000)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invest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74 000 000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Appui institutionnel</w:t>
            </w:r>
          </w:p>
          <w:p w:rsidR="00743B0B" w:rsidRPr="00743B0B" w:rsidRDefault="00743B0B" w:rsidP="00743B0B">
            <w:pPr>
              <w:spacing w:after="0"/>
              <w:rPr>
                <w:rFonts w:ascii="Times New Roman" w:hAnsi="Times New Roman"/>
                <w:sz w:val="22"/>
                <w:szCs w:val="22"/>
              </w:rPr>
            </w:pPr>
            <w:r w:rsidRPr="00743B0B">
              <w:rPr>
                <w:rFonts w:ascii="Times New Roman" w:hAnsi="Times New Roman"/>
                <w:b/>
                <w:sz w:val="22"/>
                <w:szCs w:val="22"/>
              </w:rPr>
              <w:t>-</w:t>
            </w:r>
            <w:r w:rsidRPr="00743B0B">
              <w:rPr>
                <w:rFonts w:ascii="Times New Roman" w:hAnsi="Times New Roman"/>
                <w:sz w:val="22"/>
                <w:szCs w:val="22"/>
              </w:rPr>
              <w:t>Prise en charge de l’agent de crédit recruté</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-Prise en charge d’agent chargé du suivi des guichets</w:t>
            </w:r>
          </w:p>
          <w:p w:rsidR="00743B0B" w:rsidRPr="00743B0B" w:rsidRDefault="00743B0B" w:rsidP="00743B0B">
            <w:pPr>
              <w:spacing w:after="0"/>
              <w:rPr>
                <w:rFonts w:ascii="Times New Roman" w:hAnsi="Times New Roman"/>
                <w:b/>
                <w:sz w:val="22"/>
                <w:szCs w:val="22"/>
              </w:rPr>
            </w:pPr>
            <w:r w:rsidRPr="00743B0B">
              <w:rPr>
                <w:rFonts w:ascii="Times New Roman" w:hAnsi="Times New Roman"/>
                <w:sz w:val="22"/>
                <w:szCs w:val="22"/>
              </w:rPr>
              <w:t>- Appui en fonctionnement Mec PNDS et Guichets(3)</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 Ferlo,</w:t>
            </w:r>
            <w:r w:rsidR="004533D6">
              <w:rPr>
                <w:rFonts w:ascii="Times New Roman" w:hAnsi="Times New Roman"/>
                <w:sz w:val="22"/>
                <w:szCs w:val="22"/>
              </w:rPr>
              <w:t xml:space="preserve"> </w:t>
            </w:r>
            <w:r w:rsidR="008712CB">
              <w:rPr>
                <w:rFonts w:ascii="Times New Roman" w:hAnsi="Times New Roman"/>
                <w:sz w:val="22"/>
                <w:szCs w:val="22"/>
              </w:rPr>
              <w:t>Gandon, Niokol-</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36 000 000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(500 000*3*24)</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appui inst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48 000 000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comptable et financière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-Développement de produits financiers adaptés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r w:rsidR="00F12E0C" w:rsidRPr="00743B0B">
              <w:rPr>
                <w:rFonts w:ascii="Times New Roman" w:hAnsi="Times New Roman"/>
                <w:sz w:val="22"/>
                <w:szCs w:val="22"/>
              </w:rPr>
              <w:t>Éducation</w:t>
            </w:r>
            <w:r w:rsidRPr="00743B0B">
              <w:rPr>
                <w:rFonts w:ascii="Times New Roman" w:hAnsi="Times New Roman"/>
                <w:sz w:val="22"/>
                <w:szCs w:val="22"/>
              </w:rPr>
              <w:t xml:space="preserve"> financière (protection des clients, budget, épargne gestion des dettes, etc.)</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 xml:space="preserve">Mutuelles </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et les Clients des mutuelles et bénéficiaires du programme</w:t>
            </w:r>
          </w:p>
        </w:tc>
        <w:tc>
          <w:tcPr>
            <w:tcW w:w="2016"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(2 500 000 x 8)</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Formation</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60 000 000</w:t>
            </w:r>
          </w:p>
        </w:tc>
      </w:tr>
      <w:tr w:rsidR="00743B0B" w:rsidRPr="00743B0B" w:rsidTr="00743B0B">
        <w:tc>
          <w:tcPr>
            <w:tcW w:w="3496" w:type="dxa"/>
          </w:tcPr>
          <w:p w:rsidR="00743B0B" w:rsidRPr="00743B0B" w:rsidRDefault="00740EB3" w:rsidP="00743B0B">
            <w:pPr>
              <w:spacing w:after="0"/>
              <w:rPr>
                <w:rFonts w:ascii="Times New Roman" w:hAnsi="Times New Roman"/>
                <w:b/>
                <w:sz w:val="22"/>
                <w:szCs w:val="22"/>
              </w:rPr>
            </w:pPr>
            <w:r w:rsidRPr="00743B0B">
              <w:rPr>
                <w:rFonts w:ascii="Times New Roman" w:hAnsi="Times New Roman"/>
                <w:b/>
                <w:sz w:val="22"/>
                <w:szCs w:val="22"/>
              </w:rPr>
              <w:t>Étude</w:t>
            </w:r>
            <w:r w:rsidR="00743B0B" w:rsidRPr="00743B0B">
              <w:rPr>
                <w:rFonts w:ascii="Times New Roman" w:hAnsi="Times New Roman"/>
                <w:b/>
                <w:sz w:val="22"/>
                <w:szCs w:val="22"/>
              </w:rPr>
              <w:t xml:space="preserve"> et Accompagnement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96" w:type="dxa"/>
          </w:tcPr>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Réaliser une étude sur le développement de produits financiers adaptés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 xml:space="preserve">Processus mutation institutionnel et réorganisation </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Recrutements (gérants et agents de crédit)</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Manuels de procédures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Plans stratégiques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Coaching technique et financier</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en place des outils et Assistance comptable</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à disposition d’une ligne de crédit revolving</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MECs et populations bénéficiares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Ferlo,</w:t>
            </w:r>
            <w:r w:rsidR="004533D6">
              <w:rPr>
                <w:rFonts w:ascii="Times New Roman" w:hAnsi="Times New Roman"/>
                <w:sz w:val="22"/>
                <w:szCs w:val="22"/>
                <w:lang w:val="es-ES"/>
              </w:rPr>
              <w:t xml:space="preserve"> </w:t>
            </w:r>
            <w:r w:rsidR="008712CB">
              <w:rPr>
                <w:rFonts w:ascii="Times New Roman" w:hAnsi="Times New Roman"/>
                <w:sz w:val="22"/>
                <w:szCs w:val="22"/>
                <w:lang w:val="es-ES"/>
              </w:rPr>
              <w:t>Gandon ,Niokol-</w:t>
            </w:r>
            <w:r w:rsidRPr="00743B0B">
              <w:rPr>
                <w:rFonts w:ascii="Times New Roman" w:hAnsi="Times New Roman"/>
                <w:sz w:val="22"/>
                <w:szCs w:val="22"/>
                <w:lang w:val="es-ES"/>
              </w:rPr>
              <w:t>Koba</w:t>
            </w: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MEC/PNDS</w:t>
            </w: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Ferlo,</w:t>
            </w:r>
            <w:r w:rsidR="004533D6">
              <w:rPr>
                <w:rFonts w:ascii="Times New Roman" w:hAnsi="Times New Roman"/>
                <w:sz w:val="22"/>
                <w:szCs w:val="22"/>
                <w:lang w:val="es-ES"/>
              </w:rPr>
              <w:t xml:space="preserve"> </w:t>
            </w:r>
            <w:r w:rsidR="008712CB">
              <w:rPr>
                <w:rFonts w:ascii="Times New Roman" w:hAnsi="Times New Roman"/>
                <w:sz w:val="22"/>
                <w:szCs w:val="22"/>
                <w:lang w:val="es-ES"/>
              </w:rPr>
              <w:t>Gandon ,Niokolo-</w:t>
            </w:r>
            <w:r w:rsidRPr="00743B0B">
              <w:rPr>
                <w:rFonts w:ascii="Times New Roman" w:hAnsi="Times New Roman"/>
                <w:sz w:val="22"/>
                <w:szCs w:val="22"/>
                <w:lang w:val="es-ES"/>
              </w:rPr>
              <w:t>Koba</w:t>
            </w: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4533D6" w:rsidRDefault="00743B0B" w:rsidP="00743B0B">
            <w:pPr>
              <w:spacing w:after="0"/>
              <w:rPr>
                <w:rFonts w:ascii="Times New Roman" w:hAnsi="Times New Roman"/>
                <w:sz w:val="22"/>
                <w:szCs w:val="22"/>
                <w:lang w:val="es-ES"/>
              </w:rPr>
            </w:pPr>
            <w:r w:rsidRPr="004533D6">
              <w:rPr>
                <w:rFonts w:ascii="Times New Roman" w:hAnsi="Times New Roman"/>
                <w:sz w:val="22"/>
                <w:szCs w:val="22"/>
                <w:lang w:val="es-ES"/>
              </w:rPr>
              <w:t>MEC/PNDS</w:t>
            </w:r>
          </w:p>
          <w:p w:rsidR="00743B0B" w:rsidRPr="004533D6" w:rsidRDefault="00743B0B" w:rsidP="00743B0B">
            <w:pPr>
              <w:spacing w:after="0"/>
              <w:rPr>
                <w:rFonts w:ascii="Times New Roman" w:hAnsi="Times New Roman"/>
                <w:sz w:val="22"/>
                <w:szCs w:val="22"/>
                <w:lang w:val="es-ES"/>
              </w:rPr>
            </w:pPr>
            <w:r w:rsidRPr="004533D6">
              <w:rPr>
                <w:rFonts w:ascii="Times New Roman" w:hAnsi="Times New Roman"/>
                <w:sz w:val="22"/>
                <w:szCs w:val="22"/>
                <w:lang w:val="es-ES"/>
              </w:rPr>
              <w:t>Ferlo,</w:t>
            </w:r>
            <w:r w:rsidR="004533D6" w:rsidRPr="004533D6">
              <w:rPr>
                <w:rFonts w:ascii="Times New Roman" w:hAnsi="Times New Roman"/>
                <w:sz w:val="22"/>
                <w:szCs w:val="22"/>
                <w:lang w:val="es-ES"/>
              </w:rPr>
              <w:t xml:space="preserve"> </w:t>
            </w:r>
            <w:r w:rsidR="008712CB">
              <w:rPr>
                <w:rFonts w:ascii="Times New Roman" w:hAnsi="Times New Roman"/>
                <w:sz w:val="22"/>
                <w:szCs w:val="22"/>
                <w:lang w:val="es-ES"/>
              </w:rPr>
              <w:t>Gandon ,Niokolo-</w:t>
            </w:r>
            <w:r w:rsidRPr="004533D6">
              <w:rPr>
                <w:rFonts w:ascii="Times New Roman" w:hAnsi="Times New Roman"/>
                <w:sz w:val="22"/>
                <w:szCs w:val="22"/>
                <w:lang w:val="es-ES"/>
              </w:rPr>
              <w:t>Koba</w:t>
            </w:r>
          </w:p>
        </w:tc>
        <w:tc>
          <w:tcPr>
            <w:tcW w:w="2016" w:type="dxa"/>
          </w:tcPr>
          <w:p w:rsidR="00743B0B" w:rsidRPr="004533D6" w:rsidRDefault="00743B0B" w:rsidP="00743B0B">
            <w:pPr>
              <w:spacing w:after="0"/>
              <w:jc w:val="center"/>
              <w:rPr>
                <w:rFonts w:ascii="Times New Roman" w:hAnsi="Times New Roman"/>
                <w:sz w:val="22"/>
                <w:szCs w:val="22"/>
                <w:lang w:val="es-ES"/>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400 000 000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(100 000 000 x4)</w:t>
            </w:r>
          </w:p>
        </w:tc>
      </w:tr>
      <w:tr w:rsidR="00743B0B" w:rsidRPr="00743B0B" w:rsidTr="00743B0B">
        <w:tc>
          <w:tcPr>
            <w:tcW w:w="3496" w:type="dxa"/>
          </w:tcPr>
          <w:p w:rsidR="00743B0B" w:rsidRPr="00743B0B" w:rsidRDefault="00743B0B" w:rsidP="00743B0B">
            <w:pPr>
              <w:spacing w:after="0"/>
              <w:ind w:left="720"/>
              <w:rPr>
                <w:rFonts w:ascii="Times New Roman" w:hAnsi="Times New Roman"/>
                <w:sz w:val="22"/>
                <w:szCs w:val="22"/>
              </w:rPr>
            </w:pPr>
            <w:r w:rsidRPr="00743B0B">
              <w:rPr>
                <w:rFonts w:ascii="Times New Roman" w:hAnsi="Times New Roman"/>
                <w:b/>
                <w:sz w:val="22"/>
                <w:szCs w:val="22"/>
              </w:rPr>
              <w:t xml:space="preserve">Sous total </w:t>
            </w:r>
            <w:r w:rsidR="00F12E0C" w:rsidRPr="00743B0B">
              <w:rPr>
                <w:rFonts w:ascii="Times New Roman" w:hAnsi="Times New Roman"/>
                <w:b/>
                <w:sz w:val="22"/>
                <w:szCs w:val="22"/>
              </w:rPr>
              <w:t>Étude</w:t>
            </w:r>
            <w:r w:rsidRPr="00743B0B">
              <w:rPr>
                <w:rFonts w:ascii="Times New Roman" w:hAnsi="Times New Roman"/>
                <w:b/>
                <w:sz w:val="22"/>
                <w:szCs w:val="22"/>
              </w:rPr>
              <w:t xml:space="preserve"> et accompagnement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514 000 000</w:t>
            </w:r>
          </w:p>
        </w:tc>
      </w:tr>
      <w:tr w:rsidR="00743B0B" w:rsidRPr="00743B0B" w:rsidTr="00743B0B">
        <w:tc>
          <w:tcPr>
            <w:tcW w:w="3496" w:type="dxa"/>
          </w:tcPr>
          <w:p w:rsidR="00743B0B" w:rsidRPr="00743B0B" w:rsidRDefault="00F12E0C" w:rsidP="00743B0B">
            <w:pPr>
              <w:spacing w:after="0"/>
              <w:ind w:left="720"/>
              <w:rPr>
                <w:rFonts w:ascii="Times New Roman" w:hAnsi="Times New Roman"/>
                <w:b/>
                <w:sz w:val="22"/>
                <w:szCs w:val="22"/>
              </w:rPr>
            </w:pPr>
            <w:r>
              <w:rPr>
                <w:rFonts w:ascii="Times New Roman" w:hAnsi="Times New Roman"/>
                <w:b/>
                <w:sz w:val="22"/>
                <w:szCs w:val="22"/>
              </w:rPr>
              <w:t>TOTAL GÉNÉ</w:t>
            </w:r>
            <w:r w:rsidR="00743B0B" w:rsidRPr="00743B0B">
              <w:rPr>
                <w:rFonts w:ascii="Times New Roman" w:hAnsi="Times New Roman"/>
                <w:b/>
                <w:sz w:val="22"/>
                <w:szCs w:val="22"/>
              </w:rPr>
              <w:t>RAL</w:t>
            </w:r>
          </w:p>
        </w:tc>
        <w:tc>
          <w:tcPr>
            <w:tcW w:w="2015" w:type="dxa"/>
          </w:tcPr>
          <w:p w:rsidR="00743B0B" w:rsidRPr="00743B0B" w:rsidRDefault="00743B0B" w:rsidP="00743B0B">
            <w:pPr>
              <w:spacing w:after="0"/>
              <w:rPr>
                <w:rFonts w:ascii="Times New Roman" w:hAnsi="Times New Roman"/>
                <w:b/>
                <w:sz w:val="22"/>
                <w:szCs w:val="22"/>
              </w:rPr>
            </w:pPr>
          </w:p>
        </w:tc>
        <w:tc>
          <w:tcPr>
            <w:tcW w:w="2129" w:type="dxa"/>
          </w:tcPr>
          <w:p w:rsidR="00743B0B" w:rsidRPr="00743B0B" w:rsidRDefault="00743B0B" w:rsidP="00743B0B">
            <w:pPr>
              <w:spacing w:after="0"/>
              <w:rPr>
                <w:rFonts w:ascii="Times New Roman" w:hAnsi="Times New Roman"/>
                <w:b/>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696 000 000</w:t>
            </w:r>
          </w:p>
        </w:tc>
      </w:tr>
    </w:tbl>
    <w:p w:rsidR="00743B0B" w:rsidRPr="00743B0B" w:rsidRDefault="00743B0B" w:rsidP="00743B0B">
      <w:pPr>
        <w:spacing w:after="0"/>
        <w:ind w:left="284" w:hanging="142"/>
        <w:rPr>
          <w:rFonts w:ascii="Times New Roman" w:hAnsi="Times New Roman"/>
          <w:sz w:val="22"/>
          <w:szCs w:val="22"/>
        </w:rPr>
      </w:pPr>
    </w:p>
    <w:p w:rsidR="00743B0B" w:rsidRPr="00743B0B" w:rsidRDefault="00743B0B" w:rsidP="00743B0B">
      <w:pPr>
        <w:spacing w:after="0"/>
        <w:ind w:left="284" w:hanging="142"/>
        <w:rPr>
          <w:rFonts w:ascii="Times New Roman" w:hAnsi="Times New Roman"/>
          <w:sz w:val="22"/>
          <w:szCs w:val="22"/>
        </w:rPr>
      </w:pPr>
      <w:r w:rsidRPr="00743B0B">
        <w:rPr>
          <w:rFonts w:ascii="Times New Roman" w:hAnsi="Times New Roman"/>
          <w:sz w:val="22"/>
          <w:szCs w:val="22"/>
        </w:rPr>
        <w:t>NB</w:t>
      </w:r>
      <w:r w:rsidR="002575A2">
        <w:rPr>
          <w:rFonts w:ascii="Times New Roman" w:hAnsi="Times New Roman"/>
          <w:sz w:val="22"/>
          <w:szCs w:val="22"/>
        </w:rPr>
        <w:t> :</w:t>
      </w:r>
      <w:r w:rsidRPr="00743B0B">
        <w:rPr>
          <w:rFonts w:ascii="Times New Roman" w:hAnsi="Times New Roman"/>
          <w:sz w:val="22"/>
          <w:szCs w:val="22"/>
        </w:rPr>
        <w:t xml:space="preserve"> l’exécution de ce programme pourrait être fait avec l’appui de la Direction de tutelle (Microfinance) dans le cadre du plan d’action de la politique sectorielle, mais aussi en m</w:t>
      </w:r>
      <w:r w:rsidR="004533D6">
        <w:rPr>
          <w:rFonts w:ascii="Times New Roman" w:hAnsi="Times New Roman"/>
          <w:sz w:val="22"/>
          <w:szCs w:val="22"/>
        </w:rPr>
        <w:t xml:space="preserve">ettant à contribution le Fonds </w:t>
      </w:r>
      <w:r w:rsidRPr="00743B0B">
        <w:rPr>
          <w:rFonts w:ascii="Times New Roman" w:hAnsi="Times New Roman"/>
          <w:sz w:val="22"/>
          <w:szCs w:val="22"/>
        </w:rPr>
        <w:t xml:space="preserve">de </w:t>
      </w:r>
      <w:r w:rsidR="004533D6">
        <w:rPr>
          <w:rFonts w:ascii="Times New Roman" w:hAnsi="Times New Roman"/>
          <w:sz w:val="22"/>
          <w:szCs w:val="22"/>
        </w:rPr>
        <w:t>f</w:t>
      </w:r>
      <w:r w:rsidRPr="00743B0B">
        <w:rPr>
          <w:rFonts w:ascii="Times New Roman" w:hAnsi="Times New Roman"/>
          <w:sz w:val="22"/>
          <w:szCs w:val="22"/>
        </w:rPr>
        <w:t xml:space="preserve">inancement de la </w:t>
      </w:r>
      <w:r w:rsidR="004533D6">
        <w:rPr>
          <w:rFonts w:ascii="Times New Roman" w:hAnsi="Times New Roman"/>
          <w:sz w:val="22"/>
          <w:szCs w:val="22"/>
        </w:rPr>
        <w:t>f</w:t>
      </w:r>
      <w:r w:rsidRPr="00743B0B">
        <w:rPr>
          <w:rFonts w:ascii="Times New Roman" w:hAnsi="Times New Roman"/>
          <w:sz w:val="22"/>
          <w:szCs w:val="22"/>
        </w:rPr>
        <w:t xml:space="preserve">ormation </w:t>
      </w:r>
      <w:r w:rsidR="004533D6">
        <w:rPr>
          <w:rFonts w:ascii="Times New Roman" w:hAnsi="Times New Roman"/>
          <w:sz w:val="22"/>
          <w:szCs w:val="22"/>
        </w:rPr>
        <w:t>p</w:t>
      </w:r>
      <w:r w:rsidRPr="00743B0B">
        <w:rPr>
          <w:rFonts w:ascii="Times New Roman" w:hAnsi="Times New Roman"/>
          <w:sz w:val="22"/>
          <w:szCs w:val="22"/>
        </w:rPr>
        <w:t>rofessionnelle et technique (3FPT)</w:t>
      </w:r>
    </w:p>
    <w:p w:rsidR="00743B0B" w:rsidRPr="00743B0B" w:rsidRDefault="00743B0B" w:rsidP="00743B0B">
      <w:pPr>
        <w:spacing w:after="0"/>
        <w:ind w:left="284" w:hanging="142"/>
        <w:rPr>
          <w:rFonts w:ascii="Times New Roman" w:hAnsi="Times New Roman"/>
          <w:sz w:val="22"/>
          <w:szCs w:val="22"/>
        </w:rPr>
      </w:pPr>
    </w:p>
    <w:p w:rsidR="00743B0B" w:rsidRPr="00743B0B" w:rsidRDefault="00740EB3" w:rsidP="00743B0B">
      <w:pPr>
        <w:spacing w:after="0"/>
        <w:ind w:left="1440"/>
        <w:rPr>
          <w:rFonts w:ascii="Times New Roman" w:hAnsi="Times New Roman"/>
          <w:b/>
          <w:sz w:val="22"/>
          <w:szCs w:val="22"/>
          <w:u w:val="single"/>
        </w:rPr>
      </w:pPr>
      <w:r w:rsidRPr="00743B0B">
        <w:rPr>
          <w:rFonts w:ascii="Times New Roman" w:hAnsi="Times New Roman"/>
          <w:b/>
          <w:sz w:val="22"/>
          <w:szCs w:val="22"/>
          <w:u w:val="single"/>
        </w:rPr>
        <w:t>État</w:t>
      </w:r>
      <w:r w:rsidR="00743B0B" w:rsidRPr="00743B0B">
        <w:rPr>
          <w:rFonts w:ascii="Times New Roman" w:hAnsi="Times New Roman"/>
          <w:b/>
          <w:sz w:val="22"/>
          <w:szCs w:val="22"/>
          <w:u w:val="single"/>
        </w:rPr>
        <w:t xml:space="preserve"> des forces et faiblesses de l’Alternative1</w:t>
      </w:r>
    </w:p>
    <w:tbl>
      <w:tblPr>
        <w:tblStyle w:val="Grilledutableau"/>
        <w:tblW w:w="0" w:type="auto"/>
        <w:tblLook w:val="04A0" w:firstRow="1" w:lastRow="0" w:firstColumn="1" w:lastColumn="0" w:noHBand="0" w:noVBand="1"/>
      </w:tblPr>
      <w:tblGrid>
        <w:gridCol w:w="4526"/>
        <w:gridCol w:w="4530"/>
      </w:tblGrid>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Faiblesses de cette alternative</w:t>
            </w:r>
          </w:p>
        </w:tc>
        <w:tc>
          <w:tcPr>
            <w:tcW w:w="4642"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Force de cette alternative</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Par rapport à la MEC du PNDS comme tête de file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MEC PNDS a aujourd’hui un problème de viabilité au regard de ses performances des trois dernières années (déficit et faiblesse de l’activité), de l’image qu’elle dégage aux yeux des populations qui se tournent de plus en plus vers la concurrence.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ressources humaines disponibles au niveau de la MEC</w:t>
            </w:r>
            <w:r w:rsidR="004533D6">
              <w:rPr>
                <w:rFonts w:ascii="Times New Roman" w:hAnsi="Times New Roman"/>
                <w:sz w:val="22"/>
                <w:szCs w:val="22"/>
              </w:rPr>
              <w:t xml:space="preserve"> </w:t>
            </w:r>
            <w:r w:rsidRPr="00743B0B">
              <w:rPr>
                <w:rFonts w:ascii="Times New Roman" w:hAnsi="Times New Roman"/>
                <w:sz w:val="22"/>
                <w:szCs w:val="22"/>
              </w:rPr>
              <w:t>auront des difficultés à assumer leurs nouvelles responsabilités de management d’un réseau s’ils ne sont pas fortement capacités</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Possibilité d’opérationnaliser l’idée d’un réseau fort couvrant l’ensemble des zones d’intervention du Projet et qui a toujours été la préoccupation des responsables du PGIES</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Par rapport aux autres mutuelles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plupart des Mutuelles créées sont en faillite et doivent de l’argent aux populations (capital social et épargne), avec le risque qu’elles se présentent en cas de réouverture pour réclamer les sommes dues (c’est une bombe à retardement) =&gt; risques importants.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-Certaines zones d’implantation de mutuelles n’offrent pas le potentiel sociétariat ou le niveau d’activité devant garantir la viabilité de l’activité</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-Possibilité d’asseoir une politique commune et harmonisée en matière d’épargne et de crédit, contrairement au cas où le Projet travaillerait avec plusieurs autres institutions de micro finance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ressources affectées ou recouvrées par certaines mutuelles aujourd’hui en difficulté (Malando, loumpol Samba Abdoul) sont bloquées dans des comptes à la CNCAS. Ces ressources pourraient renforcer les fonds de crédit en cas de reprise des activités</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 xml:space="preserve">Par rapport au </w:t>
            </w:r>
            <w:r w:rsidR="00E80173">
              <w:rPr>
                <w:rFonts w:ascii="Times New Roman" w:hAnsi="Times New Roman"/>
                <w:b/>
                <w:sz w:val="22"/>
                <w:szCs w:val="22"/>
              </w:rPr>
              <w:t>PFNAC</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Cette option semble la plus couteuse du fait de la quasi disparition du schéma financier initialement promu par le Pgies dans les différentes zones. Et qu’il s’avère important de reconstituer et de professionnaliser.</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principes d’un financement pourraient davantage être promus, ce qui pourrait constituer un levier pour le plaidoyer et la mobilisation de ressources dédiées.</w:t>
            </w: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F12E0C" w:rsidP="00743B0B">
      <w:pPr>
        <w:pBdr>
          <w:top w:val="single" w:sz="4" w:space="1" w:color="auto"/>
          <w:left w:val="single" w:sz="4" w:space="4" w:color="auto"/>
          <w:bottom w:val="single" w:sz="4" w:space="1" w:color="auto"/>
          <w:right w:val="single" w:sz="4" w:space="4" w:color="auto"/>
        </w:pBdr>
        <w:rPr>
          <w:rFonts w:ascii="Times New Roman" w:hAnsi="Times New Roman"/>
          <w:b/>
          <w:i/>
          <w:sz w:val="22"/>
          <w:szCs w:val="22"/>
        </w:rPr>
      </w:pPr>
      <w:r>
        <w:rPr>
          <w:rFonts w:ascii="Times New Roman" w:hAnsi="Times New Roman"/>
          <w:sz w:val="22"/>
          <w:szCs w:val="22"/>
          <w:u w:val="single"/>
        </w:rPr>
        <w:t>Alternative </w:t>
      </w:r>
      <w:r w:rsidR="00743B0B" w:rsidRPr="00743B0B">
        <w:rPr>
          <w:rFonts w:ascii="Times New Roman" w:hAnsi="Times New Roman"/>
          <w:sz w:val="22"/>
          <w:szCs w:val="22"/>
          <w:u w:val="single"/>
        </w:rPr>
        <w:t>2</w:t>
      </w:r>
      <w:r w:rsidR="002575A2">
        <w:rPr>
          <w:rFonts w:ascii="Times New Roman" w:hAnsi="Times New Roman"/>
          <w:sz w:val="22"/>
          <w:szCs w:val="22"/>
          <w:u w:val="single"/>
        </w:rPr>
        <w:t> :</w:t>
      </w:r>
      <w:r w:rsidR="00743B0B" w:rsidRPr="00743B0B">
        <w:rPr>
          <w:rFonts w:ascii="Times New Roman" w:hAnsi="Times New Roman"/>
          <w:sz w:val="22"/>
          <w:szCs w:val="22"/>
        </w:rPr>
        <w:t xml:space="preserve"> </w:t>
      </w:r>
      <w:r>
        <w:rPr>
          <w:rFonts w:ascii="Times New Roman" w:hAnsi="Times New Roman"/>
          <w:b/>
          <w:i/>
          <w:sz w:val="22"/>
          <w:szCs w:val="22"/>
        </w:rPr>
        <w:t>L</w:t>
      </w:r>
      <w:r w:rsidR="00743B0B" w:rsidRPr="00743B0B">
        <w:rPr>
          <w:rFonts w:ascii="Times New Roman" w:hAnsi="Times New Roman"/>
          <w:b/>
          <w:i/>
          <w:sz w:val="22"/>
          <w:szCs w:val="22"/>
        </w:rPr>
        <w:t>e Projet renforce la MEC PNDS qui a encore son agrément et signe des conventions de partenariat avec des mutuelles présentes dans la localité ou acceptant de la desservir.</w:t>
      </w:r>
    </w:p>
    <w:p w:rsidR="00743B0B" w:rsidRPr="00743B0B" w:rsidRDefault="00743B0B" w:rsidP="00743B0B">
      <w:pPr>
        <w:rPr>
          <w:rFonts w:ascii="Times New Roman" w:hAnsi="Times New Roman"/>
          <w:bCs/>
          <w:sz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L’opérationnalisation d’une telle alternative se fera par</w:t>
      </w:r>
      <w:r w:rsidR="005F4017">
        <w:rPr>
          <w:rFonts w:ascii="Times New Roman" w:hAnsi="Times New Roman"/>
          <w:sz w:val="22"/>
          <w:szCs w:val="22"/>
        </w:rPr>
        <w:t>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Du côté de la mutuelle du PNDS</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revue des textes qui organisent la mutuelle en essayant d’identifier tous les facteurs limitant le développement et le déploiement de la mutuelle(le lien commun, la dénomination, convention signées avec les comités de gestion, etc..).</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soumission d’un dossier à la Direction de la réglementation et de la supervision, du Ministère de l’Economie et des Finances, pour autorisation portant sur le changement de dénomination, l’extension du lien commun.</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sensibilisation, la remobilisation des membres, la professionnalisation et l’ambition d’assurer une couverture plus large, seront les seuls gages de la pérennité de l’institution.</w:t>
      </w:r>
    </w:p>
    <w:p w:rsidR="00743B0B" w:rsidRPr="00743B0B" w:rsidRDefault="00743B0B" w:rsidP="00743B0B">
      <w:pPr>
        <w:spacing w:after="0"/>
        <w:ind w:left="1440"/>
        <w:rPr>
          <w:rFonts w:ascii="Times New Roman" w:hAnsi="Times New Roman"/>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Du côté des mutuelles partenaires</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 xml:space="preserve">La soumission et l’acceptation d’accompagner le Projet dans la satisfaction des besoins en services financiers des populations des zones couvertes par le </w:t>
      </w:r>
      <w:r w:rsidR="00E80173">
        <w:rPr>
          <w:rFonts w:ascii="Times New Roman" w:hAnsi="Times New Roman"/>
          <w:sz w:val="22"/>
          <w:szCs w:val="22"/>
        </w:rPr>
        <w:t>PFNAC</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La proposition d’un projet et schéma d’implantation conformément à la convention</w:t>
      </w:r>
      <w:r w:rsidR="004533D6">
        <w:rPr>
          <w:rFonts w:ascii="Times New Roman" w:hAnsi="Times New Roman"/>
          <w:sz w:val="22"/>
          <w:szCs w:val="22"/>
        </w:rPr>
        <w:t xml:space="preserve"> </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 xml:space="preserve">L’information (feedback) au </w:t>
      </w:r>
      <w:r w:rsidR="00E80173">
        <w:rPr>
          <w:rFonts w:ascii="Times New Roman" w:hAnsi="Times New Roman"/>
          <w:sz w:val="22"/>
          <w:szCs w:val="22"/>
        </w:rPr>
        <w:t>PFNAC</w:t>
      </w:r>
      <w:r w:rsidRPr="00743B0B">
        <w:rPr>
          <w:rFonts w:ascii="Times New Roman" w:hAnsi="Times New Roman"/>
          <w:sz w:val="22"/>
          <w:szCs w:val="22"/>
        </w:rPr>
        <w:t xml:space="preserve"> selon une périodicité retenue par la convention, sur les performances réalisées, les contraintes et difficultés rencontrées.</w:t>
      </w:r>
    </w:p>
    <w:p w:rsidR="00743B0B" w:rsidRPr="00743B0B" w:rsidRDefault="00743B0B" w:rsidP="00743B0B">
      <w:pPr>
        <w:spacing w:after="0"/>
        <w:ind w:left="360"/>
        <w:rPr>
          <w:rFonts w:ascii="Times New Roman" w:hAnsi="Times New Roman"/>
          <w:sz w:val="22"/>
          <w:szCs w:val="22"/>
          <w:u w:val="single"/>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 xml:space="preserve">Du côté du </w:t>
      </w:r>
      <w:r w:rsidR="00E80173">
        <w:rPr>
          <w:rFonts w:ascii="Times New Roman" w:hAnsi="Times New Roman"/>
          <w:sz w:val="22"/>
          <w:szCs w:val="22"/>
          <w:u w:val="single"/>
        </w:rPr>
        <w:t>PFNAC</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L’identification des mutuelles présentes dans ces zones ou désirant s’y installer</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 xml:space="preserve">L’organisation de rencontres d’information avec les institutions identifiées avec comme objectif d’informer l’ensemble des Systèmes Financiers Décentralisés identifiés sur le </w:t>
      </w:r>
      <w:r w:rsidR="00E80173">
        <w:rPr>
          <w:rFonts w:ascii="Times New Roman" w:hAnsi="Times New Roman"/>
          <w:sz w:val="22"/>
          <w:szCs w:val="22"/>
        </w:rPr>
        <w:t>PFNAC</w:t>
      </w:r>
      <w:r w:rsidRPr="00743B0B">
        <w:rPr>
          <w:rFonts w:ascii="Times New Roman" w:hAnsi="Times New Roman"/>
          <w:sz w:val="22"/>
          <w:szCs w:val="22"/>
        </w:rPr>
        <w:t>, ses objectifs, sa stratégie et ses modalités d’intervention, mais aussi d’échanger sur les possibilités de partenariat.</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 xml:space="preserve">La préparation d’un dossier de manifestation d’intérêt à soumettre aux institutions intéressées par le Projet. </w:t>
      </w:r>
    </w:p>
    <w:p w:rsidR="00743B0B" w:rsidRPr="00743B0B" w:rsidRDefault="00743B0B" w:rsidP="00743B0B">
      <w:pPr>
        <w:spacing w:before="120" w:after="120"/>
        <w:rPr>
          <w:rFonts w:ascii="Times New Roman" w:hAnsi="Times New Roman"/>
          <w:sz w:val="22"/>
          <w:szCs w:val="22"/>
        </w:rPr>
      </w:pPr>
      <w:r w:rsidRPr="00743B0B">
        <w:rPr>
          <w:rFonts w:ascii="Times New Roman" w:hAnsi="Times New Roman"/>
          <w:sz w:val="22"/>
          <w:szCs w:val="22"/>
        </w:rPr>
        <w:t xml:space="preserve">Ce formulaire de soumission pré établi par le </w:t>
      </w:r>
      <w:r w:rsidR="00E80173">
        <w:rPr>
          <w:rFonts w:ascii="Times New Roman" w:hAnsi="Times New Roman"/>
          <w:sz w:val="22"/>
          <w:szCs w:val="22"/>
        </w:rPr>
        <w:t>PFNAC</w:t>
      </w:r>
      <w:r w:rsidRPr="00743B0B">
        <w:rPr>
          <w:rFonts w:ascii="Times New Roman" w:hAnsi="Times New Roman"/>
          <w:sz w:val="22"/>
          <w:szCs w:val="22"/>
        </w:rPr>
        <w:t xml:space="preserve"> permettra de recueillir les informations sur les SFD, leurs performances technique, managériale et leurs capacités à apporter des réponses aux préoccupations des populations cibles du Projet.</w:t>
      </w:r>
    </w:p>
    <w:p w:rsidR="00743B0B" w:rsidRPr="00743B0B" w:rsidRDefault="00743B0B" w:rsidP="00743B0B">
      <w:pPr>
        <w:spacing w:before="120" w:after="120"/>
        <w:ind w:left="720"/>
        <w:rPr>
          <w:rFonts w:ascii="Times New Roman" w:hAnsi="Times New Roman"/>
          <w:sz w:val="22"/>
          <w:szCs w:val="22"/>
        </w:rPr>
      </w:pPr>
    </w:p>
    <w:p w:rsidR="00743B0B" w:rsidRPr="00743B0B" w:rsidRDefault="00743B0B" w:rsidP="00771667">
      <w:pPr>
        <w:numPr>
          <w:ilvl w:val="0"/>
          <w:numId w:val="66"/>
        </w:numPr>
        <w:spacing w:before="120" w:after="120"/>
        <w:contextualSpacing/>
        <w:rPr>
          <w:rFonts w:ascii="Times New Roman" w:hAnsi="Times New Roman"/>
          <w:sz w:val="22"/>
          <w:szCs w:val="22"/>
        </w:rPr>
      </w:pPr>
      <w:r w:rsidRPr="00743B0B">
        <w:rPr>
          <w:rFonts w:ascii="Times New Roman" w:hAnsi="Times New Roman"/>
          <w:sz w:val="22"/>
          <w:szCs w:val="22"/>
        </w:rPr>
        <w:t>La mise en place d’un comité de sélection pour apprécier individuellement les dossiers de candidature sur la base des critères prédéfinis et qui leur étaient préalablement notifiés. Il mettra l’accent sur le dynamisme des SFD et leurs capacités à accompagner</w:t>
      </w:r>
      <w:r w:rsidR="004533D6">
        <w:rPr>
          <w:rFonts w:ascii="Times New Roman" w:hAnsi="Times New Roman"/>
          <w:sz w:val="22"/>
          <w:szCs w:val="22"/>
        </w:rPr>
        <w:t xml:space="preserve"> </w:t>
      </w:r>
      <w:r w:rsidRPr="00743B0B">
        <w:rPr>
          <w:rFonts w:ascii="Times New Roman" w:hAnsi="Times New Roman"/>
          <w:sz w:val="22"/>
          <w:szCs w:val="22"/>
        </w:rPr>
        <w:t xml:space="preserve">le programme et à donner des résultats, mais surtout de l’efficacité de leurs dispositifs de suivi et recouvrement des prêts pour assurer une bonne qualité de portefeuille. </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 xml:space="preserve">La proposition de conventions aux SFD sélectionnés précisant les modalités pratiques du partenariat (zone d’implantation, public cible, conditions d’intervention, taux applicables, les modalités techniques et financière d’accompagnement du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L’appui à la construction et à</w:t>
      </w:r>
      <w:r w:rsidR="004533D6">
        <w:rPr>
          <w:rFonts w:ascii="Times New Roman" w:hAnsi="Times New Roman"/>
          <w:sz w:val="22"/>
          <w:szCs w:val="22"/>
        </w:rPr>
        <w:t xml:space="preserve"> </w:t>
      </w:r>
      <w:r w:rsidRPr="00743B0B">
        <w:rPr>
          <w:rFonts w:ascii="Times New Roman" w:hAnsi="Times New Roman"/>
          <w:sz w:val="22"/>
          <w:szCs w:val="22"/>
        </w:rPr>
        <w:t>l’équipement du siège de la MEC de PNDS sur le terrain attribué par la Mairie de Toubacouta sur la voie principale. Ceci contribuerait à améliorer l’image et la notoriété de la MEC et renforcerait son positionnement dans un environnement de plus en plus concurrentiel.</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Le renforcement de la MEC/PNDS en personnel qualifié pour lui permet</w:t>
      </w:r>
      <w:r w:rsidR="00E82CB3">
        <w:rPr>
          <w:rFonts w:ascii="Times New Roman" w:hAnsi="Times New Roman"/>
          <w:sz w:val="22"/>
          <w:szCs w:val="22"/>
        </w:rPr>
        <w:t>tre de rayonner dans la zone du delta du Saloum</w:t>
      </w:r>
      <w:r w:rsidRPr="00743B0B">
        <w:rPr>
          <w:rFonts w:ascii="Times New Roman" w:hAnsi="Times New Roman"/>
          <w:sz w:val="22"/>
          <w:szCs w:val="22"/>
        </w:rPr>
        <w:t>. Il faut au moins un agent de crédit pour les activités de la MEC</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 xml:space="preserve">La sollicitation des services d’un cabinet spécialisé dont la mission est de servir de conseil sur les questions de financement et d’accompagner le </w:t>
      </w:r>
      <w:r w:rsidR="00E80173">
        <w:rPr>
          <w:rFonts w:ascii="Times New Roman" w:hAnsi="Times New Roman"/>
          <w:sz w:val="22"/>
          <w:szCs w:val="22"/>
        </w:rPr>
        <w:t>PFNAC</w:t>
      </w:r>
      <w:r w:rsidRPr="00743B0B">
        <w:rPr>
          <w:rFonts w:ascii="Times New Roman" w:hAnsi="Times New Roman"/>
          <w:sz w:val="22"/>
          <w:szCs w:val="22"/>
        </w:rPr>
        <w:t xml:space="preserve"> dans l’optimisation de cette nouvelle configuration. </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L’élaboration et l’exécution d’un programme d’éducation financière et d’appui non financier aux bénéficiaires de crédit pour davantage renforcer leurs capacités et donner plus de chance de dénouement du crédit. Activité qui pourrait être menée en partenariat avec la Direction de la Microfinance dans le cadre de sa nouvelle lettre de politique sectorielle.</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La mise à disposition de lignes de refinancement pour le PNDS et les autres mutuelles partenaires pour renforcer leurs capacités d’intervention</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La mise en place d’un mécanisme régulier de suivi évaluation de l’application des conventions de</w:t>
      </w:r>
      <w:r w:rsidR="004533D6">
        <w:rPr>
          <w:rFonts w:ascii="Times New Roman" w:hAnsi="Times New Roman"/>
          <w:sz w:val="22"/>
          <w:szCs w:val="22"/>
        </w:rPr>
        <w:t xml:space="preserve"> </w:t>
      </w:r>
      <w:r w:rsidRPr="00743B0B">
        <w:rPr>
          <w:rFonts w:ascii="Times New Roman" w:hAnsi="Times New Roman"/>
          <w:sz w:val="22"/>
          <w:szCs w:val="22"/>
        </w:rPr>
        <w:t>partenariats avec les SFD.</w:t>
      </w:r>
    </w:p>
    <w:p w:rsidR="00743B0B" w:rsidRPr="00743B0B" w:rsidRDefault="00743B0B" w:rsidP="00743B0B">
      <w:pPr>
        <w:spacing w:before="120" w:after="120"/>
        <w:rPr>
          <w:rFonts w:ascii="Times New Roman" w:hAnsi="Times New Roman"/>
          <w:sz w:val="22"/>
          <w:szCs w:val="22"/>
        </w:rPr>
      </w:pPr>
      <w:r w:rsidRPr="00743B0B">
        <w:rPr>
          <w:rFonts w:ascii="Times New Roman" w:hAnsi="Times New Roman"/>
          <w:sz w:val="22"/>
          <w:szCs w:val="22"/>
        </w:rPr>
        <w:t>Pour la mise en œuvre de cette alternative trois partenaires financiers organisés en réseau sont identifiés, il s’agit de</w:t>
      </w:r>
      <w:r w:rsidR="002575A2">
        <w:rPr>
          <w:rFonts w:ascii="Times New Roman" w:hAnsi="Times New Roman"/>
          <w:sz w:val="22"/>
          <w:szCs w:val="22"/>
        </w:rPr>
        <w:t> :</w:t>
      </w:r>
    </w:p>
    <w:p w:rsidR="00743B0B" w:rsidRPr="00743B0B" w:rsidRDefault="00743B0B" w:rsidP="00771667">
      <w:pPr>
        <w:numPr>
          <w:ilvl w:val="0"/>
          <w:numId w:val="67"/>
        </w:numPr>
        <w:spacing w:after="0"/>
        <w:ind w:left="357" w:hanging="357"/>
        <w:rPr>
          <w:rFonts w:ascii="Times New Roman" w:eastAsia="MS Mincho" w:hAnsi="Times New Roman"/>
          <w:sz w:val="22"/>
          <w:szCs w:val="22"/>
          <w:lang w:eastAsia="fr-FR"/>
        </w:rPr>
      </w:pPr>
      <w:r w:rsidRPr="00743B0B">
        <w:rPr>
          <w:rFonts w:ascii="Times New Roman" w:eastAsia="MS Mincho" w:hAnsi="Times New Roman"/>
          <w:b/>
          <w:sz w:val="22"/>
          <w:szCs w:val="22"/>
          <w:lang w:eastAsia="fr-FR"/>
        </w:rPr>
        <w:t xml:space="preserve">L’U-IMCEC </w:t>
      </w:r>
      <w:r w:rsidRPr="00743B0B">
        <w:rPr>
          <w:rFonts w:ascii="Times New Roman" w:eastAsia="MS Mincho" w:hAnsi="Times New Roman"/>
          <w:sz w:val="22"/>
          <w:szCs w:val="22"/>
          <w:lang w:eastAsia="fr-FR"/>
        </w:rPr>
        <w:t xml:space="preserve">(Union des </w:t>
      </w:r>
      <w:r w:rsidR="005F4017">
        <w:rPr>
          <w:rFonts w:ascii="Times New Roman" w:eastAsia="MS Mincho" w:hAnsi="Times New Roman"/>
          <w:sz w:val="22"/>
          <w:szCs w:val="22"/>
          <w:lang w:eastAsia="fr-FR"/>
        </w:rPr>
        <w:t>institutions m</w:t>
      </w:r>
      <w:r w:rsidRPr="00743B0B">
        <w:rPr>
          <w:rFonts w:ascii="Times New Roman" w:eastAsia="MS Mincho" w:hAnsi="Times New Roman"/>
          <w:sz w:val="22"/>
          <w:szCs w:val="22"/>
          <w:lang w:eastAsia="fr-FR"/>
        </w:rPr>
        <w:t xml:space="preserve">utualistes </w:t>
      </w:r>
      <w:r w:rsidR="005F4017">
        <w:rPr>
          <w:rFonts w:ascii="Times New Roman" w:eastAsia="MS Mincho" w:hAnsi="Times New Roman"/>
          <w:sz w:val="22"/>
          <w:szCs w:val="22"/>
          <w:lang w:eastAsia="fr-FR"/>
        </w:rPr>
        <w:t>communautaires d’épargne et de c</w:t>
      </w:r>
      <w:r w:rsidRPr="00743B0B">
        <w:rPr>
          <w:rFonts w:ascii="Times New Roman" w:eastAsia="MS Mincho" w:hAnsi="Times New Roman"/>
          <w:sz w:val="22"/>
          <w:szCs w:val="22"/>
          <w:lang w:eastAsia="fr-FR"/>
        </w:rPr>
        <w:t>rédit)</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Elle découle des premières mutuelles d’épargne et de crédit mises en place en 2000 par l’ONG Christian ChildrenFund (actuel</w:t>
      </w:r>
      <w:r w:rsidR="005F4017">
        <w:rPr>
          <w:rFonts w:ascii="Times New Roman" w:eastAsia="MS Mincho" w:hAnsi="Times New Roman"/>
          <w:sz w:val="22"/>
          <w:szCs w:val="22"/>
          <w:lang w:eastAsia="fr-FR"/>
        </w:rPr>
        <w:t>lement nommé</w:t>
      </w:r>
      <w:r w:rsidRPr="00743B0B">
        <w:rPr>
          <w:rFonts w:ascii="Times New Roman" w:eastAsia="MS Mincho" w:hAnsi="Times New Roman"/>
          <w:sz w:val="22"/>
          <w:szCs w:val="22"/>
          <w:lang w:eastAsia="fr-FR"/>
        </w:rPr>
        <w:t xml:space="preserve"> Child Fund Agency) et l’USAID et est issue d’un programme de parrainage d’enfants. Le programme avait démarré par une phase pilote sur 12 sites à Dakar et Thiès avant d’être élargi à d’autres localités. </w:t>
      </w:r>
      <w:r w:rsidR="005F4017">
        <w:rPr>
          <w:rFonts w:ascii="Times New Roman" w:eastAsia="MS Mincho" w:hAnsi="Times New Roman"/>
          <w:sz w:val="22"/>
          <w:szCs w:val="22"/>
          <w:lang w:eastAsia="fr-FR"/>
        </w:rPr>
        <w:t>À</w:t>
      </w:r>
      <w:r w:rsidRPr="00743B0B">
        <w:rPr>
          <w:rFonts w:ascii="Times New Roman" w:eastAsia="MS Mincho" w:hAnsi="Times New Roman"/>
          <w:sz w:val="22"/>
          <w:szCs w:val="22"/>
          <w:lang w:eastAsia="fr-FR"/>
        </w:rPr>
        <w:t xml:space="preserve"> la fin du programme en 2003, les MEC de</w:t>
      </w:r>
      <w:r w:rsidR="005F4017">
        <w:rPr>
          <w:rFonts w:ascii="Times New Roman" w:eastAsia="MS Mincho" w:hAnsi="Times New Roman"/>
          <w:sz w:val="22"/>
          <w:szCs w:val="22"/>
          <w:lang w:eastAsia="fr-FR"/>
        </w:rPr>
        <w:t xml:space="preserve"> l’U-</w:t>
      </w:r>
      <w:r w:rsidRPr="00743B0B">
        <w:rPr>
          <w:rFonts w:ascii="Times New Roman" w:eastAsia="MS Mincho" w:hAnsi="Times New Roman"/>
          <w:sz w:val="22"/>
          <w:szCs w:val="22"/>
          <w:lang w:eastAsia="fr-FR"/>
        </w:rPr>
        <w:t>IMCEC étaient déjà devenues matures et en décembre 2005</w:t>
      </w:r>
      <w:r w:rsidR="005F4017">
        <w:rPr>
          <w:rFonts w:ascii="Times New Roman" w:eastAsia="MS Mincho" w:hAnsi="Times New Roman"/>
          <w:sz w:val="22"/>
          <w:szCs w:val="22"/>
          <w:lang w:eastAsia="fr-FR"/>
        </w:rPr>
        <w:t>, l’U</w:t>
      </w:r>
      <w:r w:rsidRPr="00743B0B">
        <w:rPr>
          <w:rFonts w:ascii="Times New Roman" w:eastAsia="MS Mincho" w:hAnsi="Times New Roman"/>
          <w:sz w:val="22"/>
          <w:szCs w:val="22"/>
          <w:lang w:eastAsia="fr-FR"/>
        </w:rPr>
        <w:t>nion</w:t>
      </w:r>
      <w:r w:rsidR="005F4017">
        <w:rPr>
          <w:rFonts w:ascii="Times New Roman" w:eastAsia="MS Mincho" w:hAnsi="Times New Roman"/>
          <w:sz w:val="22"/>
          <w:szCs w:val="22"/>
          <w:lang w:eastAsia="fr-FR"/>
        </w:rPr>
        <w:t xml:space="preserve"> a été constituée avec quatre (</w:t>
      </w:r>
      <w:r w:rsidRPr="00743B0B">
        <w:rPr>
          <w:rFonts w:ascii="Times New Roman" w:eastAsia="MS Mincho" w:hAnsi="Times New Roman"/>
          <w:sz w:val="22"/>
          <w:szCs w:val="22"/>
          <w:lang w:eastAsia="fr-FR"/>
        </w:rPr>
        <w:t>4) IMCEC(Dakar, Thiès, Mbour, et Casamance).</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Aujourd’hui, l’Union des Institutions Mutualistes Communautaires d’Epargne et de Crédit du Sénégal (U-IMCEC Sénégal) fait partie des cinq réseaux leaders du marché de la microfinance au Sénégal avec plus de 40 guichets répartis dans 12 régions du pays. Elle offre une large gamme de produits et services financiers.</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 xml:space="preserve">Par rapport aux zones d’intervention du </w:t>
      </w:r>
      <w:r w:rsidR="00E80173">
        <w:rPr>
          <w:rFonts w:ascii="Times New Roman" w:eastAsia="MS Mincho" w:hAnsi="Times New Roman"/>
          <w:sz w:val="22"/>
          <w:szCs w:val="22"/>
          <w:lang w:eastAsia="fr-FR"/>
        </w:rPr>
        <w:t>PFNAC</w:t>
      </w:r>
      <w:r w:rsidRPr="00743B0B">
        <w:rPr>
          <w:rFonts w:ascii="Times New Roman" w:eastAsia="MS Mincho" w:hAnsi="Times New Roman"/>
          <w:sz w:val="22"/>
          <w:szCs w:val="22"/>
          <w:lang w:eastAsia="fr-FR"/>
        </w:rPr>
        <w:t>, U-IMCEC est déjà présente à Matam, Tambacounda et Kédougou.</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Le Directeur de U-IMCEC rencontré, a montré son intérêt pour le Projet qui constitue un challenge,</w:t>
      </w:r>
      <w:r w:rsidR="004533D6">
        <w:rPr>
          <w:rFonts w:ascii="Times New Roman" w:eastAsia="MS Mincho" w:hAnsi="Times New Roman"/>
          <w:sz w:val="22"/>
          <w:szCs w:val="22"/>
          <w:lang w:eastAsia="fr-FR"/>
        </w:rPr>
        <w:t xml:space="preserve"> </w:t>
      </w:r>
      <w:r w:rsidRPr="00743B0B">
        <w:rPr>
          <w:rFonts w:ascii="Times New Roman" w:eastAsia="MS Mincho" w:hAnsi="Times New Roman"/>
          <w:sz w:val="22"/>
          <w:szCs w:val="22"/>
          <w:lang w:eastAsia="fr-FR"/>
        </w:rPr>
        <w:t>tout en insistant sur le fait que les facteurs justificatifs d’une future installation dans ces localités tiendraient plus compte des opportunités qu’elles présentent (développement de portefeuille, dynamisme économique, volume et nature des activités à financer).</w:t>
      </w:r>
    </w:p>
    <w:p w:rsidR="00743B0B" w:rsidRPr="00743B0B" w:rsidRDefault="00743B0B" w:rsidP="00743B0B">
      <w:pPr>
        <w:spacing w:after="0"/>
        <w:ind w:left="720"/>
        <w:rPr>
          <w:rFonts w:ascii="Times New Roman" w:eastAsia="MS Mincho" w:hAnsi="Times New Roman"/>
          <w:sz w:val="22"/>
          <w:szCs w:val="22"/>
          <w:lang w:eastAsia="fr-FR"/>
        </w:rPr>
      </w:pPr>
    </w:p>
    <w:p w:rsidR="00743B0B" w:rsidRPr="00743B0B" w:rsidRDefault="00743B0B" w:rsidP="00771667">
      <w:pPr>
        <w:numPr>
          <w:ilvl w:val="0"/>
          <w:numId w:val="67"/>
        </w:numPr>
        <w:spacing w:after="0"/>
        <w:ind w:left="357" w:hanging="357"/>
        <w:rPr>
          <w:rFonts w:ascii="Times New Roman" w:eastAsia="MS Mincho" w:hAnsi="Times New Roman"/>
          <w:sz w:val="22"/>
          <w:szCs w:val="22"/>
          <w:lang w:eastAsia="fr-FR"/>
        </w:rPr>
      </w:pPr>
      <w:r w:rsidRPr="00743B0B">
        <w:rPr>
          <w:rFonts w:ascii="Times New Roman" w:eastAsia="MS Mincho" w:hAnsi="Times New Roman"/>
          <w:b/>
          <w:sz w:val="22"/>
          <w:szCs w:val="22"/>
          <w:lang w:eastAsia="fr-FR"/>
        </w:rPr>
        <w:t xml:space="preserve">L’URMECS </w:t>
      </w:r>
      <w:r w:rsidRPr="00743B0B">
        <w:rPr>
          <w:rFonts w:ascii="Times New Roman" w:eastAsia="MS Mincho" w:hAnsi="Times New Roman"/>
          <w:sz w:val="22"/>
          <w:szCs w:val="22"/>
          <w:lang w:eastAsia="fr-FR"/>
        </w:rPr>
        <w:t>(Union Rurale des Mutuelles d’Epargne et de Crédit du Sénégal)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Des 29 GEC appuyés par l’ONG italienne ACRA entre 1997 et 2003, huit (8) ont évolué en Mutuelles d’Epargne et de Crédit agréées.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Parmi ces huit mutuelles, sept (7) se sont mis en réseau en 2004</w:t>
      </w:r>
      <w:r w:rsidR="002575A2">
        <w:rPr>
          <w:rFonts w:ascii="Times New Roman" w:hAnsi="Times New Roman"/>
          <w:sz w:val="22"/>
          <w:szCs w:val="22"/>
        </w:rPr>
        <w:t> :</w:t>
      </w:r>
      <w:r w:rsidRPr="00743B0B">
        <w:rPr>
          <w:rFonts w:ascii="Times New Roman" w:hAnsi="Times New Roman"/>
          <w:sz w:val="22"/>
          <w:szCs w:val="22"/>
        </w:rPr>
        <w:t xml:space="preserve"> MEC de Baba Garage, MEC de Keur Madiabel, MEC de Khombole, MEC de Fimela, MEC de Koar et MECs de Albadar et MEC de Coubanao. L’URMECS sera agréée par le Ministère de l’Economie et des Finances le 20 février 2006 sous le numéro TH 2-06-008 U.</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Actuellement l’URMECS compte quinze points de services répartis dans sept régions du pays que sont Dakar (1), Diourbel (1), Fatick (1), Kaolack (1), Tambacounda (1), Thiès (1) et Ziguinchor (7). En dehors des organes statutaires, l’URMECS dispose d’une direction générale basée à Nguékhokh avec des services comme l’administration et les finances, l’audit et l’informatique.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Dans les régions de Tambacounda et de Kédougou, la MEC XEEWAL de Koar avec ses deux antennes situées à Koar Projet et à Gouloumbou joue un rôle important pour les producteurs de Bananes des villages environnants. Elle est en phase d’ouvrir la caisse de Wassadou pour être plus proche des populations. Des négociations sont aussi envisagées avec les femmes de Kédougou qui avaient mis en place le GEC ALBARKA avec l’appui d’ACRA. Avec l’appui du PROMER, la MEC a construit un guichet fonctionnel à Gouloumbou qui ouvre deux jours dans la semaine.</w:t>
      </w:r>
    </w:p>
    <w:p w:rsidR="00743B0B" w:rsidRPr="00743B0B" w:rsidRDefault="00743B0B" w:rsidP="00743B0B">
      <w:pPr>
        <w:spacing w:after="0"/>
        <w:rPr>
          <w:rFonts w:ascii="Times New Roman" w:eastAsia="MS Mincho" w:hAnsi="Times New Roman"/>
          <w:sz w:val="22"/>
          <w:szCs w:val="22"/>
          <w:lang w:eastAsia="fr-FR"/>
        </w:rPr>
      </w:pPr>
      <w:r w:rsidRPr="00743B0B">
        <w:rPr>
          <w:rFonts w:ascii="Times New Roman" w:eastAsia="MS Mincho" w:hAnsi="Times New Roman"/>
          <w:sz w:val="22"/>
          <w:szCs w:val="22"/>
          <w:lang w:eastAsia="fr-FR"/>
        </w:rPr>
        <w:t xml:space="preserve">Lors de l’implantation de la mutuelle de Koar, les responsables de l’Urmecs avait déjà attiré l’attention du Pgies sur l’inopportunité d’avoir deux mutuelles dans la localité, suggérant d’en faire une seule. Idée qui reste plus que d’actualité. </w:t>
      </w:r>
    </w:p>
    <w:p w:rsidR="00743B0B" w:rsidRPr="00743B0B" w:rsidRDefault="00743B0B" w:rsidP="00743B0B">
      <w:pPr>
        <w:spacing w:after="0"/>
        <w:rPr>
          <w:rFonts w:ascii="Times New Roman" w:eastAsia="MS Mincho" w:hAnsi="Times New Roman"/>
          <w:sz w:val="22"/>
          <w:szCs w:val="22"/>
          <w:lang w:eastAsia="fr-FR"/>
        </w:rPr>
      </w:pPr>
    </w:p>
    <w:p w:rsidR="00743B0B" w:rsidRPr="00743B0B" w:rsidRDefault="00743B0B" w:rsidP="00771667">
      <w:pPr>
        <w:numPr>
          <w:ilvl w:val="0"/>
          <w:numId w:val="67"/>
        </w:numPr>
        <w:spacing w:after="0"/>
        <w:rPr>
          <w:rFonts w:ascii="Times New Roman" w:eastAsia="MS Mincho" w:hAnsi="Times New Roman"/>
          <w:b/>
          <w:sz w:val="22"/>
          <w:szCs w:val="22"/>
          <w:lang w:eastAsia="fr-FR"/>
        </w:rPr>
      </w:pPr>
      <w:r w:rsidRPr="00743B0B">
        <w:rPr>
          <w:rFonts w:ascii="Times New Roman" w:eastAsia="MS Mincho" w:hAnsi="Times New Roman"/>
          <w:b/>
          <w:sz w:val="22"/>
          <w:szCs w:val="22"/>
          <w:lang w:eastAsia="fr-FR"/>
        </w:rPr>
        <w:t>CAURIE6-Microfinance</w:t>
      </w:r>
    </w:p>
    <w:p w:rsidR="00743B0B" w:rsidRPr="00743B0B" w:rsidRDefault="00743B0B" w:rsidP="00743B0B">
      <w:pPr>
        <w:spacing w:after="0"/>
        <w:rPr>
          <w:rFonts w:ascii="Times New Roman" w:eastAsia="MS Mincho" w:hAnsi="Times New Roman"/>
          <w:sz w:val="22"/>
          <w:szCs w:val="22"/>
          <w:lang w:eastAsia="fr-FR"/>
        </w:rPr>
      </w:pPr>
      <w:r w:rsidRPr="00743B0B">
        <w:rPr>
          <w:rFonts w:ascii="Times New Roman" w:eastAsia="MS Mincho" w:hAnsi="Times New Roman"/>
          <w:sz w:val="22"/>
          <w:szCs w:val="22"/>
          <w:lang w:eastAsia="fr-FR"/>
        </w:rPr>
        <w:t>La société coopérative dénommée « Coopérative Autonome pour le Renforcement des Initiatives Économiques par la Micro finance » est le fruit de la capitalisation d’une vingtaine d’années de partenariat dynamique et fécond entre le Catholic Relief Services (CRS) - Sénégal à travers son Programme de Micro Finance « les Bancs Villageois » et son partenaire stratégique, l’Eglise du Sénégal par le truchement de la Caritas.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Constitution en janvier 2009 d’une société coopérative d’épargne et de crédit dénommée « Coopérative Autonome pour le Renforcement des Initiatives Économiques par la Micro finance » portant le sigle « CAURIE-MF ». La mise en œuvre opérationnelle de l’offre des produits et services financiers est menée par l’intervention des trois (03) agences traditionnelles (Thiès, Kolda et Ziguinchor), des trois (03) agences (Louga, Diourbel et Tambacounda) mises en place en juillet 2009 et de la nouvelle agence de Kaolack qui a démarré en fin juillet 2012.</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opérations couvrent,</w:t>
      </w:r>
      <w:r w:rsidR="004533D6">
        <w:rPr>
          <w:rFonts w:ascii="Times New Roman" w:hAnsi="Times New Roman"/>
          <w:sz w:val="22"/>
          <w:szCs w:val="22"/>
        </w:rPr>
        <w:t xml:space="preserve"> </w:t>
      </w:r>
      <w:r w:rsidRPr="00743B0B">
        <w:rPr>
          <w:rFonts w:ascii="Times New Roman" w:hAnsi="Times New Roman"/>
          <w:sz w:val="22"/>
          <w:szCs w:val="22"/>
        </w:rPr>
        <w:t>onze (11) régions administratives du Sénégal, à savoir</w:t>
      </w:r>
      <w:r w:rsidR="002575A2">
        <w:rPr>
          <w:rFonts w:ascii="Times New Roman" w:hAnsi="Times New Roman"/>
          <w:sz w:val="22"/>
          <w:szCs w:val="22"/>
        </w:rPr>
        <w:t> :</w:t>
      </w:r>
      <w:r w:rsidRPr="00743B0B">
        <w:rPr>
          <w:rFonts w:ascii="Times New Roman" w:hAnsi="Times New Roman"/>
          <w:sz w:val="22"/>
          <w:szCs w:val="22"/>
        </w:rPr>
        <w:t xml:space="preserve"> Thiès, Diourbel, Kolda, Sédhiou, Ziguinchor, Dakar (Département de Rufisque), Louga, Tambacounda, Kaolack, Kaffrine et Fatick. La Direction Générale, basée à Thiès, assure la supervision et la coordination générale des activités. Elle dispose des directions et services rattachés (administration et ressources humaines, finance et comptabilité, opérations, partenariat, études et développement, contrôle, système d’information).</w:t>
      </w:r>
    </w:p>
    <w:p w:rsidR="00743B0B" w:rsidRPr="00743B0B" w:rsidRDefault="00743B0B" w:rsidP="00743B0B">
      <w:pPr>
        <w:rPr>
          <w:rFonts w:ascii="Times New Roman" w:hAnsi="Times New Roman"/>
          <w:sz w:val="22"/>
          <w:szCs w:val="22"/>
        </w:rPr>
      </w:pPr>
    </w:p>
    <w:p w:rsidR="00743B0B" w:rsidRPr="00743B0B" w:rsidRDefault="005F4017" w:rsidP="00743B0B">
      <w:pPr>
        <w:spacing w:after="0"/>
        <w:ind w:left="1440"/>
        <w:rPr>
          <w:rFonts w:ascii="Times New Roman" w:hAnsi="Times New Roman"/>
          <w:b/>
          <w:sz w:val="22"/>
          <w:szCs w:val="22"/>
          <w:u w:val="single"/>
        </w:rPr>
      </w:pPr>
      <w:r w:rsidRPr="00743B0B">
        <w:rPr>
          <w:rFonts w:ascii="Times New Roman" w:hAnsi="Times New Roman"/>
          <w:b/>
          <w:sz w:val="22"/>
          <w:szCs w:val="22"/>
          <w:u w:val="single"/>
        </w:rPr>
        <w:t>État</w:t>
      </w:r>
      <w:r w:rsidR="00743B0B" w:rsidRPr="00743B0B">
        <w:rPr>
          <w:rFonts w:ascii="Times New Roman" w:hAnsi="Times New Roman"/>
          <w:b/>
          <w:sz w:val="22"/>
          <w:szCs w:val="22"/>
          <w:u w:val="single"/>
        </w:rPr>
        <w:t xml:space="preserve"> des forces et faiblesses de l’Alternative2</w:t>
      </w:r>
    </w:p>
    <w:tbl>
      <w:tblPr>
        <w:tblStyle w:val="Grilledutableau"/>
        <w:tblW w:w="0" w:type="auto"/>
        <w:tblLook w:val="04A0" w:firstRow="1" w:lastRow="0" w:firstColumn="1" w:lastColumn="0" w:noHBand="0" w:noVBand="1"/>
      </w:tblPr>
      <w:tblGrid>
        <w:gridCol w:w="4497"/>
        <w:gridCol w:w="4559"/>
      </w:tblGrid>
      <w:tr w:rsidR="00743B0B" w:rsidRPr="00743B0B" w:rsidTr="00743B0B">
        <w:tc>
          <w:tcPr>
            <w:tcW w:w="4773"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Faiblesses de cette alternative</w:t>
            </w:r>
          </w:p>
        </w:tc>
        <w:tc>
          <w:tcPr>
            <w:tcW w:w="4773"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Forces de cette alternative</w:t>
            </w:r>
          </w:p>
        </w:tc>
      </w:tr>
      <w:tr w:rsidR="00743B0B" w:rsidRPr="00743B0B" w:rsidTr="00743B0B">
        <w:tc>
          <w:tcPr>
            <w:tcW w:w="4773"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mutuelles partenaires n’accepteraient de s’implanter ou de desservir ces zones qu’à partir du moment où elles sont certaines de l’existence d’un potentiel d’activités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 La situation actuelle de la plupart des zones d’intervention du projet (sociétariat, niveau d’activités, revenu, etc.) ne peuvent pas garantir une rentabilité dans le court terme de ces institutions. Par conséquent une telle alternative ne pourrait prospérer que si le </w:t>
            </w:r>
            <w:r w:rsidR="00E80173">
              <w:rPr>
                <w:rFonts w:ascii="Times New Roman" w:hAnsi="Times New Roman"/>
                <w:sz w:val="22"/>
                <w:szCs w:val="22"/>
              </w:rPr>
              <w:t>PFNAC</w:t>
            </w:r>
            <w:r w:rsidRPr="00743B0B">
              <w:rPr>
                <w:rFonts w:ascii="Times New Roman" w:hAnsi="Times New Roman"/>
                <w:sz w:val="22"/>
                <w:szCs w:val="22"/>
              </w:rPr>
              <w:t xml:space="preserve"> met en place un dispositif d’incitation (appui logistique, fonds de crédit, accompagnement, etc...)</w:t>
            </w:r>
          </w:p>
          <w:p w:rsidR="00743B0B" w:rsidRPr="00743B0B" w:rsidRDefault="00743B0B" w:rsidP="00743B0B">
            <w:pPr>
              <w:rPr>
                <w:rFonts w:ascii="Times New Roman" w:hAnsi="Times New Roman"/>
                <w:sz w:val="22"/>
                <w:szCs w:val="22"/>
              </w:rPr>
            </w:pPr>
          </w:p>
        </w:tc>
        <w:tc>
          <w:tcPr>
            <w:tcW w:w="4773" w:type="dxa"/>
          </w:tcPr>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Contrairement au système mis en place par le PGies, l’activité sera cette fois assurée par des professionnels confirmés.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L’expérience des uns et des autres en matière de finance rurale et de connaissance de la zone constitue un atout pour le Projet.</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L’opérationnalisation d’un tel dispositif peut se faire dans des délais très courts parce que les partenaires ne faisant qu’ada</w:t>
            </w:r>
            <w:r w:rsidR="005F4017">
              <w:rPr>
                <w:rFonts w:ascii="Times New Roman" w:hAnsi="Times New Roman"/>
                <w:sz w:val="22"/>
                <w:szCs w:val="22"/>
              </w:rPr>
              <w:t xml:space="preserve">pter et déployer leurs propres </w:t>
            </w:r>
            <w:r w:rsidRPr="00743B0B">
              <w:rPr>
                <w:rFonts w:ascii="Times New Roman" w:hAnsi="Times New Roman"/>
                <w:sz w:val="22"/>
                <w:szCs w:val="22"/>
              </w:rPr>
              <w:t>outils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 xml:space="preserve">Les conventions signées avec ces partenaires financiers vont davantage intégrer les préoccupations du </w:t>
            </w:r>
            <w:r w:rsidR="00E80173">
              <w:rPr>
                <w:rFonts w:ascii="Times New Roman" w:hAnsi="Times New Roman"/>
                <w:sz w:val="22"/>
                <w:szCs w:val="22"/>
              </w:rPr>
              <w:t>PFNAC</w:t>
            </w:r>
            <w:r w:rsidRPr="00743B0B">
              <w:rPr>
                <w:rFonts w:ascii="Times New Roman" w:hAnsi="Times New Roman"/>
                <w:sz w:val="22"/>
                <w:szCs w:val="22"/>
              </w:rPr>
              <w:t xml:space="preserve"> en terme de développement adaptés notamment en matière de financement vert.</w:t>
            </w:r>
          </w:p>
        </w:tc>
      </w:tr>
    </w:tbl>
    <w:p w:rsidR="00743B0B" w:rsidRPr="00743B0B" w:rsidRDefault="00743B0B" w:rsidP="00743B0B">
      <w:pPr>
        <w:rPr>
          <w:rFonts w:ascii="Times New Roman" w:hAnsi="Times New Roman"/>
          <w:sz w:val="22"/>
          <w:szCs w:val="22"/>
        </w:rPr>
      </w:pPr>
    </w:p>
    <w:p w:rsidR="00743B0B" w:rsidRPr="00743B0B" w:rsidRDefault="00743B0B" w:rsidP="00743B0B">
      <w:pPr>
        <w:spacing w:after="0"/>
        <w:ind w:left="1416"/>
        <w:rPr>
          <w:rFonts w:ascii="Times New Roman" w:hAnsi="Times New Roman"/>
          <w:b/>
          <w:sz w:val="22"/>
          <w:szCs w:val="22"/>
          <w:u w:val="single"/>
        </w:rPr>
      </w:pPr>
      <w:r w:rsidRPr="00743B0B">
        <w:rPr>
          <w:rFonts w:ascii="Times New Roman" w:hAnsi="Times New Roman"/>
          <w:b/>
          <w:sz w:val="22"/>
          <w:szCs w:val="22"/>
          <w:u w:val="single"/>
        </w:rPr>
        <w:t>Synthèse des activités à financer par le Projet</w:t>
      </w:r>
    </w:p>
    <w:p w:rsidR="00743B0B" w:rsidRPr="00743B0B" w:rsidRDefault="00743B0B" w:rsidP="00743B0B">
      <w:pPr>
        <w:spacing w:after="0"/>
        <w:ind w:left="1416"/>
        <w:rPr>
          <w:rFonts w:ascii="Times New Roman" w:hAnsi="Times New Roman"/>
          <w:sz w:val="22"/>
          <w:szCs w:val="22"/>
        </w:rPr>
      </w:pPr>
    </w:p>
    <w:tbl>
      <w:tblPr>
        <w:tblStyle w:val="Grilledutableau"/>
        <w:tblW w:w="0" w:type="auto"/>
        <w:tblInd w:w="-34" w:type="dxa"/>
        <w:tblLook w:val="04A0" w:firstRow="1" w:lastRow="0" w:firstColumn="1" w:lastColumn="0" w:noHBand="0" w:noVBand="1"/>
      </w:tblPr>
      <w:tblGrid>
        <w:gridCol w:w="3159"/>
        <w:gridCol w:w="1862"/>
        <w:gridCol w:w="1952"/>
        <w:gridCol w:w="2117"/>
      </w:tblGrid>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Nature de l’activité</w:t>
            </w:r>
          </w:p>
        </w:tc>
        <w:tc>
          <w:tcPr>
            <w:tcW w:w="196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Intervenants</w:t>
            </w:r>
          </w:p>
        </w:tc>
        <w:tc>
          <w:tcPr>
            <w:tcW w:w="2072"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Bénéficiaires</w:t>
            </w:r>
          </w:p>
        </w:tc>
        <w:tc>
          <w:tcPr>
            <w:tcW w:w="221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Coût de l’Action</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Investissement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1-Construction et équipement en mobilier du siège de MEC/PNDS</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2-Appuyer l’implantation des mutuelles partenaires dans les zones du Projet (construction et équipement)</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072"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Ferlo,</w:t>
            </w:r>
            <w:r w:rsidR="004533D6">
              <w:rPr>
                <w:rFonts w:ascii="Times New Roman" w:hAnsi="Times New Roman"/>
                <w:sz w:val="22"/>
                <w:szCs w:val="22"/>
              </w:rPr>
              <w:t xml:space="preserve"> </w:t>
            </w:r>
            <w:r w:rsidRPr="00743B0B">
              <w:rPr>
                <w:rFonts w:ascii="Times New Roman" w:hAnsi="Times New Roman"/>
                <w:sz w:val="22"/>
                <w:szCs w:val="22"/>
              </w:rPr>
              <w:t>Gandon ,Niokolo</w:t>
            </w:r>
            <w:r w:rsidR="008712CB">
              <w:rPr>
                <w:rFonts w:ascii="Times New Roman" w:hAnsi="Times New Roman"/>
                <w:sz w:val="22"/>
                <w:szCs w:val="22"/>
              </w:rPr>
              <w:t>-</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25 000 0000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30 000 000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(3x10 000 000)</w:t>
            </w:r>
          </w:p>
          <w:p w:rsidR="00743B0B" w:rsidRPr="00743B0B" w:rsidRDefault="00743B0B" w:rsidP="00743B0B">
            <w:pPr>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investissement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55 000 000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Appui institutionnel</w:t>
            </w:r>
          </w:p>
          <w:p w:rsidR="00743B0B" w:rsidRPr="00743B0B" w:rsidRDefault="00743B0B" w:rsidP="00743B0B">
            <w:pPr>
              <w:spacing w:after="0"/>
              <w:rPr>
                <w:rFonts w:ascii="Times New Roman" w:hAnsi="Times New Roman"/>
                <w:sz w:val="22"/>
                <w:szCs w:val="22"/>
              </w:rPr>
            </w:pPr>
            <w:r w:rsidRPr="00743B0B">
              <w:rPr>
                <w:rFonts w:ascii="Times New Roman" w:hAnsi="Times New Roman"/>
                <w:b/>
                <w:sz w:val="22"/>
                <w:szCs w:val="22"/>
              </w:rPr>
              <w:t>-</w:t>
            </w:r>
            <w:r w:rsidRPr="00743B0B">
              <w:rPr>
                <w:rFonts w:ascii="Times New Roman" w:hAnsi="Times New Roman"/>
                <w:sz w:val="22"/>
                <w:szCs w:val="22"/>
              </w:rPr>
              <w:t>Prise en charge de l’agent de crédit recruté</w:t>
            </w:r>
          </w:p>
          <w:p w:rsidR="00743B0B" w:rsidRPr="00743B0B" w:rsidRDefault="00743B0B" w:rsidP="00743B0B">
            <w:pPr>
              <w:spacing w:after="0"/>
              <w:rPr>
                <w:rFonts w:ascii="Times New Roman" w:hAnsi="Times New Roman"/>
                <w:b/>
                <w:sz w:val="22"/>
                <w:szCs w:val="22"/>
              </w:rPr>
            </w:pPr>
            <w:r w:rsidRPr="00743B0B">
              <w:rPr>
                <w:rFonts w:ascii="Times New Roman" w:hAnsi="Times New Roman"/>
                <w:sz w:val="22"/>
                <w:szCs w:val="22"/>
              </w:rPr>
              <w:t xml:space="preserve">- Appui en fonctionnement Mec PNDS </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072"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 Ferlo,</w:t>
            </w:r>
            <w:r w:rsidR="004533D6">
              <w:rPr>
                <w:rFonts w:ascii="Times New Roman" w:hAnsi="Times New Roman"/>
                <w:sz w:val="22"/>
                <w:szCs w:val="22"/>
              </w:rPr>
              <w:t xml:space="preserve"> </w:t>
            </w:r>
            <w:r w:rsidRPr="00743B0B">
              <w:rPr>
                <w:rFonts w:ascii="Times New Roman" w:hAnsi="Times New Roman"/>
                <w:sz w:val="22"/>
                <w:szCs w:val="22"/>
              </w:rPr>
              <w:t>Gandon ,Niokolo</w:t>
            </w:r>
            <w:r w:rsidR="008712CB">
              <w:rPr>
                <w:rFonts w:ascii="Times New Roman" w:hAnsi="Times New Roman"/>
                <w:sz w:val="22"/>
                <w:szCs w:val="22"/>
              </w:rPr>
              <w:t>-</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18 000 000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(500 000*36)</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appui institutionnel</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24 000 000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r w:rsidRPr="00743B0B">
              <w:rPr>
                <w:rFonts w:ascii="Times New Roman" w:hAnsi="Times New Roman"/>
                <w:b/>
                <w:sz w:val="22"/>
                <w:szCs w:val="22"/>
              </w:rPr>
              <w:t>Programme d’éducation financière</w:t>
            </w:r>
            <w:r w:rsidRPr="00743B0B">
              <w:rPr>
                <w:rFonts w:ascii="Times New Roman" w:hAnsi="Times New Roman"/>
                <w:sz w:val="22"/>
                <w:szCs w:val="22"/>
              </w:rPr>
              <w:t xml:space="preserve"> (protection des clients, budget, épargne gestion des dettes, etc.) au profit des</w:t>
            </w:r>
            <w:r w:rsidR="004533D6">
              <w:rPr>
                <w:rFonts w:ascii="Times New Roman" w:hAnsi="Times New Roman"/>
                <w:sz w:val="22"/>
                <w:szCs w:val="22"/>
              </w:rPr>
              <w:t xml:space="preserve"> </w:t>
            </w:r>
            <w:r w:rsidRPr="00743B0B">
              <w:rPr>
                <w:rFonts w:ascii="Times New Roman" w:hAnsi="Times New Roman"/>
                <w:sz w:val="22"/>
                <w:szCs w:val="22"/>
              </w:rPr>
              <w:t>populations bénéficiaires du projet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 MEC Partenaires</w:t>
            </w:r>
          </w:p>
          <w:p w:rsidR="00743B0B" w:rsidRPr="00743B0B" w:rsidRDefault="00743B0B" w:rsidP="00743B0B">
            <w:pPr>
              <w:spacing w:after="0"/>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Programme de formation au profit</w:t>
            </w:r>
            <w:r w:rsidR="004533D6">
              <w:rPr>
                <w:rFonts w:ascii="Times New Roman" w:hAnsi="Times New Roman"/>
                <w:sz w:val="22"/>
                <w:szCs w:val="22"/>
              </w:rPr>
              <w:t xml:space="preserve"> </w:t>
            </w:r>
            <w:r w:rsidRPr="00743B0B">
              <w:rPr>
                <w:rFonts w:ascii="Times New Roman" w:hAnsi="Times New Roman"/>
                <w:sz w:val="22"/>
                <w:szCs w:val="22"/>
              </w:rPr>
              <w:t>des nouveaux dirigeants locaux de ces institutions sur les thèmes</w:t>
            </w:r>
            <w:r w:rsidR="002575A2">
              <w:rPr>
                <w:rFonts w:ascii="Times New Roman" w:hAnsi="Times New Roman"/>
                <w:sz w:val="22"/>
                <w:szCs w:val="22"/>
              </w:rPr>
              <w:t>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 MEC/PNDS</w:t>
            </w:r>
          </w:p>
          <w:p w:rsidR="00743B0B" w:rsidRPr="00743B0B" w:rsidRDefault="00743B0B" w:rsidP="00743B0B">
            <w:pPr>
              <w:spacing w:after="0"/>
              <w:rPr>
                <w:rFonts w:ascii="Times New Roman" w:hAnsi="Times New Roman"/>
                <w:b/>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comptable et financière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-Développement de produits financiers adaptés</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tc>
        <w:tc>
          <w:tcPr>
            <w:tcW w:w="2072"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et les Clients des mutuelles et bénéficiaires du programme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 Partenaires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PNDS</w:t>
            </w:r>
          </w:p>
        </w:tc>
        <w:tc>
          <w:tcPr>
            <w:tcW w:w="2216"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40 000 000</w:t>
            </w:r>
            <w:r w:rsidRPr="00743B0B">
              <w:rPr>
                <w:rFonts w:ascii="Times New Roman" w:hAnsi="Times New Roman"/>
                <w:sz w:val="22"/>
                <w:szCs w:val="22"/>
              </w:rPr>
              <w:t xml:space="preserve"> (2 500 000 x 16)</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7 500 000</w:t>
            </w:r>
            <w:r w:rsidRPr="00743B0B">
              <w:rPr>
                <w:rFonts w:ascii="Times New Roman" w:hAnsi="Times New Roman"/>
                <w:sz w:val="22"/>
                <w:szCs w:val="22"/>
              </w:rPr>
              <w:t xml:space="preserve"> (2 500 000 x 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7 500 000</w:t>
            </w:r>
            <w:r w:rsidRPr="00743B0B">
              <w:rPr>
                <w:rFonts w:ascii="Times New Roman" w:hAnsi="Times New Roman"/>
                <w:sz w:val="22"/>
                <w:szCs w:val="22"/>
              </w:rPr>
              <w:t xml:space="preserve"> (2 500 000 x 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(2 500 000 x 2)</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formation</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75 000 000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Accompagnement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Accompagnement MEC/PNDS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Processus mutation institutionnel et ré organisationnelle</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Recrutements agents de crédit</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Manuels de procédures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Plans stratégiques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Coaching technique et financier</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en place des outils et Assistance comptable</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à disposition d’une ligne de crédit revolving</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Accompagnement autres MEC partenaires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-Appui au dispositif d’information, sensibilisation et de suivi du crédit</w:t>
            </w:r>
            <w:r w:rsidR="004533D6">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-Mise à disposition d’une ligne de crédit revolving</w:t>
            </w:r>
          </w:p>
          <w:p w:rsidR="00743B0B" w:rsidRPr="00743B0B" w:rsidRDefault="00743B0B" w:rsidP="00743B0B">
            <w:pPr>
              <w:rPr>
                <w:rFonts w:ascii="Times New Roman" w:hAnsi="Times New Roman"/>
                <w:sz w:val="22"/>
                <w:szCs w:val="22"/>
              </w:rPr>
            </w:pP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MEC/PNDS</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de services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 partenaires</w:t>
            </w:r>
          </w:p>
        </w:tc>
        <w:tc>
          <w:tcPr>
            <w:tcW w:w="2072"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 partenaires des zones du Ferlo,</w:t>
            </w:r>
            <w:r w:rsidR="004533D6">
              <w:rPr>
                <w:rFonts w:ascii="Times New Roman" w:hAnsi="Times New Roman"/>
                <w:sz w:val="22"/>
                <w:szCs w:val="22"/>
              </w:rPr>
              <w:t xml:space="preserve"> </w:t>
            </w:r>
            <w:r w:rsidR="008712CB">
              <w:rPr>
                <w:rFonts w:ascii="Times New Roman" w:hAnsi="Times New Roman"/>
                <w:sz w:val="22"/>
                <w:szCs w:val="22"/>
              </w:rPr>
              <w:t>de Gandon et de Niokolo-</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8 000 000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30 000 000 (10 000 000 x3)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(3x100 000 000)</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Sous total accompagnement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411 000 000</w:t>
            </w: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TOTAL GENERAL</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565 000 000</w:t>
            </w: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Comment les IMF opérant en milieu rural peuvent améliorer leurs performances et atteindre leurs objectifs sociaux tout en se renforçant et en se garantissant une autonomie financière ? C’est aujourd’hui la problématique qui se pose pour les différentes institutions partenaires du projet.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Divers obstacles sont mis en avant par les institutions à savoir le coûts de transactions plus élevés en milieu rural, risques liés aux activités rurales, manque de compétences et de ressources et manque d’infrastructures, la faiblesse des stratégies de renforcement des capacités sont toutefois diverses.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Il est également mis en évidence le fait que lorsqu’on opère en milieu rural, l’offre de services financiers seule ne suffit pas. Il est important de combiner celle-ci avec l’offre de services non financiers.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 Projet doit davantage collaborer avec des MEC qui intègrent l’importance de construire des institutions durables mais sans perdre de vue la mission sociale. Ce double objectif peut impliquer des transformations au sein de l’Institution au niveau des compétences requises. Les transformations institutionnelles exigent souvent des partenariats forts et de l’appui externe. Aujourd’hui la plupart des institutions connaissent des difficultés pour s’adresser aux populations les plus pauvres et contribuer à une amélioration de leurs niveaux de vie. Pour atteindre les objectifs et construire des institutions durables, il est nécessaire d’être proches des clients, d’avoir le contrôle sur les activités, du personnel engagé, des produits qui répondent aux besoins des clients et une analyse du degré de satisfaction des clients.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rPr>
      </w:pPr>
      <w:r w:rsidRPr="00743B0B">
        <w:rPr>
          <w:rFonts w:ascii="Times New Roman" w:hAnsi="Times New Roman"/>
          <w:sz w:val="22"/>
          <w:szCs w:val="22"/>
        </w:rPr>
        <w:t xml:space="preserve">L’ensemble de ces facteurs et considérations doivent être intégrés par le </w:t>
      </w:r>
      <w:r w:rsidR="00E80173">
        <w:rPr>
          <w:rFonts w:ascii="Times New Roman" w:hAnsi="Times New Roman"/>
          <w:sz w:val="22"/>
          <w:szCs w:val="22"/>
        </w:rPr>
        <w:t>PFNAC</w:t>
      </w:r>
      <w:r w:rsidRPr="00743B0B">
        <w:rPr>
          <w:rFonts w:ascii="Times New Roman" w:hAnsi="Times New Roman"/>
          <w:sz w:val="22"/>
          <w:szCs w:val="22"/>
        </w:rPr>
        <w:t xml:space="preserve"> dans le choix de l’une des options. C’est certainement un mixte des 2 alternatives qui devra être retenu.</w:t>
      </w:r>
    </w:p>
    <w:p w:rsidR="00743B0B" w:rsidRPr="00743B0B" w:rsidRDefault="00743B0B" w:rsidP="00743B0B">
      <w:p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73" w:name="_Toc498638412"/>
      <w:r w:rsidRPr="00743B0B">
        <w:rPr>
          <w:rFonts w:ascii="Century Gothic" w:hAnsi="Century Gothic"/>
          <w:b/>
          <w:smallCaps/>
          <w:spacing w:val="-2"/>
          <w:sz w:val="28"/>
          <w:szCs w:val="20"/>
        </w:rPr>
        <w:t>III Partage des revenus des filières</w:t>
      </w:r>
      <w:bookmarkEnd w:id="73"/>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4" w:name="_Toc498638413"/>
      <w:r w:rsidRPr="00743B0B">
        <w:rPr>
          <w:rFonts w:eastAsia="MS Gothic"/>
          <w:b/>
          <w:bCs/>
          <w:color w:val="4F81BD"/>
          <w:sz w:val="26"/>
          <w:szCs w:val="26"/>
          <w:lang w:eastAsia="fr-FR"/>
        </w:rPr>
        <w:t>III.1. Mécanismes existants de génération de revenus aux différents acteurs</w:t>
      </w:r>
      <w:bookmarkEnd w:id="74"/>
    </w:p>
    <w:p w:rsidR="00743B0B" w:rsidRPr="00743B0B" w:rsidRDefault="00743B0B" w:rsidP="00743B0B">
      <w:pPr>
        <w:keepNext/>
        <w:keepLines/>
        <w:spacing w:before="200" w:after="0"/>
        <w:outlineLvl w:val="2"/>
        <w:rPr>
          <w:rFonts w:eastAsia="MS Gothic"/>
          <w:b/>
          <w:bCs/>
          <w:color w:val="4F81BD"/>
          <w:lang w:eastAsia="fr-FR"/>
        </w:rPr>
      </w:pPr>
      <w:bookmarkStart w:id="75" w:name="_Toc498638414"/>
      <w:r w:rsidRPr="00743B0B">
        <w:rPr>
          <w:rFonts w:eastAsia="MS Gothic"/>
          <w:b/>
          <w:bCs/>
          <w:color w:val="4F81BD"/>
          <w:lang w:eastAsia="fr-FR"/>
        </w:rPr>
        <w:t>a) Produits forestiers ligneux dans les forêts aménagées</w:t>
      </w:r>
      <w:bookmarkEnd w:id="75"/>
    </w:p>
    <w:p w:rsidR="00743B0B" w:rsidRPr="00743B0B" w:rsidRDefault="00743B0B" w:rsidP="00743B0B">
      <w:pPr>
        <w:spacing w:before="100" w:beforeAutospacing="1" w:after="100" w:afterAutospacing="1"/>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 xml:space="preserve">L’exploitation du bois d’énergie se fait exclusivement dans les forêts dites aménagées. C’est le cas au PERACOD et au PROGEDE. Le tableau suivant fait une analyse comparative de la répartition des recettes engendrées par la production et la commercialisation du charbon de bois des coûts afférents dans les deux projets. </w:t>
      </w:r>
    </w:p>
    <w:tbl>
      <w:tblPr>
        <w:tblStyle w:val="Grilledutableau"/>
        <w:tblW w:w="0" w:type="auto"/>
        <w:tblLook w:val="04A0" w:firstRow="1" w:lastRow="0" w:firstColumn="1" w:lastColumn="0" w:noHBand="0" w:noVBand="1"/>
      </w:tblPr>
      <w:tblGrid>
        <w:gridCol w:w="4528"/>
        <w:gridCol w:w="4528"/>
      </w:tblGrid>
      <w:tr w:rsidR="00743B0B" w:rsidRPr="00743B0B" w:rsidTr="00743B0B">
        <w:tc>
          <w:tcPr>
            <w:tcW w:w="4531" w:type="dxa"/>
            <w:shd w:val="clear" w:color="auto" w:fill="D6E3BC"/>
          </w:tcPr>
          <w:p w:rsidR="00743B0B" w:rsidRPr="00743B0B" w:rsidRDefault="00743B0B" w:rsidP="00743B0B">
            <w:pPr>
              <w:spacing w:before="120" w:after="120"/>
              <w:jc w:val="center"/>
              <w:rPr>
                <w:rFonts w:ascii="Times New Roman" w:eastAsia="Times New Roman" w:hAnsi="Times New Roman"/>
                <w:sz w:val="22"/>
                <w:szCs w:val="22"/>
              </w:rPr>
            </w:pPr>
            <w:r w:rsidRPr="00743B0B">
              <w:rPr>
                <w:rFonts w:ascii="Times New Roman" w:eastAsia="Times New Roman" w:hAnsi="Times New Roman"/>
                <w:sz w:val="22"/>
                <w:szCs w:val="22"/>
              </w:rPr>
              <w:t>PROGEDE</w:t>
            </w:r>
          </w:p>
        </w:tc>
        <w:tc>
          <w:tcPr>
            <w:tcW w:w="4531" w:type="dxa"/>
            <w:shd w:val="clear" w:color="auto" w:fill="D6E3BC"/>
          </w:tcPr>
          <w:p w:rsidR="00743B0B" w:rsidRPr="00743B0B" w:rsidRDefault="00743B0B" w:rsidP="00743B0B">
            <w:pPr>
              <w:spacing w:before="120" w:after="120"/>
              <w:jc w:val="center"/>
              <w:rPr>
                <w:rFonts w:ascii="Times New Roman" w:eastAsia="Times New Roman" w:hAnsi="Times New Roman"/>
                <w:sz w:val="22"/>
                <w:szCs w:val="22"/>
              </w:rPr>
            </w:pPr>
            <w:r w:rsidRPr="00743B0B">
              <w:rPr>
                <w:rFonts w:ascii="Times New Roman" w:eastAsia="Times New Roman" w:hAnsi="Times New Roman"/>
                <w:sz w:val="22"/>
                <w:szCs w:val="22"/>
              </w:rPr>
              <w:t>PERACOD</w:t>
            </w:r>
          </w:p>
        </w:tc>
      </w:tr>
      <w:tr w:rsidR="00743B0B" w:rsidRPr="00743B0B" w:rsidTr="00743B0B">
        <w:tc>
          <w:tcPr>
            <w:tcW w:w="4531" w:type="dxa"/>
          </w:tcPr>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de charbon au niveau local paie 350 FCFA par sac à l’Etat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paie en plus 200 FCFA par sac qui sont répartis ainsi qu’il suit</w:t>
            </w:r>
            <w:r w:rsidR="002575A2">
              <w:rPr>
                <w:rFonts w:ascii="Times New Roman" w:eastAsia="Times New Roman" w:hAnsi="Times New Roman"/>
                <w:sz w:val="22"/>
                <w:szCs w:val="22"/>
              </w:rPr>
              <w:t> :</w:t>
            </w:r>
          </w:p>
          <w:p w:rsidR="00743B0B" w:rsidRPr="00743B0B" w:rsidRDefault="00743B0B" w:rsidP="00743B0B">
            <w:pPr>
              <w:spacing w:after="0"/>
              <w:ind w:left="720"/>
              <w:jc w:val="left"/>
              <w:rPr>
                <w:rFonts w:ascii="Times New Roman" w:eastAsia="Times New Roman" w:hAnsi="Times New Roman"/>
                <w:sz w:val="22"/>
                <w:szCs w:val="22"/>
              </w:rPr>
            </w:pP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50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d’aménagement</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50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la Commune</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est libre de vendre partout sur le territoire et à qui il veut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sac (1 quintal) est vendu bord champs à 3 500 FCFA. Il peut être revendu jusqu’à 8 000 FCFA à Dakar ou autres grands centres urbains selon la loi du marché.</w:t>
            </w:r>
          </w:p>
        </w:tc>
        <w:tc>
          <w:tcPr>
            <w:tcW w:w="4531" w:type="dxa"/>
          </w:tcPr>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prix de vente bord champ est de 3 500 FCFA</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paie 350 par sac à l’Etat</w:t>
            </w: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Les 3 150 FCFA qui restent sont répartis ainsi qu’il suit</w:t>
            </w:r>
            <w:r w:rsidR="002575A2">
              <w:rPr>
                <w:rFonts w:ascii="Times New Roman" w:eastAsia="Times New Roman" w:hAnsi="Times New Roman"/>
                <w:sz w:val="22"/>
                <w:szCs w:val="22"/>
              </w:rPr>
              <w:t> :</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65</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au producteur (qui a fait la coupe et la carbonisation)</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20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d’aménagement</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7</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la Commune</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8</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social du village</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ne peut pas vendre ailleurs son produit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produit est vendu aux femmes en exclusivité qui peuvent revendre le sac jusqu’à 5 000 FCFA.</w:t>
            </w:r>
          </w:p>
        </w:tc>
      </w:tr>
    </w:tbl>
    <w:p w:rsidR="00743B0B" w:rsidRPr="00743B0B" w:rsidRDefault="00743B0B" w:rsidP="00743B0B">
      <w:pPr>
        <w:spacing w:before="100" w:beforeAutospacing="1" w:after="100" w:afterAutospacing="1"/>
        <w:rPr>
          <w:rFonts w:ascii="Times New Roman" w:eastAsia="Times New Roman" w:hAnsi="Times New Roman"/>
          <w:sz w:val="22"/>
          <w:szCs w:val="22"/>
          <w:lang w:eastAsia="fr-FR"/>
        </w:rPr>
      </w:pPr>
    </w:p>
    <w:p w:rsidR="00743B0B" w:rsidRPr="00743B0B" w:rsidRDefault="00743B0B" w:rsidP="00743B0B">
      <w:pPr>
        <w:keepNext/>
        <w:keepLines/>
        <w:spacing w:before="200" w:after="0"/>
        <w:outlineLvl w:val="2"/>
        <w:rPr>
          <w:rFonts w:eastAsia="MS Gothic"/>
          <w:b/>
          <w:bCs/>
          <w:color w:val="4F81BD"/>
          <w:lang w:eastAsia="fr-FR"/>
        </w:rPr>
      </w:pPr>
      <w:bookmarkStart w:id="76" w:name="_Toc498638415"/>
      <w:r w:rsidRPr="00743B0B">
        <w:rPr>
          <w:rFonts w:eastAsia="MS Gothic"/>
          <w:b/>
          <w:bCs/>
          <w:color w:val="4F81BD"/>
          <w:lang w:eastAsia="fr-FR"/>
        </w:rPr>
        <w:t>b) Produits forestiers non ligneux (PFNL)</w:t>
      </w:r>
      <w:bookmarkEnd w:id="76"/>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La circulation de PFNL nécessite un permis délivré par le Service des Eaux et Forêts. L’opérateur-acheteur du produit a le choix entre payer les frais y afférents avant ou après l’achat. Il est seulement tenu de le faire avant de circuler le produit du lieu d’achat à la destination. Le coût est à l’unité (kilogramme, quintal, sac, etc.). Les 100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du coût du permis sont payés directement au Trésor public. Ils sont considérés comme des recettes domaniales qui reviennent à l’Etat. Les communes ne perçoivent aucune part.</w:t>
      </w:r>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Lorsque qu’une infraction survient pendant la circulation du produit, un constat est établi et l’acheteur fait l’objet d’une verbalisation. Le montant de l’amende qui lui est fixé rentre dans le cadre des recettes contentieuses. Il est réparti comme suit</w:t>
      </w:r>
      <w:r w:rsidR="002575A2">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70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revient à la Commune, 20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à l’indicateur de l’infraction et 10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à l’agent verbalisateur.</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7" w:name="_Toc498638416"/>
      <w:r w:rsidRPr="00743B0B">
        <w:rPr>
          <w:rFonts w:eastAsia="MS Gothic"/>
          <w:b/>
          <w:bCs/>
          <w:color w:val="4F81BD"/>
          <w:sz w:val="26"/>
          <w:szCs w:val="26"/>
          <w:lang w:eastAsia="fr-FR"/>
        </w:rPr>
        <w:t xml:space="preserve">III.2. Mécanisme à mettre en place par le </w:t>
      </w:r>
      <w:r w:rsidR="00E80173">
        <w:rPr>
          <w:rFonts w:eastAsia="MS Gothic"/>
          <w:b/>
          <w:bCs/>
          <w:color w:val="4F81BD"/>
          <w:sz w:val="26"/>
          <w:szCs w:val="26"/>
          <w:lang w:eastAsia="fr-FR"/>
        </w:rPr>
        <w:t>PFNAC</w:t>
      </w:r>
      <w:r w:rsidRPr="00743B0B">
        <w:rPr>
          <w:rFonts w:eastAsia="MS Gothic"/>
          <w:b/>
          <w:bCs/>
          <w:color w:val="4F81BD"/>
          <w:sz w:val="26"/>
          <w:szCs w:val="26"/>
          <w:lang w:eastAsia="fr-FR"/>
        </w:rPr>
        <w:t xml:space="preserve"> pour les PFNL</w:t>
      </w:r>
      <w:bookmarkEnd w:id="77"/>
    </w:p>
    <w:p w:rsidR="00743B0B" w:rsidRPr="00743B0B" w:rsidRDefault="00743B0B" w:rsidP="00743B0B">
      <w:pPr>
        <w:keepNext/>
        <w:keepLines/>
        <w:spacing w:after="0"/>
        <w:rPr>
          <w:rFonts w:ascii="Times New Roman" w:eastAsia="Times New Roman" w:hAnsi="Times New Roman"/>
          <w:sz w:val="22"/>
          <w:szCs w:val="22"/>
          <w:lang w:eastAsia="fr-FR"/>
        </w:rPr>
      </w:pPr>
    </w:p>
    <w:p w:rsidR="00743B0B" w:rsidRPr="00743B0B" w:rsidRDefault="00743B0B" w:rsidP="00743B0B">
      <w:pPr>
        <w:keepNext/>
        <w:keepLines/>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Dans la situ</w:t>
      </w:r>
      <w:r w:rsidR="004533D6">
        <w:rPr>
          <w:rFonts w:ascii="Times New Roman" w:eastAsia="Times New Roman" w:hAnsi="Times New Roman"/>
          <w:sz w:val="22"/>
          <w:szCs w:val="22"/>
          <w:lang w:eastAsia="fr-FR"/>
        </w:rPr>
        <w:t>ation actuelle, il n’existe pas</w:t>
      </w:r>
      <w:r w:rsidRPr="00743B0B">
        <w:rPr>
          <w:rFonts w:ascii="Times New Roman" w:eastAsia="Times New Roman" w:hAnsi="Times New Roman"/>
          <w:sz w:val="22"/>
          <w:szCs w:val="22"/>
          <w:lang w:eastAsia="fr-FR"/>
        </w:rPr>
        <w:t xml:space="preserve"> de mécanisme qui assure aux communes des revenus issus des PFNL. Les PFNL ne sont pas encore pris en compte dans le cadre de la production et de la commercialisation des produits issus des plans d’aménagement des forêts. L’accès est libre à tout opérateur. Pour pallier ce manquement, le projet veillera à mettre en place un processus participatif pour susciter des nouvelles sources de revenus pour les Communes dans le cadre de l’exploitation et la commercialisation des PFNL. Les nouvelles sources de revenus devront faire l’objet d’une étude de faisabilité incluant une concertation et une harmonisation entre les différents acteurs impliqués. </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Les revenus alloués à la Commune lui permettront d’avoir des moyens pour réinvestir dans les facteurs de production qui sont du ressort de la Commune (infrastructures, magasins à usages multiples, marchés, travaux d’intérêt communautaire, équipements de protection et la restauration de la forêt, etc.) et qui facilitent le développement des filières.</w:t>
      </w:r>
    </w:p>
    <w:p w:rsidR="00743B0B" w:rsidRPr="00743B0B" w:rsidRDefault="00743B0B" w:rsidP="00743B0B">
      <w:pPr>
        <w:spacing w:before="100" w:beforeAutospacing="1" w:after="100" w:afterAutospacing="1"/>
        <w:contextualSpacing/>
        <w:rPr>
          <w:rFonts w:eastAsia="Times New Roman"/>
          <w:sz w:val="22"/>
          <w:szCs w:val="22"/>
          <w:lang w:eastAsia="fr-FR"/>
        </w:rPr>
      </w:pPr>
    </w:p>
    <w:p w:rsidR="00743B0B" w:rsidRPr="00743B0B" w:rsidRDefault="00743B0B" w:rsidP="00743B0B">
      <w:pPr>
        <w:keepNext/>
        <w:keepLines/>
        <w:spacing w:before="200" w:after="0"/>
        <w:outlineLvl w:val="2"/>
        <w:rPr>
          <w:rFonts w:eastAsia="MS Gothic"/>
          <w:b/>
          <w:bCs/>
          <w:color w:val="4F81BD"/>
          <w:lang w:eastAsia="fr-FR"/>
        </w:rPr>
      </w:pPr>
      <w:bookmarkStart w:id="78" w:name="_Toc498638417"/>
      <w:r w:rsidRPr="00743B0B">
        <w:rPr>
          <w:rFonts w:eastAsia="MS Gothic"/>
          <w:b/>
          <w:bCs/>
          <w:color w:val="4F81BD"/>
          <w:lang w:eastAsia="fr-FR"/>
        </w:rPr>
        <w:t>a) Taxes sur les PFNL</w:t>
      </w:r>
      <w:bookmarkEnd w:id="78"/>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 xml:space="preserve">Le projet pourrait aider à la mise en place d’une taxe au poids ou au sac. Cette taxe serait dédiée aux Communes pour leur permettre tirer des revenus de l’exploitation des ressources forestières dans leurs territoires respectifs. </w:t>
      </w:r>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Le processus pourra être accompagné par une étude de faisabilité qui répondra à un cer</w:t>
      </w:r>
      <w:r w:rsidR="005F4017">
        <w:rPr>
          <w:rFonts w:ascii="Times New Roman" w:eastAsia="Times New Roman" w:hAnsi="Times New Roman"/>
          <w:sz w:val="22"/>
          <w:szCs w:val="22"/>
          <w:lang w:eastAsia="fr-FR"/>
        </w:rPr>
        <w:t>tain nombre de questions telles que</w:t>
      </w:r>
      <w:r w:rsidR="002575A2">
        <w:rPr>
          <w:rFonts w:ascii="Times New Roman" w:eastAsia="Times New Roman" w:hAnsi="Times New Roman"/>
          <w:sz w:val="22"/>
          <w:szCs w:val="22"/>
          <w:lang w:eastAsia="fr-FR"/>
        </w:rPr>
        <w:t> :</w:t>
      </w:r>
    </w:p>
    <w:p w:rsidR="00743B0B" w:rsidRPr="00743B0B" w:rsidRDefault="005F4017" w:rsidP="00771667">
      <w:pPr>
        <w:numPr>
          <w:ilvl w:val="0"/>
          <w:numId w:val="83"/>
        </w:numPr>
        <w:spacing w:after="0"/>
        <w:ind w:left="714" w:hanging="357"/>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à</w:t>
      </w:r>
      <w:r w:rsidR="00743B0B" w:rsidRPr="00743B0B">
        <w:rPr>
          <w:rFonts w:ascii="Times New Roman" w:eastAsia="Times New Roman" w:hAnsi="Times New Roman"/>
          <w:sz w:val="22"/>
          <w:szCs w:val="22"/>
          <w:lang w:eastAsia="fr-FR"/>
        </w:rPr>
        <w:t xml:space="preserve"> combien pourrait s’élever le montant de la taxe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uelles sont les contraintes d’ordre institutionnel et juridique qu’il faudra prendre en compte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c</w:t>
      </w:r>
      <w:r w:rsidR="00743B0B" w:rsidRPr="00743B0B">
        <w:rPr>
          <w:rFonts w:ascii="Times New Roman" w:eastAsia="Times New Roman" w:hAnsi="Times New Roman"/>
          <w:sz w:val="22"/>
          <w:szCs w:val="22"/>
          <w:lang w:eastAsia="fr-FR"/>
        </w:rPr>
        <w:t>ommen</w:t>
      </w:r>
      <w:r w:rsidR="00A72504">
        <w:rPr>
          <w:rFonts w:ascii="Times New Roman" w:eastAsia="Times New Roman" w:hAnsi="Times New Roman"/>
          <w:sz w:val="22"/>
          <w:szCs w:val="22"/>
          <w:lang w:eastAsia="fr-FR"/>
        </w:rPr>
        <w:t>t lever ces contraintes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à</w:t>
      </w:r>
      <w:r w:rsidR="00743B0B" w:rsidRPr="00743B0B">
        <w:rPr>
          <w:rFonts w:ascii="Times New Roman" w:eastAsia="Times New Roman" w:hAnsi="Times New Roman"/>
          <w:sz w:val="22"/>
          <w:szCs w:val="22"/>
          <w:lang w:eastAsia="fr-FR"/>
        </w:rPr>
        <w:t xml:space="preserve"> quels types d’activités devra être destinée cette taxe dans le budget des Communes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ui prélève la taxe</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A quel niveau de la filière sera-t-elle prélevée (vente bord champ ou vente dans les grands centres urbains</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uel ordre de grandeur (</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de prix de vente</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montant forfaitaire par poids</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w:t>
      </w:r>
    </w:p>
    <w:p w:rsidR="00743B0B" w:rsidRPr="00743B0B" w:rsidRDefault="00743B0B" w:rsidP="00771667">
      <w:pPr>
        <w:numPr>
          <w:ilvl w:val="0"/>
          <w:numId w:val="83"/>
        </w:numPr>
        <w:spacing w:after="0"/>
        <w:contextualSpacing/>
        <w:jc w:val="left"/>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qui contrôle</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avec quels moyens</w:t>
      </w:r>
      <w:r w:rsidR="00A72504">
        <w:rPr>
          <w:rFonts w:ascii="Times New Roman" w:eastAsia="Times New Roman" w:hAnsi="Times New Roman"/>
          <w:sz w:val="22"/>
          <w:szCs w:val="22"/>
          <w:lang w:eastAsia="fr-FR"/>
        </w:rPr>
        <w:t>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c</w:t>
      </w:r>
      <w:r w:rsidR="00743B0B" w:rsidRPr="00743B0B">
        <w:rPr>
          <w:rFonts w:ascii="Times New Roman" w:eastAsia="Times New Roman" w:hAnsi="Times New Roman"/>
          <w:sz w:val="22"/>
          <w:szCs w:val="22"/>
          <w:lang w:eastAsia="fr-FR"/>
        </w:rPr>
        <w:t>omment pourrait –on</w:t>
      </w:r>
      <w:r w:rsidR="00A72504">
        <w:rPr>
          <w:rFonts w:ascii="Times New Roman" w:eastAsia="Times New Roman" w:hAnsi="Times New Roman"/>
          <w:sz w:val="22"/>
          <w:szCs w:val="22"/>
          <w:lang w:eastAsia="fr-FR"/>
        </w:rPr>
        <w:t xml:space="preserve"> prévenir les risques de fraude </w:t>
      </w:r>
      <w:r w:rsidR="00743B0B" w:rsidRPr="00743B0B">
        <w:rPr>
          <w:rFonts w:ascii="Times New Roman" w:eastAsia="Times New Roman" w:hAnsi="Times New Roman"/>
          <w:sz w:val="22"/>
          <w:szCs w:val="22"/>
          <w:lang w:eastAsia="fr-FR"/>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Les secteurs d’investissement tournent essentiellement autour des domaines suivants</w:t>
      </w:r>
      <w:r w:rsidR="002575A2">
        <w:rPr>
          <w:rFonts w:ascii="Times New Roman" w:hAnsi="Times New Roman"/>
          <w:sz w:val="22"/>
          <w:szCs w:val="22"/>
        </w:rPr>
        <w:t> :</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r</w:t>
      </w:r>
      <w:r w:rsidR="00743B0B" w:rsidRPr="00743B0B">
        <w:rPr>
          <w:rFonts w:ascii="Times New Roman" w:hAnsi="Times New Roman"/>
          <w:sz w:val="22"/>
          <w:szCs w:val="22"/>
        </w:rPr>
        <w:t>éactualisation du plan d’aménagement des RNC et UP</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c</w:t>
      </w:r>
      <w:r w:rsidR="00743B0B" w:rsidRPr="00743B0B">
        <w:rPr>
          <w:rFonts w:ascii="Times New Roman" w:hAnsi="Times New Roman"/>
          <w:sz w:val="22"/>
          <w:szCs w:val="22"/>
        </w:rPr>
        <w:t>onstruction de Centre de Protection de la Nature</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éveloppement de filières.</w:t>
      </w:r>
    </w:p>
    <w:p w:rsidR="00743B0B" w:rsidRPr="00743B0B" w:rsidRDefault="00743B0B" w:rsidP="00743B0B">
      <w:pPr>
        <w:spacing w:after="0" w:line="259" w:lineRule="auto"/>
        <w:contextualSpacing/>
        <w:rPr>
          <w:sz w:val="22"/>
          <w:szCs w:val="22"/>
        </w:rPr>
      </w:pPr>
    </w:p>
    <w:p w:rsidR="00743B0B" w:rsidRPr="00743B0B" w:rsidRDefault="00743B0B" w:rsidP="00743B0B">
      <w:pPr>
        <w:spacing w:after="0"/>
        <w:rPr>
          <w:rFonts w:ascii="Times New Roman" w:hAnsi="Times New Roman"/>
          <w:sz w:val="22"/>
          <w:szCs w:val="22"/>
        </w:rPr>
      </w:pPr>
      <w:r w:rsidRPr="00F12E0C">
        <w:rPr>
          <w:rFonts w:ascii="Times New Roman" w:hAnsi="Times New Roman"/>
          <w:sz w:val="22"/>
          <w:szCs w:val="22"/>
        </w:rPr>
        <w:t>Si les deux premiers domaines ne sont pas des pourvoyeurs directs de revenus. Ils permettent</w:t>
      </w:r>
      <w:r w:rsidRPr="00743B0B">
        <w:rPr>
          <w:rFonts w:ascii="Times New Roman" w:hAnsi="Times New Roman"/>
          <w:sz w:val="22"/>
          <w:szCs w:val="22"/>
        </w:rPr>
        <w:t xml:space="preserve"> de garantir la pérennisation de l’approvisionnement en divers produits. Ils constituent un préalable qui permet d’attirer les acteurs et de sécuriser leurs investissements dans les différents segments des filières des produits. C’est le développement des filières qui constitue une source directe de revenus. Trois principaux acteurs sont concernés par la répartition des recettes issues de la commercialisation des produits. L’</w:t>
      </w:r>
      <w:r w:rsidR="005F4017" w:rsidRPr="00743B0B">
        <w:rPr>
          <w:rFonts w:ascii="Times New Roman" w:hAnsi="Times New Roman"/>
          <w:sz w:val="22"/>
          <w:szCs w:val="22"/>
        </w:rPr>
        <w:t>État</w:t>
      </w:r>
      <w:r w:rsidRPr="00743B0B">
        <w:rPr>
          <w:rFonts w:ascii="Times New Roman" w:hAnsi="Times New Roman"/>
          <w:sz w:val="22"/>
          <w:szCs w:val="22"/>
        </w:rPr>
        <w:t xml:space="preserve"> tire sa « part » au moment de la délivrance des permis à l’acheteur. Le CIV (ou le groupement) tire ses revenus de la vente et des taxes qui sont appliquées par unité de mesure (kilogramme, tonne, quintal, ou autres). Ces revenus vont directement dans sa caisse. Ce sont les taxes qui font l’objet de répartition entre le CIV (ou le groupement) et la Commune. Dans la mesure où le CIV (ou le groupement) applique toujours une marge bénéficiaire lors de la vente, la répartition des recettes de taxes devrait plus aller en faveur de la Commune. A titre d’exemple, le Projet Wula Nafa avait préconisé une taxe de 15 FCFA par Kg de fruit de Baobab vendu. Il proposé que les 50</w:t>
      </w:r>
      <w:r w:rsidR="00A72504">
        <w:rPr>
          <w:rFonts w:ascii="Times New Roman" w:hAnsi="Times New Roman"/>
          <w:sz w:val="22"/>
          <w:szCs w:val="22"/>
        </w:rPr>
        <w:t> %</w:t>
      </w:r>
      <w:r w:rsidRPr="00743B0B">
        <w:rPr>
          <w:rFonts w:ascii="Times New Roman" w:hAnsi="Times New Roman"/>
          <w:sz w:val="22"/>
          <w:szCs w:val="22"/>
        </w:rPr>
        <w:t xml:space="preserve"> aillent au fonds d’aménagement et 50</w:t>
      </w:r>
      <w:r w:rsidR="00A72504">
        <w:rPr>
          <w:rFonts w:ascii="Times New Roman" w:hAnsi="Times New Roman"/>
          <w:sz w:val="22"/>
          <w:szCs w:val="22"/>
        </w:rPr>
        <w:t> %</w:t>
      </w:r>
      <w:r w:rsidRPr="00743B0B">
        <w:rPr>
          <w:rFonts w:ascii="Times New Roman" w:hAnsi="Times New Roman"/>
          <w:sz w:val="22"/>
          <w:szCs w:val="22"/>
        </w:rPr>
        <w:t xml:space="preserve"> à la Commune. Cependant, dans le cadre du </w:t>
      </w:r>
      <w:r w:rsidR="00E80173">
        <w:rPr>
          <w:rFonts w:ascii="Times New Roman" w:hAnsi="Times New Roman"/>
          <w:sz w:val="22"/>
          <w:szCs w:val="22"/>
        </w:rPr>
        <w:t>PFNAC</w:t>
      </w:r>
      <w:r w:rsidRPr="00743B0B">
        <w:rPr>
          <w:rFonts w:ascii="Times New Roman" w:hAnsi="Times New Roman"/>
          <w:sz w:val="22"/>
          <w:szCs w:val="22"/>
        </w:rPr>
        <w:t>, la clé de répartition suivante pourrait être appliquée sur les 15 FCFA</w:t>
      </w:r>
      <w:r w:rsidR="002575A2">
        <w:rPr>
          <w:rFonts w:ascii="Times New Roman" w:hAnsi="Times New Roman"/>
          <w:sz w:val="22"/>
          <w:szCs w:val="22"/>
        </w:rPr>
        <w:t> :</w:t>
      </w:r>
    </w:p>
    <w:p w:rsidR="00743B0B" w:rsidRPr="00743B0B" w:rsidRDefault="00743B0B" w:rsidP="00771667">
      <w:pPr>
        <w:numPr>
          <w:ilvl w:val="0"/>
          <w:numId w:val="81"/>
        </w:numPr>
        <w:spacing w:after="0" w:line="259" w:lineRule="auto"/>
        <w:contextualSpacing/>
        <w:jc w:val="left"/>
        <w:rPr>
          <w:rFonts w:ascii="Times New Roman" w:hAnsi="Times New Roman"/>
          <w:sz w:val="22"/>
          <w:szCs w:val="22"/>
        </w:rPr>
      </w:pPr>
      <w:r w:rsidRPr="00743B0B">
        <w:rPr>
          <w:rFonts w:ascii="Times New Roman" w:hAnsi="Times New Roman"/>
          <w:sz w:val="22"/>
          <w:szCs w:val="22"/>
        </w:rPr>
        <w:t>30</w:t>
      </w:r>
      <w:r w:rsidR="00A72504">
        <w:rPr>
          <w:rFonts w:ascii="Times New Roman" w:hAnsi="Times New Roman"/>
          <w:sz w:val="22"/>
          <w:szCs w:val="22"/>
        </w:rPr>
        <w:t> %</w:t>
      </w:r>
      <w:r w:rsidRPr="00743B0B">
        <w:rPr>
          <w:rFonts w:ascii="Times New Roman" w:hAnsi="Times New Roman"/>
          <w:sz w:val="22"/>
          <w:szCs w:val="22"/>
        </w:rPr>
        <w:t xml:space="preserve"> au CIV ou au groupement</w:t>
      </w:r>
      <w:r w:rsidRPr="00743B0B">
        <w:rPr>
          <w:rFonts w:ascii="Times New Roman" w:eastAsia="Times New Roman" w:hAnsi="Times New Roman"/>
          <w:sz w:val="22"/>
          <w:szCs w:val="22"/>
          <w:lang w:eastAsia="fr-FR"/>
        </w:rPr>
        <w:t xml:space="preserve"> pour alimenter le fonds d’aménagement ou de restauration des forêts</w:t>
      </w:r>
      <w:r w:rsidR="005F4017">
        <w:rPr>
          <w:rFonts w:ascii="Times New Roman" w:eastAsia="Times New Roman" w:hAnsi="Times New Roman"/>
          <w:sz w:val="22"/>
          <w:szCs w:val="22"/>
          <w:lang w:eastAsia="fr-FR"/>
        </w:rPr>
        <w:t> ;</w:t>
      </w:r>
    </w:p>
    <w:p w:rsidR="00743B0B" w:rsidRPr="00743B0B" w:rsidRDefault="00743B0B" w:rsidP="00771667">
      <w:pPr>
        <w:numPr>
          <w:ilvl w:val="0"/>
          <w:numId w:val="81"/>
        </w:numPr>
        <w:spacing w:after="0" w:line="259" w:lineRule="auto"/>
        <w:contextualSpacing/>
        <w:jc w:val="left"/>
        <w:rPr>
          <w:rFonts w:ascii="Times New Roman" w:hAnsi="Times New Roman"/>
          <w:sz w:val="22"/>
          <w:szCs w:val="22"/>
        </w:rPr>
      </w:pPr>
      <w:r w:rsidRPr="00743B0B">
        <w:rPr>
          <w:rFonts w:ascii="Times New Roman" w:hAnsi="Times New Roman"/>
          <w:sz w:val="22"/>
          <w:szCs w:val="22"/>
        </w:rPr>
        <w:t>70</w:t>
      </w:r>
      <w:r w:rsidR="00A72504">
        <w:rPr>
          <w:rFonts w:ascii="Times New Roman" w:hAnsi="Times New Roman"/>
          <w:sz w:val="22"/>
          <w:szCs w:val="22"/>
        </w:rPr>
        <w:t> %</w:t>
      </w:r>
      <w:r w:rsidRPr="00743B0B">
        <w:rPr>
          <w:rFonts w:ascii="Times New Roman" w:hAnsi="Times New Roman"/>
          <w:sz w:val="22"/>
          <w:szCs w:val="22"/>
        </w:rPr>
        <w:t xml:space="preserve"> pour la Commune</w:t>
      </w:r>
      <w:r w:rsidR="005F4017">
        <w:rPr>
          <w:rFonts w:ascii="Times New Roman" w:hAnsi="Times New Roman"/>
          <w:sz w:val="22"/>
          <w:szCs w:val="22"/>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 xml:space="preserve">D’autres taxes pourront être appliquées sur les produits transformés. </w:t>
      </w:r>
      <w:r w:rsidR="005F4017">
        <w:rPr>
          <w:rFonts w:ascii="Times New Roman" w:hAnsi="Times New Roman"/>
          <w:sz w:val="22"/>
          <w:szCs w:val="22"/>
        </w:rPr>
        <w:t>Elles devront</w:t>
      </w:r>
      <w:r w:rsidRPr="00743B0B">
        <w:rPr>
          <w:rFonts w:ascii="Times New Roman" w:hAnsi="Times New Roman"/>
          <w:sz w:val="22"/>
          <w:szCs w:val="22"/>
        </w:rPr>
        <w:t xml:space="preserve"> faire l’objet d’une concertation entre les différents acteurs concernés.</w:t>
      </w:r>
    </w:p>
    <w:p w:rsidR="00743B0B" w:rsidRPr="00743B0B" w:rsidRDefault="00743B0B" w:rsidP="00743B0B">
      <w:pPr>
        <w:keepNext/>
        <w:keepLines/>
        <w:spacing w:before="200" w:after="0"/>
        <w:outlineLvl w:val="2"/>
        <w:rPr>
          <w:rFonts w:eastAsia="MS Gothic"/>
          <w:b/>
          <w:bCs/>
          <w:color w:val="4F81BD"/>
        </w:rPr>
      </w:pPr>
      <w:bookmarkStart w:id="79" w:name="_Toc498638418"/>
      <w:r w:rsidRPr="00743B0B">
        <w:rPr>
          <w:rFonts w:eastAsia="MS Gothic"/>
          <w:b/>
          <w:bCs/>
          <w:color w:val="4F81BD"/>
        </w:rPr>
        <w:t>b) Redevances liées au prélèvement d’espèces et de produits</w:t>
      </w:r>
      <w:bookmarkEnd w:id="79"/>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L’Article premier du décret n° 96-572 du 09 juillet 1996 fixant les taxes et redevances en matière d’exploitation forestières, modifié par le décret n°2001-217 du 13 mars 2001 stipule que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L’exploitation à caractère commercial des produits forestiers provenant des forêts classées, des périmètres de reboisement en régie ou de forêts naturelles non classées du Domaine national, est soumise à l’acquittement des taxes et redevances forestières ».</w:t>
      </w:r>
    </w:p>
    <w:p w:rsidR="00743B0B" w:rsidRPr="00743B0B" w:rsidRDefault="00743B0B" w:rsidP="00743B0B">
      <w:pPr>
        <w:rPr>
          <w:sz w:val="22"/>
          <w:szCs w:val="22"/>
        </w:rPr>
      </w:pPr>
      <w:r w:rsidRPr="00743B0B">
        <w:rPr>
          <w:rFonts w:ascii="Times New Roman" w:hAnsi="Times New Roman"/>
          <w:sz w:val="22"/>
          <w:szCs w:val="22"/>
        </w:rPr>
        <w:t xml:space="preserve">Cependant, les redevances sont entièrement versées dans les caisses de l’Etat. Le </w:t>
      </w:r>
      <w:r w:rsidR="00E80173">
        <w:rPr>
          <w:rFonts w:ascii="Times New Roman" w:hAnsi="Times New Roman"/>
          <w:sz w:val="22"/>
          <w:szCs w:val="22"/>
        </w:rPr>
        <w:t>PFNAC</w:t>
      </w:r>
      <w:r w:rsidRPr="00743B0B">
        <w:rPr>
          <w:rFonts w:ascii="Times New Roman" w:hAnsi="Times New Roman"/>
          <w:sz w:val="22"/>
          <w:szCs w:val="22"/>
        </w:rPr>
        <w:t xml:space="preserve"> pourrait travailler dans le sens d’une révision de montants fixés à la hausse. Cela permettrait de prendre en compte les différentes valeurs des produits, y compris les valeurs d’usages indirects. Ainsi, une partie de cette redevance pourrait revenir à la Commune concernée par le prélèvement.</w:t>
      </w:r>
    </w:p>
    <w:p w:rsidR="00743B0B" w:rsidRPr="00743B0B" w:rsidRDefault="00743B0B" w:rsidP="00743B0B">
      <w:pPr>
        <w:rPr>
          <w:sz w:val="22"/>
          <w:szCs w:val="22"/>
        </w:rPr>
      </w:pPr>
    </w:p>
    <w:p w:rsidR="00743B0B" w:rsidRPr="00743B0B" w:rsidRDefault="00743B0B" w:rsidP="00743B0B">
      <w:pPr>
        <w:rPr>
          <w:sz w:val="22"/>
          <w:szCs w:val="22"/>
        </w:rPr>
      </w:pPr>
    </w:p>
    <w:p w:rsidR="00743B0B" w:rsidRPr="00743B0B" w:rsidRDefault="00743B0B" w:rsidP="00743B0B">
      <w:pPr>
        <w:rPr>
          <w:sz w:val="22"/>
          <w:szCs w:val="22"/>
        </w:rPr>
      </w:pPr>
    </w:p>
    <w:p w:rsidR="00743B0B" w:rsidRPr="00743B0B" w:rsidRDefault="00743B0B" w:rsidP="00743B0B">
      <w:p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80" w:name="_Toc498638419"/>
      <w:r w:rsidRPr="00743B0B">
        <w:rPr>
          <w:rFonts w:ascii="Century Gothic" w:hAnsi="Century Gothic"/>
          <w:b/>
          <w:smallCaps/>
          <w:spacing w:val="-2"/>
          <w:sz w:val="28"/>
          <w:szCs w:val="20"/>
        </w:rPr>
        <w:t>IV Compensation des dommages à la biodiversité (zone minière du Niokolo-Koba)</w:t>
      </w:r>
      <w:bookmarkEnd w:id="80"/>
    </w:p>
    <w:p w:rsidR="00743B0B" w:rsidRPr="00743B0B" w:rsidRDefault="00743B0B" w:rsidP="00743B0B">
      <w:r w:rsidRPr="00743B0B">
        <w:tab/>
      </w:r>
    </w:p>
    <w:p w:rsidR="00743B0B" w:rsidRPr="00743B0B" w:rsidRDefault="00743B0B" w:rsidP="00743B0B">
      <w:pPr>
        <w:rPr>
          <w:rFonts w:ascii="Times New Roman" w:hAnsi="Times New Roman"/>
          <w:sz w:val="22"/>
        </w:rPr>
      </w:pPr>
      <w:r w:rsidRPr="00743B0B">
        <w:rPr>
          <w:rFonts w:ascii="Times New Roman" w:hAnsi="Times New Roman"/>
          <w:sz w:val="22"/>
        </w:rPr>
        <w:t>Ce mécanisme n’a pas encore été appliqué au Sénégal, sa présentation ci-dessous répond à une vocation pédagogique. Une piste à explorer serait de mettre en place une zone test pour ce mécanisme dans le nord-est du pays, dans la zone minière de Niokobo-Koba.</w:t>
      </w:r>
      <w:r w:rsidR="004533D6">
        <w:rPr>
          <w:rFonts w:ascii="Times New Roman" w:hAnsi="Times New Roman"/>
          <w:sz w:val="22"/>
        </w:rPr>
        <w:t xml:space="preserve"> </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hAnsi="Times New Roman"/>
          <w:sz w:val="22"/>
        </w:rPr>
        <w:t>Présenté comme un moyen de concilier développement et conservation de la biodiversité, le principe de compensation des dommages à la biodiversité figure dans les législations environnementales qui se généralisent dans les pays</w:t>
      </w:r>
      <w:r w:rsidRPr="00743B0B">
        <w:rPr>
          <w:rFonts w:ascii="Times New Roman" w:eastAsia="Times New Roman" w:hAnsi="Times New Roman"/>
          <w:sz w:val="22"/>
        </w:rPr>
        <w:t xml:space="preserve"> industrialisés au cours des années 1970. Il faudra cependant attendre les années 1990 pour que son application s’étende à partir des Etats-Unis. Les initiatives de compensation volontaire se multiplient dans les pays en développement depuis le milieu des années 2000, promues en particulier par certaines ONG de conservation qui cherchent à la fois à réduire les impacts négatifs des projets d’infrastructures en faisant évoluer la législation et à mobiliser des ressources du secteur privé pour le financement des réseaux nationaux d’aires protégées dont elles sont gestionnaires. Elle est identifiée comme une source de financement potentielle importante par les fonds fiduciaires pour la conservation qui se sont multipliés ces vingt dernières années.</w:t>
      </w:r>
    </w:p>
    <w:p w:rsidR="00743B0B" w:rsidRPr="00743B0B" w:rsidRDefault="00743B0B" w:rsidP="00743B0B">
      <w:pPr>
        <w:spacing w:before="120" w:after="100"/>
        <w:ind w:firstLine="221"/>
        <w:rPr>
          <w:rFonts w:ascii="Times New Roman" w:eastAsia="Times New Roman" w:hAnsi="Times New Roman"/>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1" w:name="_Toc464228811"/>
      <w:bookmarkStart w:id="82" w:name="_Toc498638420"/>
      <w:r w:rsidRPr="00743B0B">
        <w:rPr>
          <w:rFonts w:eastAsia="MS Gothic"/>
          <w:b/>
          <w:bCs/>
          <w:color w:val="4F81BD"/>
          <w:sz w:val="26"/>
          <w:szCs w:val="26"/>
          <w:lang w:eastAsia="fr-FR"/>
        </w:rPr>
        <w:t>IV.1. Le principe des offsets de biodiversité</w:t>
      </w:r>
      <w:bookmarkEnd w:id="81"/>
      <w:bookmarkEnd w:id="82"/>
    </w:p>
    <w:p w:rsidR="00743B0B" w:rsidRPr="00743B0B" w:rsidRDefault="00743B0B" w:rsidP="00743B0B">
      <w:pPr>
        <w:spacing w:before="120" w:after="100"/>
        <w:rPr>
          <w:rFonts w:ascii="Times New Roman" w:eastAsia="Times New Roman" w:hAnsi="Times New Roman"/>
          <w:b/>
          <w:i/>
          <w:sz w:val="22"/>
        </w:rPr>
      </w:pPr>
      <w:r w:rsidRPr="00743B0B">
        <w:rPr>
          <w:rFonts w:ascii="Times New Roman" w:eastAsia="Times New Roman" w:hAnsi="Times New Roman"/>
          <w:b/>
          <w:i/>
          <w:sz w:val="22"/>
        </w:rPr>
        <w:t>Rationalité du mécanisme</w:t>
      </w:r>
    </w:p>
    <w:p w:rsidR="00743B0B" w:rsidRPr="00743B0B" w:rsidRDefault="00743B0B" w:rsidP="00743B0B">
      <w:pPr>
        <w:spacing w:before="120" w:after="100"/>
        <w:ind w:firstLine="708"/>
        <w:rPr>
          <w:rFonts w:ascii="Times New Roman" w:eastAsia="Times New Roman" w:hAnsi="Times New Roman"/>
          <w:sz w:val="22"/>
        </w:rPr>
      </w:pPr>
      <w:r w:rsidRPr="00743B0B">
        <w:rPr>
          <w:rFonts w:ascii="Times New Roman" w:eastAsia="Times New Roman" w:hAnsi="Times New Roman"/>
          <w:sz w:val="22"/>
        </w:rPr>
        <w:t>En application du</w:t>
      </w:r>
      <w:r w:rsidRPr="00743B0B">
        <w:rPr>
          <w:rFonts w:ascii="Times New Roman" w:eastAsia="Times New Roman" w:hAnsi="Times New Roman"/>
          <w:b/>
          <w:sz w:val="22"/>
        </w:rPr>
        <w:t xml:space="preserve"> </w:t>
      </w:r>
      <w:r w:rsidRPr="00743B0B">
        <w:rPr>
          <w:rFonts w:ascii="Times New Roman" w:eastAsia="Times New Roman" w:hAnsi="Times New Roman"/>
          <w:sz w:val="22"/>
        </w:rPr>
        <w:t xml:space="preserve">principe du </w:t>
      </w:r>
      <w:r w:rsidRPr="00743B0B">
        <w:rPr>
          <w:rFonts w:ascii="Times New Roman" w:eastAsia="Times New Roman" w:hAnsi="Times New Roman"/>
          <w:b/>
          <w:sz w:val="22"/>
        </w:rPr>
        <w:t>pollueur-payeur</w:t>
      </w:r>
      <w:r w:rsidRPr="00743B0B">
        <w:rPr>
          <w:rFonts w:ascii="Times New Roman" w:eastAsia="Times New Roman" w:hAnsi="Times New Roman"/>
          <w:sz w:val="22"/>
        </w:rPr>
        <w:t xml:space="preserve">, le maître d’ouvrage public ou privé d’un projet d’aménagement compense </w:t>
      </w:r>
      <w:r w:rsidRPr="00743B0B">
        <w:rPr>
          <w:rFonts w:ascii="Times New Roman" w:eastAsia="Times New Roman" w:hAnsi="Times New Roman"/>
          <w:b/>
          <w:sz w:val="22"/>
        </w:rPr>
        <w:t>ses impacts résiduel</w:t>
      </w:r>
      <w:r w:rsidRPr="00743B0B">
        <w:rPr>
          <w:rFonts w:ascii="Times New Roman" w:eastAsia="Times New Roman" w:hAnsi="Times New Roman"/>
          <w:sz w:val="22"/>
        </w:rPr>
        <w:t xml:space="preserve">s sur la biodiversité par des opérations de restauration d’écosystèmes </w:t>
      </w:r>
      <w:r w:rsidRPr="00743B0B">
        <w:rPr>
          <w:rFonts w:ascii="Times New Roman" w:eastAsia="Times New Roman" w:hAnsi="Times New Roman"/>
          <w:b/>
          <w:sz w:val="22"/>
        </w:rPr>
        <w:t>équivalents en nature</w:t>
      </w:r>
      <w:r w:rsidRPr="00743B0B">
        <w:rPr>
          <w:rFonts w:ascii="Times New Roman" w:eastAsia="Times New Roman" w:hAnsi="Times New Roman"/>
          <w:sz w:val="22"/>
        </w:rPr>
        <w:t xml:space="preserve"> (i.e. en espèces, habitats, ou fonctionnalités écologiques) à ceux qui ont été détruits ou qui le seront. </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eastAsia="Times New Roman" w:hAnsi="Times New Roman"/>
          <w:sz w:val="22"/>
        </w:rPr>
        <w:t>Pour ne pas s’apparenter à un « droit à détruire » (</w:t>
      </w:r>
      <w:r w:rsidRPr="00743B0B">
        <w:rPr>
          <w:rFonts w:ascii="Times New Roman" w:eastAsia="Times New Roman" w:hAnsi="Times New Roman"/>
          <w:i/>
          <w:sz w:val="22"/>
        </w:rPr>
        <w:t>licence to trash</w:t>
      </w:r>
      <w:r w:rsidRPr="00743B0B">
        <w:rPr>
          <w:rFonts w:ascii="Times New Roman" w:eastAsia="Times New Roman" w:hAnsi="Times New Roman"/>
          <w:sz w:val="22"/>
        </w:rPr>
        <w:t>), elle ne doit intervenir qu’en dernier recours dans une « </w:t>
      </w:r>
      <w:r w:rsidRPr="00743B0B">
        <w:rPr>
          <w:rFonts w:ascii="Times New Roman" w:eastAsia="Times New Roman" w:hAnsi="Times New Roman"/>
          <w:b/>
          <w:sz w:val="22"/>
        </w:rPr>
        <w:t>hiérarchie d’atténuation</w:t>
      </w:r>
      <w:r w:rsidRPr="00743B0B">
        <w:rPr>
          <w:rFonts w:ascii="Times New Roman" w:eastAsia="Times New Roman" w:hAnsi="Times New Roman"/>
          <w:sz w:val="22"/>
        </w:rPr>
        <w:t> » pour les impacts que l’aménageur ne peut ni éviter ni réduire. Elle doit par ailleurs viser une « </w:t>
      </w:r>
      <w:r w:rsidRPr="00743B0B">
        <w:rPr>
          <w:rFonts w:ascii="Times New Roman" w:eastAsia="Times New Roman" w:hAnsi="Times New Roman"/>
          <w:b/>
          <w:sz w:val="22"/>
        </w:rPr>
        <w:t>absence de perte nette</w:t>
      </w:r>
      <w:r w:rsidRPr="00743B0B">
        <w:rPr>
          <w:rFonts w:ascii="Times New Roman" w:eastAsia="Times New Roman" w:hAnsi="Times New Roman"/>
          <w:sz w:val="22"/>
        </w:rPr>
        <w:t xml:space="preserve"> » de biodiversité ou mieux un « gain net » de biodiversité (équivalence a minima des gains et des pertes).</w:t>
      </w:r>
    </w:p>
    <w:p w:rsidR="00743B0B" w:rsidRPr="00743B0B" w:rsidRDefault="00743B0B" w:rsidP="00743B0B">
      <w:pPr>
        <w:spacing w:before="120" w:after="100"/>
        <w:ind w:left="221"/>
        <w:rPr>
          <w:rFonts w:ascii="Times New Roman" w:eastAsia="Times New Roman" w:hAnsi="Times New Roman"/>
        </w:rPr>
      </w:pPr>
    </w:p>
    <w:p w:rsidR="00743B0B" w:rsidRPr="00743B0B" w:rsidRDefault="00743B0B" w:rsidP="00743B0B">
      <w:pPr>
        <w:spacing w:before="120" w:after="100"/>
        <w:ind w:left="221"/>
        <w:rPr>
          <w:rFonts w:ascii="Times New Roman" w:eastAsia="Times New Roman" w:hAnsi="Times New Roman"/>
          <w:i/>
        </w:rPr>
      </w:pPr>
      <w:r w:rsidRPr="00743B0B">
        <w:rPr>
          <w:rFonts w:ascii="Times New Roman" w:eastAsia="Times New Roman" w:hAnsi="Times New Roman"/>
          <w:i/>
        </w:rPr>
        <w:t>Fig</w:t>
      </w:r>
      <w:r w:rsidR="00384043">
        <w:rPr>
          <w:rFonts w:ascii="Times New Roman" w:eastAsia="Times New Roman" w:hAnsi="Times New Roman"/>
          <w:i/>
        </w:rPr>
        <w:t>ure </w:t>
      </w:r>
      <w:r w:rsidRPr="00743B0B">
        <w:rPr>
          <w:rFonts w:ascii="Times New Roman" w:eastAsia="Times New Roman" w:hAnsi="Times New Roman"/>
          <w:i/>
        </w:rPr>
        <w:t>X</w:t>
      </w:r>
      <w:r w:rsidRPr="00743B0B">
        <w:rPr>
          <w:rFonts w:ascii="Times New Roman" w:eastAsia="Times New Roman" w:hAnsi="Times New Roman"/>
          <w:i/>
        </w:rPr>
        <w:tab/>
        <w:t>La séquence Eviter – Réduire – Compenser (UICN-France 2011, BBOP 2009)</w:t>
      </w:r>
    </w:p>
    <w:p w:rsidR="00743B0B" w:rsidRPr="00743B0B" w:rsidRDefault="00743B0B" w:rsidP="00743B0B">
      <w:pPr>
        <w:spacing w:before="120" w:after="100"/>
        <w:ind w:left="221"/>
        <w:rPr>
          <w:rFonts w:ascii="Times New Roman" w:eastAsia="Times New Roman" w:hAnsi="Times New Roman"/>
        </w:rPr>
      </w:pPr>
      <w:r w:rsidRPr="00743B0B">
        <w:rPr>
          <w:rFonts w:ascii="Times New Roman" w:eastAsia="Times New Roman" w:hAnsi="Times New Roman"/>
          <w:noProof/>
          <w:lang w:eastAsia="fr-FR"/>
        </w:rPr>
        <w:drawing>
          <wp:inline distT="0" distB="0" distL="0" distR="0" wp14:anchorId="0E34A811" wp14:editId="15205D3C">
            <wp:extent cx="5759450" cy="2999740"/>
            <wp:effectExtent l="0" t="0" r="0" b="0"/>
            <wp:docPr id="10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59450" cy="2999740"/>
                    </a:xfrm>
                    <a:prstGeom prst="rect">
                      <a:avLst/>
                    </a:prstGeom>
                  </pic:spPr>
                </pic:pic>
              </a:graphicData>
            </a:graphic>
          </wp:inline>
        </w:drawing>
      </w:r>
    </w:p>
    <w:p w:rsidR="00743B0B" w:rsidRPr="00743B0B" w:rsidRDefault="00743B0B" w:rsidP="00743B0B">
      <w:pPr>
        <w:spacing w:before="120" w:after="100"/>
        <w:ind w:left="221"/>
        <w:rPr>
          <w:rFonts w:ascii="Times New Roman" w:eastAsia="Times New Roman" w:hAnsi="Times New Roman"/>
        </w:rPr>
      </w:pP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Selon la règlementation en vigueur, les capacités institutionnelles, et les possibilités offertes par le milieu, le maître d’ouvrage peut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m</w:t>
      </w:r>
      <w:r w:rsidR="00743B0B" w:rsidRPr="00743B0B">
        <w:rPr>
          <w:rFonts w:ascii="Times New Roman" w:eastAsia="Times New Roman" w:hAnsi="Times New Roman"/>
          <w:sz w:val="22"/>
        </w:rPr>
        <w:t>ettre en œuvre lui-même les mesures compensatoires, en les sous-traitant au besoin à un prestataire spécialisé (compensation sur mesure, au cas par cas)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cheter des crédits de compensation sur un marché régulé par l’Etat à un opérateur ayant déjà réalisé des mesures compensatoires, certifiées équivalentes en nature aux impacts à compenser (offre de compensation de banques d’actifs naturels)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 xml:space="preserve">limenter un fonds de compensation pour s’acquitter de sa dette écologique (compensation financière). </w:t>
      </w:r>
    </w:p>
    <w:p w:rsidR="00743B0B" w:rsidRPr="00743B0B" w:rsidRDefault="00743B0B" w:rsidP="00743B0B">
      <w:pPr>
        <w:spacing w:after="100"/>
        <w:ind w:left="221"/>
        <w:rPr>
          <w:rFonts w:ascii="Times New Roman" w:eastAsia="Times New Roman" w:hAnsi="Times New Roman"/>
          <w:sz w:val="22"/>
        </w:rPr>
      </w:pPr>
      <w:r w:rsidRPr="00743B0B">
        <w:rPr>
          <w:rFonts w:ascii="Times New Roman" w:eastAsia="Times New Roman" w:hAnsi="Times New Roman"/>
          <w:sz w:val="22"/>
        </w:rPr>
        <w:t>Dans les deux derniers cas, la responsabilité de la pérennité des mesures compensatoires est transférée du maître d’ouvrage à la banque ou au fonds de compensation.</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 xml:space="preserve">Le système des </w:t>
      </w:r>
      <w:r w:rsidRPr="00743B0B">
        <w:rPr>
          <w:rFonts w:ascii="Times New Roman" w:eastAsia="Times New Roman" w:hAnsi="Times New Roman"/>
          <w:b/>
          <w:sz w:val="22"/>
        </w:rPr>
        <w:t>banques de compensation</w:t>
      </w:r>
      <w:r w:rsidRPr="00743B0B">
        <w:rPr>
          <w:rFonts w:ascii="Times New Roman" w:eastAsia="Times New Roman" w:hAnsi="Times New Roman"/>
          <w:sz w:val="22"/>
        </w:rPr>
        <w:t xml:space="preserve"> vise à faciliter la mise en œuvre des mesures compensatoires (logique de l’offre) et à en </w:t>
      </w:r>
      <w:r w:rsidRPr="00743B0B">
        <w:rPr>
          <w:rFonts w:ascii="Times New Roman" w:eastAsia="Times New Roman" w:hAnsi="Times New Roman"/>
          <w:b/>
          <w:sz w:val="22"/>
        </w:rPr>
        <w:t>maximiser le rapport coût-efficacité</w:t>
      </w:r>
      <w:r w:rsidR="002575A2">
        <w:rPr>
          <w:rFonts w:ascii="Times New Roman" w:eastAsia="Times New Roman" w:hAnsi="Times New Roman"/>
          <w:b/>
          <w:sz w:val="22"/>
        </w:rPr>
        <w:t> :</w:t>
      </w:r>
      <w:r w:rsidRPr="00743B0B">
        <w:rPr>
          <w:rFonts w:ascii="Times New Roman" w:eastAsia="Times New Roman" w:hAnsi="Times New Roman"/>
          <w:sz w:val="22"/>
        </w:rPr>
        <w:t xml:space="preserve"> anticipation des besoins de compensation des aménageurs (compensation préalable aux impacts), mutualisation des activités de compensations (projets écologiquement plus cohérents à l’échelle d’un territoire que des actions isolées), inscription dans une logique d’aménagement du territoire, économies d’échelles, contrôle facilité et garanties plus importantes de pérennité des mesures compensatoires.</w:t>
      </w:r>
    </w:p>
    <w:p w:rsidR="00743B0B" w:rsidRPr="00743B0B" w:rsidRDefault="00743B0B" w:rsidP="00743B0B">
      <w:pPr>
        <w:spacing w:before="120" w:after="100"/>
        <w:ind w:left="221"/>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b/>
          <w:i/>
          <w:sz w:val="22"/>
        </w:rPr>
      </w:pPr>
      <w:r w:rsidRPr="00743B0B">
        <w:rPr>
          <w:rFonts w:ascii="Times New Roman" w:eastAsia="Times New Roman" w:hAnsi="Times New Roman"/>
          <w:b/>
          <w:i/>
          <w:sz w:val="22"/>
        </w:rPr>
        <w:t>Ce que n’est pas le mécanisme</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 xml:space="preserve">Le principe de la compensation des dommages à la biodiversité est une </w:t>
      </w:r>
      <w:r w:rsidRPr="00743B0B">
        <w:rPr>
          <w:rFonts w:ascii="Times New Roman" w:eastAsia="Times New Roman" w:hAnsi="Times New Roman"/>
          <w:b/>
          <w:sz w:val="22"/>
        </w:rPr>
        <w:t>déclinaison du principe du pollueur-payeur</w:t>
      </w:r>
      <w:r w:rsidRPr="00743B0B">
        <w:rPr>
          <w:rFonts w:ascii="Times New Roman" w:eastAsia="Times New Roman" w:hAnsi="Times New Roman"/>
          <w:sz w:val="22"/>
        </w:rPr>
        <w:t xml:space="preserve"> qui impose au maître d’ouvrage d’un projet d’aménagement ou d’infrastructure d’assumer la responsabilité des pertes « significatives » de biodiversité engendrées par son projet à l’échelle d’espèces (protégées notamment) ou de milieux (zones humides, forêts, etc.) considérés pour leurs fonctionnalités écologiques.</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La compensation écologique est une modalité parmi d’autres d’exercice de la responsabilité du maître d’ouvrage dans l’atténuation des impacts environnementaux de son projet. Elle ne relève pas cependant du régime des pénalités environnementales pour non-respect de la règlementation (dont le montant n’est pas lié à la nature ou l’intensité des impacts mais à la qualification juridique de l’infraction) ou pour le préjudice subi par des particuliers ou la collectivité (même si parfois une obligation de réparation en nature des dommages accompagne l’indemnisation). Elle ne relève pas plus régime assurantiel (provisionnement volontaire, ou imposé par la règlementation, des entreprises pétrolières pour couvrir la réparation de dommages accidentels ou des entreprises minières pour la restauration du site à la clôture de l’exploitation.</w:t>
      </w:r>
      <w:r w:rsidR="004533D6">
        <w:rPr>
          <w:rFonts w:ascii="Times New Roman" w:eastAsia="Times New Roman" w:hAnsi="Times New Roman"/>
          <w:sz w:val="22"/>
        </w:rPr>
        <w:t xml:space="preserve">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Si l’étude d’impact environnemental du projet est le cadre d’identification des besoins de compensation et si le plan de gestion environnemental, décrivant les actions de remédiation, est le cadre de mise en œuvre des mesures compensatoires ; la compensation porte ici sur des éléments de biodiversité mesurables « en nature » et non pas sur la perte de la valeur des services écosystémiques entraînée par le projet. Significativement, le coût de la compensation n’est pas celle de valeur des services écosystémiques mais le coût de la restauration des milieux ou de leur mise en conservation (i.e. les coûts de leur gestion active et les coûts d’opportunité qu’entraînent les restrictions d’usage).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Inscrite en dernier recours dans la séquence « éviter, réduire, restaurer, compenser », la compensation est envisagée comme un mécanisme incitatif qui, en donnant un coût élevé à la destruction de la biodiversité, est supposé conduire les maîtres d’ouvrage à éviter et réduire leurs impacts en amont. Dans la pratique, l’incitation est limitée pour les multinationale qui ont les moyens de payer. Il revient donc au législateur définir ce qui est compensable de ce qui ne l’est pas et aux pouvoirs publics de faire appliquer ces lignes rouges dans les processus de décision.</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3" w:name="_Toc464228812"/>
      <w:bookmarkStart w:id="84" w:name="_Toc498638421"/>
      <w:r w:rsidRPr="00743B0B">
        <w:rPr>
          <w:rFonts w:eastAsia="MS Gothic"/>
          <w:b/>
          <w:bCs/>
          <w:color w:val="4F81BD"/>
          <w:sz w:val="26"/>
          <w:szCs w:val="26"/>
          <w:lang w:eastAsia="fr-FR"/>
        </w:rPr>
        <w:t>IV.2. La mise en œuvre du principe de compensation</w:t>
      </w:r>
      <w:bookmarkEnd w:id="83"/>
      <w:bookmarkEnd w:id="84"/>
    </w:p>
    <w:p w:rsidR="00743B0B" w:rsidRPr="00743B0B" w:rsidRDefault="00F12E0C"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Échelle</w:t>
      </w:r>
      <w:r w:rsidR="00743B0B" w:rsidRPr="00743B0B">
        <w:rPr>
          <w:rFonts w:ascii="Times New Roman" w:eastAsia="Times New Roman" w:hAnsi="Times New Roman"/>
          <w:i/>
          <w:sz w:val="22"/>
        </w:rPr>
        <w:t xml:space="preserve"> de mise en œuvre</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La compensation est inscrite dans la réglementation à l’échelle ou sein d’une cinquantaine de pays, principalement industrialisés et émergents (TBC, 2013), dans le cadre des études d’impact environnemental. Elle est obligatoire dans une vingtaine d’entre eux.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Lancées au début des années 1970 aux </w:t>
      </w:r>
      <w:r w:rsidR="00F12E0C" w:rsidRPr="00743B0B">
        <w:rPr>
          <w:rFonts w:ascii="Times New Roman" w:eastAsia="Times New Roman" w:hAnsi="Times New Roman"/>
          <w:sz w:val="22"/>
        </w:rPr>
        <w:t>États-Unis</w:t>
      </w:r>
      <w:r w:rsidRPr="00743B0B">
        <w:rPr>
          <w:rFonts w:ascii="Times New Roman" w:eastAsia="Times New Roman" w:hAnsi="Times New Roman"/>
          <w:sz w:val="22"/>
        </w:rPr>
        <w:t xml:space="preserve">, les banques de compensation (espèces et habitats) se sont multipliées à partir des années 1990 du fait d’une régulation accrue. Elles ont essaimé dans le monde anglo-saxon et en Europe mais demeurent au stade expérimental dans de nombreux pays. </w:t>
      </w:r>
    </w:p>
    <w:p w:rsidR="00743B0B" w:rsidRPr="00743B0B" w:rsidRDefault="00743B0B" w:rsidP="00743B0B">
      <w:pPr>
        <w:spacing w:before="120" w:after="100"/>
        <w:ind w:left="221"/>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rPr>
      </w:pPr>
      <w:r w:rsidRPr="00743B0B">
        <w:rPr>
          <w:rFonts w:ascii="Times New Roman" w:eastAsia="Times New Roman" w:hAnsi="Times New Roman"/>
          <w:i/>
        </w:rPr>
        <w:t>Fig. X</w:t>
      </w:r>
      <w:r w:rsidRPr="00743B0B">
        <w:rPr>
          <w:rFonts w:ascii="Times New Roman" w:eastAsia="Times New Roman" w:hAnsi="Times New Roman"/>
          <w:i/>
        </w:rPr>
        <w:tab/>
        <w:t>La pratique de la compensation dans le monde (CDC-Biodiversité 2015)</w:t>
      </w:r>
    </w:p>
    <w:p w:rsidR="00743B0B" w:rsidRPr="00743B0B" w:rsidRDefault="00743B0B" w:rsidP="00743B0B">
      <w:pPr>
        <w:spacing w:before="120"/>
        <w:ind w:left="221"/>
        <w:rPr>
          <w:rFonts w:ascii="Times New Roman" w:eastAsia="Times New Roman" w:hAnsi="Times New Roman"/>
        </w:rPr>
      </w:pPr>
      <w:r w:rsidRPr="00743B0B">
        <w:rPr>
          <w:rFonts w:ascii="Times New Roman" w:eastAsia="Times New Roman" w:hAnsi="Times New Roman"/>
          <w:noProof/>
          <w:lang w:eastAsia="fr-FR"/>
        </w:rPr>
        <w:drawing>
          <wp:inline distT="0" distB="0" distL="0" distR="0" wp14:anchorId="15A57E19" wp14:editId="08E33A82">
            <wp:extent cx="5759450" cy="3978668"/>
            <wp:effectExtent l="0" t="0" r="0" b="0"/>
            <wp:docPr id="106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59450" cy="3978668"/>
                    </a:xfrm>
                    <a:prstGeom prst="rect">
                      <a:avLst/>
                    </a:prstGeom>
                    <a:noFill/>
                    <a:ln>
                      <a:noFill/>
                    </a:ln>
                  </pic:spPr>
                </pic:pic>
              </a:graphicData>
            </a:graphic>
          </wp:inline>
        </w:drawing>
      </w:r>
    </w:p>
    <w:p w:rsidR="00743B0B" w:rsidRPr="00743B0B" w:rsidRDefault="00743B0B" w:rsidP="00743B0B">
      <w:pPr>
        <w:spacing w:before="120" w:after="100"/>
        <w:ind w:left="221"/>
        <w:rPr>
          <w:rFonts w:ascii="Times New Roman" w:eastAsia="Times New Roman" w:hAnsi="Times New Roman"/>
          <w:i/>
          <w:sz w:val="22"/>
        </w:rPr>
      </w:pPr>
      <w:r w:rsidRPr="00743B0B">
        <w:rPr>
          <w:rFonts w:ascii="Times New Roman" w:eastAsia="Times New Roman" w:hAnsi="Times New Roman"/>
          <w:i/>
          <w:sz w:val="22"/>
        </w:rPr>
        <w:t>Potentiel de mobilisation de ressources</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Dans sa mise à jour de 2011 des « marchés de la biodiversité », </w:t>
      </w:r>
      <w:r w:rsidRPr="00743B0B">
        <w:rPr>
          <w:rFonts w:ascii="Times New Roman" w:eastAsia="Times New Roman" w:hAnsi="Times New Roman"/>
          <w:i/>
          <w:sz w:val="22"/>
        </w:rPr>
        <w:t>Ecosystem Marketplace</w:t>
      </w:r>
      <w:r w:rsidRPr="00743B0B">
        <w:rPr>
          <w:rFonts w:ascii="Times New Roman" w:eastAsia="Times New Roman" w:hAnsi="Times New Roman"/>
          <w:sz w:val="22"/>
        </w:rPr>
        <w:t xml:space="preserve"> identifiait 45 programmes en activité sur 19 pays au travers desquels la compensation mobiliserait </w:t>
      </w:r>
      <w:r w:rsidRPr="00743B0B">
        <w:rPr>
          <w:rFonts w:ascii="Times New Roman" w:eastAsia="Times New Roman" w:hAnsi="Times New Roman"/>
          <w:b/>
          <w:sz w:val="22"/>
        </w:rPr>
        <w:t>$3,2 Md/an</w:t>
      </w:r>
      <w:r w:rsidRPr="00743B0B">
        <w:rPr>
          <w:rFonts w:ascii="Times New Roman" w:eastAsia="Times New Roman" w:hAnsi="Times New Roman"/>
          <w:sz w:val="22"/>
        </w:rPr>
        <w:t xml:space="preserve"> (entre $2,4 et 4 Md/an, pour moitié aux </w:t>
      </w:r>
      <w:r w:rsidR="003B7D35" w:rsidRPr="00743B0B">
        <w:rPr>
          <w:rFonts w:ascii="Times New Roman" w:eastAsia="Times New Roman" w:hAnsi="Times New Roman"/>
          <w:sz w:val="22"/>
        </w:rPr>
        <w:t>États-Unis</w:t>
      </w:r>
      <w:r w:rsidRPr="00743B0B">
        <w:rPr>
          <w:rFonts w:ascii="Times New Roman" w:eastAsia="Times New Roman" w:hAnsi="Times New Roman"/>
          <w:sz w:val="22"/>
        </w:rPr>
        <w:t>) sur plus de 187 000 hectares (des chiffres à considérer avec précaution faute de transparence des transactions) et identifiait 27 autres programmes alors en préparation. Sur l’hypothèse basse d’une croissance annuelle du marché de 5</w:t>
      </w:r>
      <w:r w:rsidR="00A72504">
        <w:rPr>
          <w:rFonts w:ascii="Times New Roman" w:eastAsia="Times New Roman" w:hAnsi="Times New Roman"/>
          <w:sz w:val="22"/>
        </w:rPr>
        <w:t> %</w:t>
      </w:r>
      <w:r w:rsidRPr="00743B0B">
        <w:rPr>
          <w:rFonts w:ascii="Times New Roman" w:eastAsia="Times New Roman" w:hAnsi="Times New Roman"/>
          <w:sz w:val="22"/>
        </w:rPr>
        <w:t xml:space="preserve"> (tendance historique), les ressources mobilisées atteindraient entre $5 et 8 Md/an en 2020 (avec un potentiel estimé à </w:t>
      </w:r>
      <w:r w:rsidRPr="00743B0B">
        <w:rPr>
          <w:rFonts w:ascii="Times New Roman" w:eastAsia="Times New Roman" w:hAnsi="Times New Roman"/>
          <w:b/>
          <w:sz w:val="22"/>
        </w:rPr>
        <w:t>$70 millions</w:t>
      </w:r>
      <w:r w:rsidRPr="00743B0B">
        <w:rPr>
          <w:rFonts w:ascii="Times New Roman" w:eastAsia="Times New Roman" w:hAnsi="Times New Roman"/>
          <w:sz w:val="22"/>
        </w:rPr>
        <w:t>, la compensation volontaire occupe une place relativement marginale et difficile à évaluer en l’absence totale d’obligation d’information). Un développement du marché européen comparable à celui du marché américain conduit à envisager une valeur globale conservatrice de $</w:t>
      </w:r>
      <w:r w:rsidRPr="00743B0B">
        <w:rPr>
          <w:rFonts w:ascii="Times New Roman" w:eastAsia="Times New Roman" w:hAnsi="Times New Roman"/>
          <w:b/>
          <w:sz w:val="22"/>
        </w:rPr>
        <w:t>10 Md/an en 2020</w:t>
      </w:r>
      <w:r w:rsidRPr="00743B0B">
        <w:rPr>
          <w:rFonts w:ascii="Times New Roman" w:eastAsia="Times New Roman" w:hAnsi="Times New Roman"/>
          <w:sz w:val="22"/>
        </w:rPr>
        <w:t>.</w:t>
      </w:r>
    </w:p>
    <w:p w:rsidR="00743B0B" w:rsidRPr="00743B0B" w:rsidRDefault="00743B0B" w:rsidP="00743B0B">
      <w:pPr>
        <w:spacing w:before="120" w:after="100"/>
        <w:rPr>
          <w:rFonts w:ascii="Times New Roman" w:eastAsia="Times New Roman" w:hAnsi="Times New Roman"/>
          <w:sz w:val="22"/>
        </w:rPr>
      </w:pPr>
    </w:p>
    <w:p w:rsidR="00743B0B" w:rsidRPr="00743B0B" w:rsidRDefault="00743B0B"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La compensation volontaire</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Les initiatives de compensation des atteintes à la biodiversité ne se limitent pas aujourd’hui à la stricte application d’un cadre réglementaire. Certaines ambitionnent d’en pallier les manques ou d’anticiper son évolution pour des motifs opérationnels ou d’image. Les incitations à investir dans la compensation volontaire des atteintes à la biodiversité de leurs projets sont multiples (Darbi, 2010)</w:t>
      </w:r>
      <w:r w:rsidR="002575A2">
        <w:rPr>
          <w:rFonts w:ascii="Times New Roman" w:eastAsia="Times New Roman" w:hAnsi="Times New Roman"/>
          <w:sz w:val="22"/>
        </w:rPr>
        <w:t>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f</w:t>
      </w:r>
      <w:r w:rsidR="00743B0B" w:rsidRPr="00743B0B">
        <w:rPr>
          <w:rFonts w:ascii="Times New Roman" w:eastAsia="Times New Roman" w:hAnsi="Times New Roman"/>
          <w:b/>
          <w:sz w:val="22"/>
        </w:rPr>
        <w:t>aciliter l’accès aux territoires et aux ressources</w:t>
      </w:r>
      <w:r w:rsidR="00743B0B" w:rsidRPr="00743B0B">
        <w:rPr>
          <w:rFonts w:ascii="Times New Roman" w:eastAsia="Times New Roman" w:hAnsi="Times New Roman"/>
          <w:sz w:val="22"/>
        </w:rPr>
        <w:t xml:space="preserve"> (</w:t>
      </w:r>
      <w:r w:rsidR="00743B0B" w:rsidRPr="00743B0B">
        <w:rPr>
          <w:rFonts w:ascii="Times New Roman" w:eastAsia="Times New Roman" w:hAnsi="Times New Roman"/>
          <w:i/>
          <w:sz w:val="22"/>
        </w:rPr>
        <w:t>license to operate</w:t>
      </w:r>
      <w:r w:rsidR="00743B0B" w:rsidRPr="00743B0B">
        <w:rPr>
          <w:rFonts w:ascii="Times New Roman" w:eastAsia="Times New Roman" w:hAnsi="Times New Roman"/>
          <w:sz w:val="22"/>
        </w:rPr>
        <w:t>)</w:t>
      </w:r>
      <w:r w:rsidR="002575A2">
        <w:rPr>
          <w:rFonts w:ascii="Times New Roman" w:eastAsia="Times New Roman" w:hAnsi="Times New Roman"/>
          <w:sz w:val="22"/>
        </w:rPr>
        <w:t> :</w:t>
      </w:r>
      <w:r w:rsidR="00743B0B" w:rsidRPr="00743B0B">
        <w:rPr>
          <w:rFonts w:ascii="Times New Roman" w:eastAsia="Times New Roman" w:hAnsi="Times New Roman"/>
          <w:sz w:val="22"/>
        </w:rPr>
        <w:t xml:space="preserve"> accélérer l’obtention des autorisations administratives mais aussi influer sur l’élaboration de la politique et de la réglementation environnementale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érer le risque de réputation</w:t>
      </w:r>
      <w:r w:rsidR="00743B0B" w:rsidRPr="00743B0B">
        <w:rPr>
          <w:rFonts w:ascii="Times New Roman" w:eastAsia="Times New Roman" w:hAnsi="Times New Roman"/>
          <w:sz w:val="22"/>
        </w:rPr>
        <w:t xml:space="preserve"> du projet en renforçant son acceptabilité auprès des différentes catégories de parties prenantes (</w:t>
      </w:r>
      <w:r w:rsidR="00743B0B" w:rsidRPr="00743B0B">
        <w:rPr>
          <w:rFonts w:ascii="Times New Roman" w:eastAsia="Times New Roman" w:hAnsi="Times New Roman"/>
          <w:i/>
          <w:sz w:val="22"/>
        </w:rPr>
        <w:t>social license to operate</w:t>
      </w:r>
      <w:r w:rsidR="00743B0B" w:rsidRPr="00743B0B">
        <w:rPr>
          <w:rFonts w:ascii="Times New Roman" w:eastAsia="Times New Roman" w:hAnsi="Times New Roman"/>
          <w:sz w:val="22"/>
        </w:rPr>
        <w:t>)</w:t>
      </w:r>
      <w:r w:rsidR="002575A2">
        <w:rPr>
          <w:rFonts w:ascii="Times New Roman" w:eastAsia="Times New Roman" w:hAnsi="Times New Roman"/>
          <w:sz w:val="22"/>
        </w:rPr>
        <w:t> :</w:t>
      </w:r>
      <w:r w:rsidR="00743B0B" w:rsidRPr="00743B0B">
        <w:rPr>
          <w:rFonts w:ascii="Times New Roman" w:eastAsia="Times New Roman" w:hAnsi="Times New Roman"/>
          <w:sz w:val="22"/>
        </w:rPr>
        <w:t xml:space="preserve"> communautés locales, régulateurs, société civile, fournisseurs et consommateurs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a</w:t>
      </w:r>
      <w:r w:rsidR="00743B0B" w:rsidRPr="00743B0B">
        <w:rPr>
          <w:rFonts w:ascii="Times New Roman" w:eastAsia="Times New Roman" w:hAnsi="Times New Roman"/>
          <w:b/>
          <w:sz w:val="22"/>
        </w:rPr>
        <w:t>ccéder au capital</w:t>
      </w:r>
      <w:r w:rsidR="00743B0B" w:rsidRPr="00743B0B">
        <w:rPr>
          <w:rFonts w:ascii="Times New Roman" w:eastAsia="Times New Roman" w:hAnsi="Times New Roman"/>
          <w:sz w:val="22"/>
        </w:rPr>
        <w:t xml:space="preserve"> en s’alignant sur le niveau d’exigence des standards des institutions financières et des bailleurs de fonds internationaux en matière de gestion des impacts sur la biodiversité des projets qu’ils financent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agner en efficacité</w:t>
      </w:r>
      <w:r w:rsidR="00743B0B" w:rsidRPr="00743B0B">
        <w:rPr>
          <w:rFonts w:ascii="Times New Roman" w:eastAsia="Times New Roman" w:hAnsi="Times New Roman"/>
          <w:sz w:val="22"/>
        </w:rPr>
        <w:t xml:space="preserve"> dans la gestion des risques comme des actifs/passifs environnementaux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agner de nouveaux marchés</w:t>
      </w:r>
      <w:r w:rsidR="00743B0B" w:rsidRPr="00743B0B">
        <w:rPr>
          <w:rFonts w:ascii="Times New Roman" w:eastAsia="Times New Roman" w:hAnsi="Times New Roman"/>
          <w:sz w:val="22"/>
        </w:rPr>
        <w:t xml:space="preserve"> en étant précurseur dans un domaine auquel les investisseurs deviennent sensibles.</w:t>
      </w:r>
    </w:p>
    <w:p w:rsidR="00743B0B" w:rsidRPr="00743B0B" w:rsidRDefault="00743B0B" w:rsidP="00743B0B">
      <w:pPr>
        <w:spacing w:before="120" w:after="100"/>
        <w:rPr>
          <w:rFonts w:ascii="Times New Roman" w:eastAsia="Times New Roman" w:hAnsi="Times New Roman"/>
          <w:sz w:val="22"/>
        </w:rPr>
      </w:pPr>
    </w:p>
    <w:p w:rsidR="00743B0B" w:rsidRPr="00743B0B" w:rsidRDefault="00743B0B"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Standardisation</w:t>
      </w:r>
      <w:r w:rsidR="002575A2">
        <w:rPr>
          <w:rFonts w:ascii="Times New Roman" w:eastAsia="Times New Roman" w:hAnsi="Times New Roman"/>
          <w:i/>
          <w:sz w:val="22"/>
        </w:rPr>
        <w:t> :</w:t>
      </w:r>
      <w:r w:rsidRPr="00743B0B">
        <w:rPr>
          <w:rFonts w:ascii="Times New Roman" w:eastAsia="Times New Roman" w:hAnsi="Times New Roman"/>
          <w:i/>
          <w:sz w:val="22"/>
        </w:rPr>
        <w:t xml:space="preserve"> la plateforme BBOP</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eastAsia="Times New Roman" w:hAnsi="Times New Roman"/>
          <w:sz w:val="22"/>
        </w:rPr>
        <w:t xml:space="preserve">Animé par les ONG Forest Trends et Wildlife Conservation Society (WCS), le </w:t>
      </w:r>
      <w:hyperlink r:id="rId38" w:history="1">
        <w:r w:rsidRPr="00743B0B">
          <w:rPr>
            <w:rFonts w:ascii="Times New Roman" w:eastAsia="Times New Roman" w:hAnsi="Times New Roman"/>
            <w:b/>
            <w:color w:val="0000FF"/>
            <w:sz w:val="22"/>
            <w:u w:val="single"/>
          </w:rPr>
          <w:t>Business and Biodiversity Offset Programme</w:t>
        </w:r>
      </w:hyperlink>
      <w:r w:rsidRPr="00743B0B">
        <w:rPr>
          <w:rFonts w:ascii="Times New Roman" w:eastAsia="Times New Roman" w:hAnsi="Times New Roman"/>
          <w:b/>
          <w:sz w:val="22"/>
        </w:rPr>
        <w:t xml:space="preserve"> (BBOP)</w:t>
      </w:r>
      <w:r w:rsidRPr="00743B0B">
        <w:rPr>
          <w:rFonts w:ascii="Times New Roman" w:eastAsia="Times New Roman" w:hAnsi="Times New Roman"/>
          <w:sz w:val="22"/>
        </w:rPr>
        <w:t xml:space="preserve"> est une initiative lancée en 2004 de promotion des « bonnes pratiques » pour la réalisation d’un objectif de « non perte nette de biodiversité » par la mise en œuvre de la « hiérarchie d’atténuation d’impacts » au travers de l’établissement de lignes directrices, de méthodologies et d’un standard sur la compensation. Il se définit lui-même comme une « communauté de pratiques » (plus de 80 membres) impliquant entreprises, sociétés de conseil, institutions financières, organisations de la société civile et gouvernement acceptant de partager leurs retours d’expérience, notamment autour des projets identifiés comme « pilotes BBOP ».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La première phase des travaux (2006-2009) a porté sur l’élaboration des 10 principes du standard</w:t>
      </w:r>
      <w:r w:rsidR="002575A2">
        <w:rPr>
          <w:rFonts w:ascii="Times New Roman" w:eastAsia="Times New Roman" w:hAnsi="Times New Roman"/>
          <w:sz w:val="22"/>
        </w:rPr>
        <w:t> :</w:t>
      </w:r>
      <w:r w:rsidRPr="00743B0B">
        <w:rPr>
          <w:rFonts w:ascii="Times New Roman" w:eastAsia="Times New Roman" w:hAnsi="Times New Roman"/>
          <w:sz w:val="22"/>
        </w:rPr>
        <w:t xml:space="preserve"> </w:t>
      </w:r>
    </w:p>
    <w:p w:rsidR="00743B0B" w:rsidRPr="00743B0B" w:rsidRDefault="005F4017" w:rsidP="00771667">
      <w:pPr>
        <w:numPr>
          <w:ilvl w:val="0"/>
          <w:numId w:val="71"/>
        </w:numPr>
        <w:spacing w:before="120" w:after="100"/>
        <w:contextualSpacing/>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bsence de perte nette ;</w:t>
      </w:r>
    </w:p>
    <w:p w:rsidR="00743B0B" w:rsidRPr="00F12E0C" w:rsidRDefault="005F4017"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a</w:t>
      </w:r>
      <w:r w:rsidR="00743B0B" w:rsidRPr="00F12E0C">
        <w:rPr>
          <w:rFonts w:ascii="Times New Roman" w:eastAsia="Times New Roman" w:hAnsi="Times New Roman"/>
          <w:sz w:val="22"/>
        </w:rPr>
        <w:t>dditionnalité des résultats de la conservation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r</w:t>
      </w:r>
      <w:r w:rsidR="00743B0B" w:rsidRPr="00F12E0C">
        <w:rPr>
          <w:rFonts w:ascii="Times New Roman" w:eastAsia="Times New Roman" w:hAnsi="Times New Roman"/>
          <w:sz w:val="22"/>
        </w:rPr>
        <w:t>espect de la séquence de l'atténuation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l</w:t>
      </w:r>
      <w:r w:rsidR="00743B0B" w:rsidRPr="00F12E0C">
        <w:rPr>
          <w:rFonts w:ascii="Times New Roman" w:eastAsia="Times New Roman" w:hAnsi="Times New Roman"/>
          <w:sz w:val="22"/>
        </w:rPr>
        <w:t>imites à ce qui peut être compensé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é</w:t>
      </w:r>
      <w:r w:rsidR="00743B0B" w:rsidRPr="00F12E0C">
        <w:rPr>
          <w:rFonts w:ascii="Times New Roman" w:eastAsia="Times New Roman" w:hAnsi="Times New Roman"/>
          <w:sz w:val="22"/>
        </w:rPr>
        <w:t>chelle territoriale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p</w:t>
      </w:r>
      <w:r w:rsidR="00743B0B" w:rsidRPr="00F12E0C">
        <w:rPr>
          <w:rFonts w:ascii="Times New Roman" w:eastAsia="Times New Roman" w:hAnsi="Times New Roman"/>
          <w:sz w:val="22"/>
        </w:rPr>
        <w:t>articipation des parties prenantes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é</w:t>
      </w:r>
      <w:r w:rsidR="00743B0B" w:rsidRPr="00F12E0C">
        <w:rPr>
          <w:rFonts w:ascii="Times New Roman" w:eastAsia="Times New Roman" w:hAnsi="Times New Roman"/>
          <w:sz w:val="22"/>
        </w:rPr>
        <w:t>quité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r</w:t>
      </w:r>
      <w:r w:rsidR="00743B0B" w:rsidRPr="00F12E0C">
        <w:rPr>
          <w:rFonts w:ascii="Times New Roman" w:eastAsia="Times New Roman" w:hAnsi="Times New Roman"/>
          <w:sz w:val="22"/>
        </w:rPr>
        <w:t>ésultats à long terme</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t</w:t>
      </w:r>
      <w:r w:rsidR="00743B0B" w:rsidRPr="00F12E0C">
        <w:rPr>
          <w:rFonts w:ascii="Times New Roman" w:eastAsia="Times New Roman" w:hAnsi="Times New Roman"/>
          <w:sz w:val="22"/>
        </w:rPr>
        <w:t>ransparence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s</w:t>
      </w:r>
      <w:r w:rsidR="00743B0B" w:rsidRPr="00F12E0C">
        <w:rPr>
          <w:rFonts w:ascii="Times New Roman" w:eastAsia="Times New Roman" w:hAnsi="Times New Roman"/>
          <w:sz w:val="22"/>
        </w:rPr>
        <w:t xml:space="preserve">cience et savoirs traditionnels. </w:t>
      </w:r>
    </w:p>
    <w:p w:rsidR="00E52F39" w:rsidRPr="00F12E0C" w:rsidRDefault="00E52F39" w:rsidP="00E52F39">
      <w:pPr>
        <w:spacing w:before="120" w:after="100"/>
        <w:contextualSpacing/>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sz w:val="22"/>
        </w:rPr>
      </w:pPr>
      <w:r w:rsidRPr="00F12E0C">
        <w:rPr>
          <w:rFonts w:ascii="Times New Roman" w:eastAsia="Times New Roman" w:hAnsi="Times New Roman"/>
          <w:sz w:val="22"/>
        </w:rPr>
        <w:t>La seconde phase des travaux (2009-2012) a permis l’élaboration des critères et indicateurs du standard et des documents d’accompagnement. S’inspirant du modèle des PCI utilisé pour l’élaboration de standards de gestion ou de production</w:t>
      </w:r>
      <w:r w:rsidRPr="00743B0B">
        <w:rPr>
          <w:rFonts w:ascii="Times New Roman" w:eastAsia="Times New Roman" w:hAnsi="Times New Roman"/>
          <w:sz w:val="22"/>
        </w:rPr>
        <w:t xml:space="preserve"> durable, le </w:t>
      </w:r>
      <w:hyperlink r:id="rId39" w:history="1">
        <w:r w:rsidRPr="00743B0B">
          <w:rPr>
            <w:rFonts w:ascii="Times New Roman" w:eastAsia="Times New Roman" w:hAnsi="Times New Roman"/>
            <w:color w:val="0000FF"/>
            <w:sz w:val="22"/>
            <w:u w:val="single"/>
          </w:rPr>
          <w:t>standard</w:t>
        </w:r>
      </w:hyperlink>
      <w:r w:rsidRPr="00743B0B">
        <w:rPr>
          <w:rFonts w:ascii="Times New Roman" w:eastAsia="Times New Roman" w:hAnsi="Times New Roman"/>
          <w:sz w:val="22"/>
        </w:rPr>
        <w:t xml:space="preserve"> du BBOP pourrait à terme servir à la certification des initiatives d’atténuation des impacts sur la biodiversité.</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Selon la </w:t>
      </w:r>
      <w:hyperlink r:id="rId40" w:history="1">
        <w:r w:rsidRPr="00743B0B">
          <w:rPr>
            <w:rFonts w:ascii="Times New Roman" w:eastAsia="Times New Roman" w:hAnsi="Times New Roman"/>
            <w:color w:val="0000FF"/>
            <w:sz w:val="22"/>
            <w:u w:val="single"/>
          </w:rPr>
          <w:t>stratégie révisée</w:t>
        </w:r>
      </w:hyperlink>
      <w:r w:rsidRPr="00743B0B">
        <w:rPr>
          <w:rFonts w:ascii="Times New Roman" w:eastAsia="Times New Roman" w:hAnsi="Times New Roman"/>
          <w:sz w:val="22"/>
        </w:rPr>
        <w:t xml:space="preserve"> en janvier 2016, la priorité est aujourd’hui au développement de feuilles de route pour les entreprises et les gouvernements, à la vulgarisation des concepts de compensation, à la diffusion d’études de cas, à la formation, à l’appui enfin aux études de faisabilité incluant la compensation dans les plans de gestion environnementaux (BBOP, 2016).</w:t>
      </w:r>
    </w:p>
    <w:p w:rsidR="00743B0B" w:rsidRPr="00743B0B" w:rsidRDefault="00743B0B" w:rsidP="00743B0B">
      <w:pPr>
        <w:keepNext/>
        <w:keepLines/>
        <w:spacing w:before="200" w:after="0"/>
        <w:jc w:val="left"/>
        <w:outlineLvl w:val="1"/>
        <w:rPr>
          <w:rFonts w:eastAsia="MS Gothic"/>
          <w:b/>
          <w:bCs/>
          <w:color w:val="4F81BD"/>
          <w:sz w:val="26"/>
          <w:szCs w:val="26"/>
          <w:lang w:eastAsia="fr-FR"/>
        </w:r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85" w:name="_Toc498638422"/>
      <w:r w:rsidRPr="00743B0B">
        <w:rPr>
          <w:rFonts w:ascii="Century Gothic" w:hAnsi="Century Gothic"/>
          <w:b/>
          <w:smallCaps/>
          <w:spacing w:val="-2"/>
          <w:sz w:val="28"/>
          <w:szCs w:val="20"/>
        </w:rPr>
        <w:t>V. PSE Carbone REDD+</w:t>
      </w:r>
      <w:bookmarkEnd w:id="85"/>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6" w:name="_Toc464228815"/>
      <w:bookmarkStart w:id="87" w:name="_Toc498638423"/>
      <w:r w:rsidRPr="00743B0B">
        <w:rPr>
          <w:rFonts w:eastAsia="MS Gothic"/>
          <w:b/>
          <w:bCs/>
          <w:color w:val="4F81BD"/>
          <w:sz w:val="26"/>
          <w:szCs w:val="26"/>
          <w:lang w:eastAsia="fr-FR"/>
        </w:rPr>
        <w:t>V.1. La théorie des PSE à l’épreuve</w:t>
      </w:r>
      <w:r w:rsidR="002575A2">
        <w:rPr>
          <w:rFonts w:eastAsia="MS Gothic"/>
          <w:b/>
          <w:bCs/>
          <w:color w:val="4F81BD"/>
          <w:sz w:val="26"/>
          <w:szCs w:val="26"/>
          <w:lang w:eastAsia="fr-FR"/>
        </w:rPr>
        <w:t> :</w:t>
      </w:r>
      <w:r w:rsidRPr="00743B0B">
        <w:rPr>
          <w:rFonts w:eastAsia="MS Gothic"/>
          <w:b/>
          <w:bCs/>
          <w:color w:val="4F81BD"/>
          <w:sz w:val="26"/>
          <w:szCs w:val="26"/>
          <w:lang w:eastAsia="fr-FR"/>
        </w:rPr>
        <w:t xml:space="preserve"> un continuum de pratiques</w:t>
      </w:r>
      <w:bookmarkEnd w:id="86"/>
      <w:bookmarkEnd w:id="87"/>
    </w:p>
    <w:p w:rsidR="00743B0B" w:rsidRPr="00743B0B" w:rsidRDefault="00743B0B" w:rsidP="00743B0B">
      <w:pPr>
        <w:rPr>
          <w:sz w:val="22"/>
        </w:rPr>
      </w:pPr>
    </w:p>
    <w:p w:rsidR="00743B0B" w:rsidRPr="00743B0B" w:rsidRDefault="00743B0B" w:rsidP="00743B0B">
      <w:pPr>
        <w:rPr>
          <w:b/>
          <w:sz w:val="22"/>
          <w:u w:val="single"/>
        </w:rPr>
      </w:pPr>
      <w:r w:rsidRPr="00743B0B">
        <w:rPr>
          <w:b/>
          <w:sz w:val="22"/>
          <w:u w:val="single"/>
        </w:rPr>
        <w:t>Les services écosystémiques / services environnementaux</w:t>
      </w:r>
    </w:p>
    <w:p w:rsidR="00743B0B" w:rsidRPr="00743B0B" w:rsidRDefault="00743B0B" w:rsidP="00743B0B">
      <w:pPr>
        <w:rPr>
          <w:b/>
          <w:sz w:val="22"/>
          <w:u w:val="single"/>
        </w:rPr>
      </w:pPr>
    </w:p>
    <w:p w:rsidR="00743B0B" w:rsidRPr="00743B0B" w:rsidRDefault="00743B0B" w:rsidP="00743B0B">
      <w:pPr>
        <w:ind w:firstLine="708"/>
        <w:rPr>
          <w:rFonts w:ascii="Times New Roman" w:hAnsi="Times New Roman"/>
          <w:sz w:val="22"/>
        </w:rPr>
      </w:pPr>
      <w:r w:rsidRPr="00743B0B">
        <w:rPr>
          <w:rFonts w:ascii="Times New Roman" w:hAnsi="Times New Roman"/>
          <w:sz w:val="22"/>
        </w:rPr>
        <w:t>D’après le Rapport sur « L’évaluation des écosystèmes pour le Millénaire » (</w:t>
      </w:r>
      <w:r w:rsidRPr="00743B0B">
        <w:rPr>
          <w:rFonts w:ascii="Times New Roman" w:hAnsi="Times New Roman"/>
          <w:i/>
          <w:sz w:val="22"/>
        </w:rPr>
        <w:t>Millennium Ecosystem Assessment</w:t>
      </w:r>
      <w:r w:rsidRPr="00743B0B">
        <w:rPr>
          <w:rFonts w:ascii="Times New Roman" w:hAnsi="Times New Roman"/>
          <w:sz w:val="22"/>
        </w:rPr>
        <w:t>, MEA, 2003), les services écosystémiques sont considérés comme « les bienfaits que les écosystèmes procurent aux êtres humains » et peuvent êtes classés en quatre catégories (cf. Fig. X).</w:t>
      </w:r>
    </w:p>
    <w:p w:rsidR="00743B0B" w:rsidRPr="00743B0B" w:rsidRDefault="00743B0B" w:rsidP="00743B0B">
      <w:pPr>
        <w:ind w:firstLine="708"/>
        <w:rPr>
          <w:rFonts w:ascii="Times New Roman" w:hAnsi="Times New Roman"/>
          <w:sz w:val="22"/>
        </w:rPr>
      </w:pPr>
    </w:p>
    <w:p w:rsidR="00743B0B" w:rsidRPr="00743B0B" w:rsidRDefault="00743B0B" w:rsidP="00743B0B">
      <w:pPr>
        <w:spacing w:after="100"/>
        <w:rPr>
          <w:rFonts w:ascii="Times New Roman" w:hAnsi="Times New Roman"/>
          <w:i/>
        </w:rPr>
      </w:pPr>
      <w:r w:rsidRPr="00743B0B">
        <w:rPr>
          <w:rFonts w:ascii="Times New Roman" w:hAnsi="Times New Roman"/>
          <w:i/>
        </w:rPr>
        <w:t>Fig. X</w:t>
      </w:r>
      <w:r w:rsidRPr="00743B0B">
        <w:rPr>
          <w:rFonts w:ascii="Times New Roman" w:hAnsi="Times New Roman"/>
          <w:i/>
        </w:rPr>
        <w:tab/>
        <w:t>Typologie des services écosystémiques (adapté du MEA 2003, FAO 2007)</w:t>
      </w:r>
    </w:p>
    <w:p w:rsidR="00743B0B" w:rsidRPr="00743B0B" w:rsidRDefault="00743B0B" w:rsidP="00743B0B">
      <w:pPr>
        <w:jc w:val="center"/>
      </w:pPr>
      <w:r w:rsidRPr="00743B0B">
        <w:rPr>
          <w:noProof/>
          <w:lang w:eastAsia="fr-FR"/>
        </w:rPr>
        <w:drawing>
          <wp:inline distT="0" distB="0" distL="0" distR="0" wp14:anchorId="10485443" wp14:editId="41D5494F">
            <wp:extent cx="3962400" cy="2694051"/>
            <wp:effectExtent l="0" t="0" r="0" b="0"/>
            <wp:docPr id="1062"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965626" cy="2696244"/>
                    </a:xfrm>
                    <a:prstGeom prst="rect">
                      <a:avLst/>
                    </a:prstGeom>
                    <a:noFill/>
                    <a:ln>
                      <a:noFill/>
                    </a:ln>
                  </pic:spPr>
                </pic:pic>
              </a:graphicData>
            </a:graphic>
          </wp:inline>
        </w:drawing>
      </w:r>
    </w:p>
    <w:p w:rsidR="00743B0B" w:rsidRPr="00743B0B" w:rsidRDefault="00743B0B" w:rsidP="00743B0B">
      <w:pPr>
        <w:ind w:firstLine="708"/>
        <w:rPr>
          <w:rFonts w:ascii="Times New Roman" w:hAnsi="Times New Roman"/>
          <w:sz w:val="22"/>
        </w:rPr>
      </w:pPr>
      <w:r w:rsidRPr="00743B0B">
        <w:rPr>
          <w:rFonts w:ascii="Times New Roman" w:hAnsi="Times New Roman"/>
          <w:sz w:val="22"/>
        </w:rPr>
        <w:t>Pour les services écosystémiques qui sont lié à un régime spécifique de mise en valeur de l’espace et des ressources par leurs usagers, ces services constituent des externalités positives</w:t>
      </w:r>
      <w:r w:rsidR="002575A2">
        <w:rPr>
          <w:rFonts w:ascii="Times New Roman" w:hAnsi="Times New Roman"/>
          <w:sz w:val="22"/>
        </w:rPr>
        <w:t> :</w:t>
      </w:r>
      <w:r w:rsidRPr="00743B0B">
        <w:rPr>
          <w:rFonts w:ascii="Times New Roman" w:hAnsi="Times New Roman"/>
          <w:sz w:val="22"/>
        </w:rPr>
        <w:t xml:space="preserve"> elles ne relèvent pas d’un échange marchand ni même d’un contrat. Ne pas déboiser ou planter des arbres, améliorant la captation du carbone, sera bénéfique à l’ensemble de la population mondiale. Il en est de même du cas des agriculteurs usagers des terres en amont qui utilisent moins de produits polluants, ce qui rend moins coûteuse le traitement de l’eau potable en aval.</w:t>
      </w:r>
    </w:p>
    <w:p w:rsidR="00743B0B" w:rsidRPr="00743B0B" w:rsidRDefault="00743B0B" w:rsidP="00743B0B">
      <w:pPr>
        <w:rPr>
          <w:rFonts w:ascii="Times New Roman" w:hAnsi="Times New Roman"/>
          <w:sz w:val="22"/>
        </w:rPr>
      </w:pPr>
      <w:r w:rsidRPr="00743B0B">
        <w:rPr>
          <w:rFonts w:ascii="Times New Roman" w:hAnsi="Times New Roman"/>
          <w:sz w:val="22"/>
        </w:rPr>
        <w:t>A l’inverse, certains modes de gestion non durable des ressources affecteront la production de ce service, ce sont des externalités négatives. Elles ont un coût pour ceux qui les subissent sans qu’intervienne aucune compensation. Le changement de pratiques comme la restriction ou la suspension volontaire de ses droits d’usage (le service environnemental) ont cependant un coût d’opportunité (renonciation à des gains potentiels) et peuvent entraîner des coûts supplémentaires qu’il faudra compenser pour inciter au changement des pratiques. Les PSE proposent de compenser ces coûts</w:t>
      </w:r>
      <w:r w:rsidR="002575A2">
        <w:rPr>
          <w:rFonts w:ascii="Times New Roman" w:hAnsi="Times New Roman"/>
          <w:sz w:val="22"/>
        </w:rPr>
        <w:t> :</w:t>
      </w:r>
      <w:r w:rsidRPr="00743B0B">
        <w:rPr>
          <w:rFonts w:ascii="Times New Roman" w:hAnsi="Times New Roman"/>
          <w:sz w:val="22"/>
        </w:rPr>
        <w:t xml:space="preserve"> le bénéficiaire du service paye celui qui le fourni, c’est le « pollueur-payé ».</w:t>
      </w:r>
    </w:p>
    <w:p w:rsidR="00743B0B" w:rsidRPr="00743B0B" w:rsidRDefault="00743B0B" w:rsidP="00743B0B">
      <w:pPr>
        <w:rPr>
          <w:rFonts w:ascii="Times New Roman" w:hAnsi="Times New Roman"/>
          <w:sz w:val="22"/>
        </w:rPr>
      </w:pPr>
      <w:r w:rsidRPr="00743B0B">
        <w:rPr>
          <w:rFonts w:ascii="Times New Roman" w:hAnsi="Times New Roman"/>
          <w:sz w:val="22"/>
        </w:rPr>
        <w:t xml:space="preserve">La contractualisation (entre usagers et bénéficiaires) et la conditionnalité (paiement au résultat) sont au principe du dispositif de PSE. Ces principes constituent une rupture par rapport aux pratiques liées à la mise en œuvre des activités socio-économiques censées encourager indirectement la conservation/restauration (cas des PCDI – Programme de conservation et de développement intégré – ou des initiatives de mise en place d’activités génératrices de revenu dans le cadre des transferts de gestion aux communautés locales). </w:t>
      </w:r>
    </w:p>
    <w:p w:rsidR="00743B0B" w:rsidRPr="00743B0B" w:rsidRDefault="00743B0B" w:rsidP="00743B0B">
      <w:pPr>
        <w:rPr>
          <w:i/>
          <w:sz w:val="22"/>
        </w:rPr>
      </w:pPr>
    </w:p>
    <w:p w:rsidR="00743B0B" w:rsidRPr="00743B0B" w:rsidRDefault="00743B0B" w:rsidP="00743B0B">
      <w:pPr>
        <w:rPr>
          <w:i/>
          <w:sz w:val="22"/>
        </w:rPr>
      </w:pPr>
    </w:p>
    <w:p w:rsidR="00743B0B" w:rsidRPr="00743B0B" w:rsidRDefault="00384043" w:rsidP="00743B0B">
      <w:pPr>
        <w:rPr>
          <w:i/>
        </w:rPr>
      </w:pPr>
      <w:r>
        <w:rPr>
          <w:i/>
        </w:rPr>
        <w:t>Figure </w:t>
      </w:r>
      <w:r w:rsidR="00743B0B" w:rsidRPr="00743B0B">
        <w:rPr>
          <w:i/>
        </w:rPr>
        <w:t>X</w:t>
      </w:r>
      <w:r w:rsidR="00743B0B" w:rsidRPr="00743B0B">
        <w:rPr>
          <w:i/>
        </w:rPr>
        <w:tab/>
        <w:t>Position des PSE dans les instruments de politique publique (Laurans et al, 2011</w:t>
      </w:r>
      <w:r w:rsidR="002575A2">
        <w:rPr>
          <w:i/>
        </w:rPr>
        <w:t> :</w:t>
      </w:r>
      <w:r w:rsidR="00743B0B" w:rsidRPr="00743B0B">
        <w:rPr>
          <w:i/>
        </w:rPr>
        <w:t xml:space="preserve"> 30)</w:t>
      </w:r>
    </w:p>
    <w:p w:rsidR="00743B0B" w:rsidRPr="00743B0B" w:rsidRDefault="00743B0B" w:rsidP="00743B0B"/>
    <w:p w:rsidR="00743B0B" w:rsidRPr="00743B0B" w:rsidRDefault="00743B0B" w:rsidP="00743B0B">
      <w:r w:rsidRPr="00743B0B">
        <w:rPr>
          <w:noProof/>
          <w:lang w:eastAsia="fr-FR"/>
        </w:rPr>
        <w:drawing>
          <wp:inline distT="0" distB="0" distL="0" distR="0" wp14:anchorId="2E6A33AB" wp14:editId="3B4CE40A">
            <wp:extent cx="5759450" cy="4784090"/>
            <wp:effectExtent l="0" t="0" r="0" b="0"/>
            <wp:docPr id="10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59450" cy="4784090"/>
                    </a:xfrm>
                    <a:prstGeom prst="rect">
                      <a:avLst/>
                    </a:prstGeom>
                  </pic:spPr>
                </pic:pic>
              </a:graphicData>
            </a:graphic>
          </wp:inline>
        </w:drawing>
      </w:r>
    </w:p>
    <w:p w:rsidR="00743B0B" w:rsidRPr="00743B0B" w:rsidRDefault="00743B0B" w:rsidP="00743B0B"/>
    <w:p w:rsidR="00743B0B" w:rsidRPr="00743B0B" w:rsidRDefault="00384043" w:rsidP="00743B0B">
      <w:pPr>
        <w:rPr>
          <w:i/>
        </w:rPr>
      </w:pPr>
      <w:r>
        <w:rPr>
          <w:i/>
        </w:rPr>
        <w:t>Figure </w:t>
      </w:r>
      <w:r w:rsidR="00743B0B" w:rsidRPr="00743B0B">
        <w:rPr>
          <w:i/>
        </w:rPr>
        <w:t>X</w:t>
      </w:r>
      <w:r w:rsidR="00743B0B" w:rsidRPr="00743B0B">
        <w:rPr>
          <w:i/>
        </w:rPr>
        <w:tab/>
        <w:t>Positionnement des dispositifs de PSE (Laurans et al, 2011</w:t>
      </w:r>
      <w:r w:rsidR="002575A2">
        <w:rPr>
          <w:i/>
        </w:rPr>
        <w:t> :</w:t>
      </w:r>
      <w:r w:rsidR="00743B0B" w:rsidRPr="00743B0B">
        <w:rPr>
          <w:i/>
        </w:rPr>
        <w:t xml:space="preserve"> 26)</w:t>
      </w:r>
    </w:p>
    <w:p w:rsidR="00743B0B" w:rsidRPr="00743B0B" w:rsidRDefault="00743B0B" w:rsidP="00743B0B">
      <w:pPr>
        <w:jc w:val="center"/>
      </w:pPr>
      <w:r w:rsidRPr="00743B0B">
        <w:rPr>
          <w:noProof/>
          <w:lang w:eastAsia="fr-FR"/>
        </w:rPr>
        <w:drawing>
          <wp:inline distT="0" distB="0" distL="0" distR="0" wp14:anchorId="0FD520F6" wp14:editId="7E5E4239">
            <wp:extent cx="4476602" cy="3257550"/>
            <wp:effectExtent l="0" t="0" r="0" b="0"/>
            <wp:docPr id="10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485775" cy="3264225"/>
                    </a:xfrm>
                    <a:prstGeom prst="rect">
                      <a:avLst/>
                    </a:prstGeom>
                    <a:noFill/>
                    <a:ln>
                      <a:noFill/>
                    </a:ln>
                  </pic:spPr>
                </pic:pic>
              </a:graphicData>
            </a:graphic>
          </wp:inline>
        </w:drawing>
      </w:r>
    </w:p>
    <w:p w:rsidR="00743B0B" w:rsidRPr="00743B0B" w:rsidRDefault="00743B0B" w:rsidP="00743B0B">
      <w:pPr>
        <w:ind w:firstLine="708"/>
        <w:rPr>
          <w:rFonts w:ascii="Times New Roman" w:hAnsi="Times New Roman"/>
          <w:sz w:val="22"/>
        </w:rPr>
      </w:pPr>
      <w:r w:rsidRPr="00743B0B">
        <w:rPr>
          <w:rFonts w:ascii="Times New Roman" w:hAnsi="Times New Roman"/>
          <w:sz w:val="22"/>
        </w:rPr>
        <w:t>Dans la réalité, la mise en œuvre des PSE donne lieu à une typologie diversifiée et à différentes formes et adaptations plus ou moins éloignées de sa conception théorique</w:t>
      </w:r>
      <w:r w:rsidR="002575A2">
        <w:rPr>
          <w:rFonts w:ascii="Times New Roman" w:hAnsi="Times New Roman"/>
          <w:sz w:val="22"/>
        </w:rPr>
        <w:t> :</w:t>
      </w:r>
      <w:r w:rsidRPr="00743B0B">
        <w:rPr>
          <w:rFonts w:ascii="Times New Roman" w:hAnsi="Times New Roman"/>
          <w:sz w:val="22"/>
        </w:rPr>
        <w:t xml:space="preserve"> entre des définitions comme celle dite « canonique » avec une approche « normative » de Wunder (2005) et celles plus « positives » et adoptant une approche « élargie » comme celle de Muradian et al. (2010), en passant par des définitions plus « opérationnelles » comme celles de Pagiola et Platais (2007), FAO (2007) et Pagio</w:t>
      </w:r>
      <w:r w:rsidR="00E52F39">
        <w:rPr>
          <w:rFonts w:ascii="Times New Roman" w:hAnsi="Times New Roman"/>
          <w:sz w:val="22"/>
        </w:rPr>
        <w:t>la et al. (2013).</w:t>
      </w:r>
    </w:p>
    <w:p w:rsidR="00743B0B" w:rsidRPr="00743B0B" w:rsidRDefault="00743B0B" w:rsidP="00743B0B">
      <w:pPr>
        <w:rPr>
          <w:rFonts w:ascii="Times New Roman" w:hAnsi="Times New Roman"/>
          <w:sz w:val="22"/>
        </w:rPr>
      </w:pPr>
      <w:r w:rsidRPr="00743B0B">
        <w:rPr>
          <w:rFonts w:ascii="Times New Roman" w:hAnsi="Times New Roman"/>
          <w:sz w:val="22"/>
        </w:rPr>
        <w:t>Nous retrouvons</w:t>
      </w:r>
      <w:r w:rsidR="004533D6">
        <w:rPr>
          <w:rFonts w:ascii="Times New Roman" w:hAnsi="Times New Roman"/>
          <w:sz w:val="22"/>
        </w:rPr>
        <w:t xml:space="preserve"> </w:t>
      </w:r>
      <w:r w:rsidRPr="00743B0B">
        <w:rPr>
          <w:rFonts w:ascii="Times New Roman" w:hAnsi="Times New Roman"/>
          <w:sz w:val="22"/>
        </w:rPr>
        <w:t>notamment, d’une part, des PSE émanant d’une demande privée exprimée directement par les bénéficiaires d’un changement de l’utilisation des terres (pour ne pas subir les coûts actuels et potentiels liés à la dégradation des services hydrologiques, une société Vittel signe des accords de compensation avec les agriculteurs utilisateurs des terres en amont)</w:t>
      </w:r>
      <w:r w:rsidR="00D2405E">
        <w:rPr>
          <w:rFonts w:ascii="Times New Roman" w:hAnsi="Times New Roman"/>
          <w:sz w:val="22"/>
        </w:rPr>
        <w:t> </w:t>
      </w:r>
      <w:r w:rsidRPr="00743B0B">
        <w:rPr>
          <w:rFonts w:ascii="Times New Roman" w:hAnsi="Times New Roman"/>
          <w:sz w:val="22"/>
        </w:rPr>
        <w:t>; et d’autre part, des PSE portés par un programme public de gouvernements ou de collectivités locales et reposant généralement sur des prélèvements obligatoires ou de la fiscalité dédiée (le programme PSE au Costa Rica, piloté par le gouvernement et qui compense les propriétaires forestiers, s’appuie sur des recettes fiscales spécifiques provenant de différentes activités).</w:t>
      </w:r>
    </w:p>
    <w:p w:rsidR="00743B0B" w:rsidRPr="00743B0B" w:rsidRDefault="00743B0B" w:rsidP="00743B0B">
      <w:pPr>
        <w:rPr>
          <w:sz w:val="22"/>
        </w:rPr>
      </w:pP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Selon Wunder (2005, p. 3), un</w:t>
      </w:r>
      <w:r w:rsidRPr="00743B0B">
        <w:rPr>
          <w:rFonts w:ascii="Times New Roman" w:eastAsia="Cambria" w:hAnsi="Times New Roman"/>
          <w:i/>
          <w:iCs/>
          <w:color w:val="000000"/>
          <w:sz w:val="22"/>
          <w:szCs w:val="20"/>
        </w:rPr>
        <w:t xml:space="preserve"> </w:t>
      </w:r>
      <w:r w:rsidRPr="00743B0B">
        <w:rPr>
          <w:rFonts w:ascii="Times New Roman" w:eastAsia="Cambria" w:hAnsi="Times New Roman"/>
          <w:color w:val="000000"/>
          <w:sz w:val="22"/>
          <w:szCs w:val="20"/>
        </w:rPr>
        <w:t>PSE est</w:t>
      </w:r>
      <w:r w:rsidRPr="00743B0B">
        <w:rPr>
          <w:rFonts w:ascii="Times New Roman" w:eastAsia="Cambria" w:hAnsi="Times New Roman"/>
          <w:i/>
          <w:iCs/>
          <w:color w:val="000000"/>
          <w:sz w:val="22"/>
          <w:szCs w:val="20"/>
        </w:rPr>
        <w:t xml:space="preserve"> « une transaction volontaire, où un service environnemental (SE) bien défini – ou un usage pouvant assurer la fourniture de ce SE – est “acheté” par (au moins) un client de SE à (au moins) un fournisseur de SE, si – et seulement si – le fournisseur de SE assure la fourniture ininterrompue du SE (conditionnalité)» </w:t>
      </w:r>
      <w:r w:rsidRPr="00743B0B">
        <w:rPr>
          <w:rFonts w:ascii="Times New Roman" w:eastAsia="Cambria" w:hAnsi="Times New Roman"/>
          <w:color w:val="000000"/>
          <w:sz w:val="22"/>
          <w:szCs w:val="20"/>
        </w:rPr>
        <w:t xml:space="preserve">(citée et traduite par Froger et al, 2016a)].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Platais et Pagiola (2007) ajoutent « </w:t>
      </w:r>
      <w:r w:rsidRPr="00743B0B">
        <w:rPr>
          <w:rFonts w:ascii="Times New Roman" w:eastAsia="Cambria" w:hAnsi="Times New Roman"/>
          <w:i/>
          <w:iCs/>
          <w:color w:val="000000"/>
          <w:sz w:val="22"/>
          <w:szCs w:val="20"/>
        </w:rPr>
        <w:t>la qualification importante que les services ciblés par les programmes de PSE sont ceux qui produisent des bénéfices indirects</w:t>
      </w:r>
      <w:r w:rsidR="002575A2">
        <w:rPr>
          <w:rFonts w:ascii="Times New Roman" w:eastAsia="Cambria" w:hAnsi="Times New Roman"/>
          <w:i/>
          <w:iCs/>
          <w:color w:val="000000"/>
          <w:sz w:val="22"/>
          <w:szCs w:val="20"/>
        </w:rPr>
        <w:t> :</w:t>
      </w:r>
      <w:r w:rsidRPr="00743B0B">
        <w:rPr>
          <w:rFonts w:ascii="Times New Roman" w:eastAsia="Cambria" w:hAnsi="Times New Roman"/>
          <w:i/>
          <w:iCs/>
          <w:color w:val="000000"/>
          <w:sz w:val="22"/>
          <w:szCs w:val="20"/>
        </w:rPr>
        <w:t xml:space="preserve"> c’est à dire, les services qui sont les externalités du point de vue de leurs fournisseurs</w:t>
      </w:r>
      <w:r w:rsidRPr="00743B0B">
        <w:rPr>
          <w:rFonts w:ascii="Times New Roman" w:eastAsia="Cambria" w:hAnsi="Times New Roman"/>
          <w:color w:val="000000"/>
          <w:sz w:val="22"/>
          <w:szCs w:val="20"/>
        </w:rPr>
        <w:t xml:space="preserve"> » (cité par Pagiola et al., 2013, p.1).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Pagiola et al. (2013, p.1) considèrent les PSE comme des « </w:t>
      </w:r>
      <w:r w:rsidRPr="00743B0B">
        <w:rPr>
          <w:rFonts w:ascii="Times New Roman" w:eastAsia="Cambria" w:hAnsi="Times New Roman"/>
          <w:i/>
          <w:iCs/>
          <w:color w:val="000000"/>
          <w:sz w:val="22"/>
          <w:szCs w:val="20"/>
        </w:rPr>
        <w:t>mécanismes qui font des paiements directs et conditionnels aux utilisateurs de terres qui entreprennent des pratiques de conservation visant à générer des bénéfices en dehors de leur propriété (par exemple, pour protéger ou améliorer l'approvisionnement en eau en aval, pour stocker le carbone, ou pour conserver la biodiversité)</w:t>
      </w:r>
      <w:r w:rsidRPr="00743B0B">
        <w:rPr>
          <w:rFonts w:ascii="Times New Roman" w:eastAsia="Cambria" w:hAnsi="Times New Roman"/>
          <w:color w:val="000000"/>
          <w:sz w:val="22"/>
          <w:szCs w:val="20"/>
        </w:rPr>
        <w:t xml:space="preserve"> ».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L’origine conceptuelle des mécanismes PSE s’inscrit dans une approche d’internationalisation des externalités</w:t>
      </w:r>
      <w:r w:rsidR="002575A2">
        <w:rPr>
          <w:rFonts w:ascii="Times New Roman" w:eastAsia="Cambria" w:hAnsi="Times New Roman"/>
          <w:color w:val="000000"/>
          <w:sz w:val="22"/>
          <w:szCs w:val="20"/>
        </w:rPr>
        <w:t> :</w:t>
      </w:r>
      <w:r w:rsidRPr="00743B0B">
        <w:rPr>
          <w:rFonts w:ascii="Times New Roman" w:eastAsia="Cambria" w:hAnsi="Times New Roman"/>
          <w:color w:val="000000"/>
          <w:sz w:val="22"/>
          <w:szCs w:val="20"/>
        </w:rPr>
        <w:t xml:space="preserve"> </w:t>
      </w:r>
      <w:r w:rsidRPr="00743B0B">
        <w:rPr>
          <w:rFonts w:ascii="Times New Roman" w:eastAsia="Cambria" w:hAnsi="Times New Roman"/>
          <w:b/>
          <w:bCs/>
          <w:color w:val="000000"/>
          <w:sz w:val="22"/>
          <w:szCs w:val="20"/>
        </w:rPr>
        <w:t>« </w:t>
      </w:r>
      <w:r w:rsidR="00E52F39" w:rsidRPr="00E52F39">
        <w:rPr>
          <w:rFonts w:ascii="Times New Roman" w:eastAsia="Cambria" w:hAnsi="Times New Roman"/>
          <w:bCs/>
          <w:i/>
          <w:color w:val="000000"/>
          <w:sz w:val="22"/>
          <w:szCs w:val="20"/>
        </w:rPr>
        <w:t>É</w:t>
      </w:r>
      <w:r w:rsidRPr="00743B0B">
        <w:rPr>
          <w:rFonts w:ascii="Times New Roman" w:eastAsia="Cambria" w:hAnsi="Times New Roman"/>
          <w:i/>
          <w:iCs/>
          <w:color w:val="000000"/>
          <w:sz w:val="22"/>
          <w:szCs w:val="20"/>
        </w:rPr>
        <w:t>tant donné que les fournisseurs de services environnementaux ne reçoivent généralement aucune compensation pour le service rendu, les services tendent à être insuffisants, voire à faire totalement défaut</w:t>
      </w:r>
      <w:r w:rsidRPr="00743B0B">
        <w:rPr>
          <w:rFonts w:ascii="Times New Roman" w:eastAsia="Cambria" w:hAnsi="Times New Roman"/>
          <w:b/>
          <w:bCs/>
          <w:color w:val="000000"/>
          <w:sz w:val="22"/>
          <w:szCs w:val="20"/>
        </w:rPr>
        <w:t> »</w:t>
      </w:r>
      <w:r w:rsidRPr="00743B0B">
        <w:rPr>
          <w:rFonts w:ascii="Times New Roman" w:eastAsia="Cambria" w:hAnsi="Times New Roman"/>
          <w:color w:val="000000"/>
          <w:sz w:val="22"/>
          <w:szCs w:val="20"/>
        </w:rPr>
        <w:t xml:space="preserve"> (FAO, 2007, p.7). Les transactions dans les dispositifs PSE consistent </w:t>
      </w:r>
      <w:r w:rsidRPr="00743B0B">
        <w:rPr>
          <w:rFonts w:ascii="Times New Roman" w:eastAsia="Cambria" w:hAnsi="Times New Roman"/>
          <w:b/>
          <w:bCs/>
          <w:color w:val="000000"/>
          <w:sz w:val="22"/>
          <w:szCs w:val="20"/>
        </w:rPr>
        <w:t>« </w:t>
      </w:r>
      <w:r w:rsidRPr="00743B0B">
        <w:rPr>
          <w:rFonts w:ascii="Times New Roman" w:eastAsia="Cambria" w:hAnsi="Times New Roman"/>
          <w:i/>
          <w:iCs/>
          <w:color w:val="000000"/>
          <w:sz w:val="22"/>
          <w:szCs w:val="20"/>
        </w:rPr>
        <w:t>en des opérations volontaires par lesquelles un fournisseur de services est rémunéré PAR ou POUR LE COMPTE des bénéficiaires de ces services, pour des pratiques de gestion agricole, forestière, côtière ou marine dont on attend une fourniture de services plus constante ou plus efficace qu’elle ne l’aurait été sans de tels paiements</w:t>
      </w:r>
      <w:r w:rsidRPr="00743B0B">
        <w:rPr>
          <w:rFonts w:ascii="Times New Roman" w:eastAsia="Cambria" w:hAnsi="Times New Roman"/>
          <w:b/>
          <w:bCs/>
          <w:i/>
          <w:iCs/>
          <w:color w:val="000000"/>
          <w:sz w:val="22"/>
          <w:szCs w:val="20"/>
        </w:rPr>
        <w:t> »</w:t>
      </w:r>
      <w:r w:rsidRPr="00743B0B">
        <w:rPr>
          <w:rFonts w:ascii="Times New Roman" w:eastAsia="Cambria" w:hAnsi="Times New Roman"/>
          <w:color w:val="000000"/>
          <w:sz w:val="22"/>
          <w:szCs w:val="20"/>
        </w:rPr>
        <w:t xml:space="preserve"> (FAO, 2007, p.8)</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 xml:space="preserve">Selon Muradian et al. (2010, p.1205), un PSE se définit comme </w:t>
      </w:r>
      <w:r w:rsidRPr="00743B0B">
        <w:rPr>
          <w:rFonts w:ascii="Times New Roman" w:eastAsia="Cambria" w:hAnsi="Times New Roman"/>
          <w:i/>
          <w:iCs/>
          <w:color w:val="000000"/>
          <w:sz w:val="22"/>
          <w:szCs w:val="20"/>
        </w:rPr>
        <w:t xml:space="preserve">« un transfert de ressources entre des acteurs sociaux, visant à encourager les décisions individuelles et/ou collectives d’usage du sol conformes à l’intérêt social dans la gestion des ressources naturelles » </w:t>
      </w:r>
      <w:r w:rsidRPr="00743B0B">
        <w:rPr>
          <w:rFonts w:ascii="Times New Roman" w:eastAsia="Cambria" w:hAnsi="Times New Roman"/>
          <w:color w:val="000000"/>
          <w:sz w:val="22"/>
          <w:szCs w:val="20"/>
        </w:rPr>
        <w:t xml:space="preserve">(citée et traduite par Froger et al, 2016a)]. </w:t>
      </w:r>
    </w:p>
    <w:p w:rsidR="00743B0B" w:rsidRPr="00743B0B" w:rsidRDefault="00743B0B" w:rsidP="00743B0B">
      <w:pPr>
        <w:rPr>
          <w:rFonts w:ascii="Times New Roman" w:hAnsi="Times New Roman"/>
          <w:sz w:val="22"/>
        </w:rPr>
      </w:pPr>
      <w:r w:rsidRPr="00743B0B">
        <w:rPr>
          <w:rFonts w:ascii="Times New Roman" w:hAnsi="Times New Roman"/>
          <w:sz w:val="22"/>
        </w:rPr>
        <w:t>De ces différentes définitions et des observations des réalités sur terrain, nous déduisons l’existence de deux entités principales qui interagissent dans un dispositif PSE</w:t>
      </w:r>
      <w:r w:rsidR="002575A2">
        <w:rPr>
          <w:rFonts w:ascii="Times New Roman" w:hAnsi="Times New Roman"/>
          <w:sz w:val="22"/>
        </w:rPr>
        <w:t> :</w:t>
      </w:r>
    </w:p>
    <w:p w:rsidR="00743B0B" w:rsidRPr="00743B0B" w:rsidRDefault="00743B0B" w:rsidP="00743B0B">
      <w:pPr>
        <w:rPr>
          <w:rFonts w:ascii="Times New Roman" w:hAnsi="Times New Roman"/>
          <w:sz w:val="22"/>
        </w:rPr>
      </w:pPr>
      <w:r w:rsidRPr="00743B0B">
        <w:rPr>
          <w:rFonts w:ascii="Times New Roman" w:hAnsi="Times New Roman"/>
          <w:sz w:val="22"/>
        </w:rPr>
        <w:t>-</w:t>
      </w:r>
      <w:r w:rsidRPr="00743B0B">
        <w:rPr>
          <w:rFonts w:ascii="Times New Roman" w:hAnsi="Times New Roman"/>
          <w:sz w:val="22"/>
        </w:rPr>
        <w:tab/>
        <w:t xml:space="preserve">d’un côté, il y a l’entité « fournisseur(s) de SE » </w:t>
      </w:r>
    </w:p>
    <w:p w:rsidR="00743B0B" w:rsidRPr="00743B0B" w:rsidRDefault="00743B0B" w:rsidP="00743B0B">
      <w:pPr>
        <w:rPr>
          <w:rFonts w:ascii="Times New Roman" w:hAnsi="Times New Roman"/>
          <w:sz w:val="22"/>
        </w:rPr>
      </w:pPr>
      <w:r w:rsidRPr="00743B0B">
        <w:rPr>
          <w:rFonts w:ascii="Times New Roman" w:hAnsi="Times New Roman"/>
          <w:sz w:val="22"/>
        </w:rPr>
        <w:t>-</w:t>
      </w:r>
      <w:r w:rsidRPr="00743B0B">
        <w:rPr>
          <w:rFonts w:ascii="Times New Roman" w:hAnsi="Times New Roman"/>
          <w:sz w:val="22"/>
        </w:rPr>
        <w:tab/>
        <w:t>de l’autre côté, on retrouve une entité qui « paie » pour le PSE [« le(s) bénéficiaire(s) directs de SE » ou toutes autres entités publiques ou privées qui bénéficient indirectement ou pas du tout du SE concerné mais qui sont amenées volontairement ou par obligation à payer pour ce SE].</w:t>
      </w:r>
    </w:p>
    <w:p w:rsidR="00743B0B" w:rsidRPr="00743B0B" w:rsidRDefault="00743B0B" w:rsidP="00743B0B">
      <w:pPr>
        <w:rPr>
          <w:rFonts w:ascii="Times New Roman" w:hAnsi="Times New Roman"/>
          <w:sz w:val="22"/>
        </w:rPr>
      </w:pPr>
      <w:r w:rsidRPr="00743B0B">
        <w:rPr>
          <w:rFonts w:ascii="Times New Roman" w:hAnsi="Times New Roman"/>
          <w:sz w:val="22"/>
        </w:rPr>
        <w:t>Une troisième entité peut intervenir dans un dispositif PSE. Il s’agit des intermédiaires, observés fréquemment dans les PSE dans les PED, qui accompagnent principalement la mise en place et le fonctionnement même du dispositif PSE (identification du ou des SE concernés,</w:t>
      </w:r>
      <w:r w:rsidR="004533D6">
        <w:rPr>
          <w:rFonts w:ascii="Times New Roman" w:hAnsi="Times New Roman"/>
          <w:sz w:val="22"/>
        </w:rPr>
        <w:t xml:space="preserve"> </w:t>
      </w:r>
      <w:r w:rsidRPr="00743B0B">
        <w:rPr>
          <w:rFonts w:ascii="Times New Roman" w:hAnsi="Times New Roman"/>
          <w:sz w:val="22"/>
        </w:rPr>
        <w:t>facilitation de la mise en relation des fournisseurs et des payeurs, élaboration de l’arrangement institutionnel au sein de chaque entité et entre ces deux entités,</w:t>
      </w:r>
      <w:r w:rsidR="004533D6">
        <w:rPr>
          <w:rFonts w:ascii="Times New Roman" w:hAnsi="Times New Roman"/>
          <w:sz w:val="22"/>
        </w:rPr>
        <w:t xml:space="preserve"> </w:t>
      </w:r>
      <w:r w:rsidRPr="00743B0B">
        <w:rPr>
          <w:rFonts w:ascii="Times New Roman" w:hAnsi="Times New Roman"/>
          <w:sz w:val="22"/>
        </w:rPr>
        <w:t>canalisation et collecte des contributions au PSE, appui dans la distribution des compensations et dans le contrôle des engagements, …).</w:t>
      </w:r>
    </w:p>
    <w:p w:rsidR="00743B0B" w:rsidRPr="00743B0B" w:rsidRDefault="00743B0B" w:rsidP="00743B0B">
      <w:pPr>
        <w:rPr>
          <w:rFonts w:ascii="Times New Roman" w:hAnsi="Times New Roman"/>
          <w:sz w:val="22"/>
        </w:rPr>
      </w:pPr>
    </w:p>
    <w:p w:rsidR="00743B0B" w:rsidRPr="00743B0B" w:rsidRDefault="00743B0B" w:rsidP="00743B0B">
      <w:pPr>
        <w:shd w:val="clear" w:color="auto" w:fill="F2F2F2"/>
        <w:rPr>
          <w:rFonts w:ascii="Times New Roman" w:hAnsi="Times New Roman"/>
          <w:sz w:val="22"/>
          <w:lang w:val="en-GB"/>
        </w:rPr>
      </w:pPr>
      <w:r w:rsidRPr="00743B0B">
        <w:rPr>
          <w:rFonts w:ascii="Times New Roman" w:hAnsi="Times New Roman"/>
          <w:sz w:val="22"/>
          <w:lang w:val="en-GB"/>
        </w:rPr>
        <w:t>PSE de type asset-building vs use-restricting</w:t>
      </w:r>
    </w:p>
    <w:p w:rsidR="00743B0B" w:rsidRPr="00743B0B" w:rsidRDefault="00743B0B" w:rsidP="00743B0B">
      <w:pPr>
        <w:shd w:val="clear" w:color="auto" w:fill="F2F2F2"/>
        <w:rPr>
          <w:rFonts w:ascii="Times New Roman" w:hAnsi="Times New Roman"/>
          <w:sz w:val="22"/>
        </w:rPr>
      </w:pPr>
      <w:r w:rsidRPr="00743B0B">
        <w:rPr>
          <w:rFonts w:ascii="Times New Roman" w:hAnsi="Times New Roman"/>
          <w:sz w:val="22"/>
        </w:rPr>
        <w:t>Selon le cas, le paiement peut constituer la contrepartie à une action spécifique à mener par le fournisseur comme par exemple des patrouilles de suivi de la biodiversité ou des actions de reboisement ou la contrepartie d’une restriction des pratiques (le brûlis par exemple) ou des usages (abandon de droits d’usages dans certaines zones)</w:t>
      </w:r>
    </w:p>
    <w:p w:rsidR="00743B0B" w:rsidRPr="00743B0B" w:rsidRDefault="00743B0B" w:rsidP="00743B0B">
      <w:pPr>
        <w:rPr>
          <w:rFonts w:ascii="Times New Roman" w:hAnsi="Times New Roman"/>
          <w:sz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8" w:name="_Toc464228819"/>
      <w:bookmarkStart w:id="89" w:name="_Toc498638424"/>
      <w:r w:rsidRPr="00743B0B">
        <w:rPr>
          <w:rFonts w:eastAsia="MS Gothic"/>
          <w:b/>
          <w:bCs/>
          <w:color w:val="4F81BD"/>
          <w:sz w:val="26"/>
          <w:szCs w:val="26"/>
          <w:lang w:eastAsia="fr-FR"/>
        </w:rPr>
        <w:t>V.2. La REDD+</w:t>
      </w:r>
      <w:bookmarkEnd w:id="88"/>
      <w:bookmarkEnd w:id="89"/>
    </w:p>
    <w:p w:rsidR="00743B0B" w:rsidRPr="00743B0B" w:rsidRDefault="00743B0B" w:rsidP="00743B0B">
      <w:pPr>
        <w:ind w:firstLine="505"/>
        <w:rPr>
          <w:rFonts w:ascii="Times New Roman" w:hAnsi="Times New Roman"/>
        </w:rPr>
      </w:pPr>
    </w:p>
    <w:p w:rsidR="00743B0B" w:rsidRPr="00743B0B" w:rsidRDefault="00743B0B" w:rsidP="00743B0B">
      <w:pPr>
        <w:ind w:firstLine="505"/>
        <w:rPr>
          <w:rFonts w:ascii="Times New Roman" w:hAnsi="Times New Roman"/>
          <w:sz w:val="22"/>
        </w:rPr>
      </w:pPr>
      <w:r w:rsidRPr="00743B0B">
        <w:rPr>
          <w:rFonts w:ascii="Times New Roman" w:hAnsi="Times New Roman"/>
          <w:sz w:val="22"/>
        </w:rPr>
        <w:t>Dans le cadre de sa stratégie de mobilisation de ressources pour la réalisation des objectifs d’Aichi, la CDB a identifié l’intégration de la biodiversité dans les financements climatiques comme l’un des « mécanismes de financement novateurs » à explorer. La biodiversité y est valorisée comme un co-bénéfice attaché à la lutte contre les changements climatiques, qu’il s’agisse de leur atténuation (réduction des émissions de gaz à effet de serre) ou de s’y adapter (réduction de la vulnérabilité des sociétés par une meilleure anticipation du risque). Ayant pour raison d’être de cibler les facteurs de déforestation, la REDD+ relève principalement des politiques d’atténuation et ne concerne que les pays en développement. Les aires protégées ont néanmoins leur place dans le « + » de la REDD.</w:t>
      </w:r>
    </w:p>
    <w:p w:rsidR="00743B0B" w:rsidRPr="00743B0B" w:rsidRDefault="00743B0B" w:rsidP="00743B0B">
      <w:pPr>
        <w:rPr>
          <w:sz w:val="22"/>
        </w:rPr>
      </w:pPr>
    </w:p>
    <w:p w:rsidR="00743B0B" w:rsidRPr="00743B0B" w:rsidRDefault="00743B0B" w:rsidP="00743B0B">
      <w:pPr>
        <w:rPr>
          <w:rFonts w:ascii="Times New Roman" w:hAnsi="Times New Roman"/>
          <w:b/>
          <w:sz w:val="22"/>
          <w:u w:val="single"/>
        </w:rPr>
      </w:pPr>
      <w:bookmarkStart w:id="90" w:name="_Toc464228820"/>
      <w:r w:rsidRPr="00743B0B">
        <w:rPr>
          <w:rFonts w:ascii="Times New Roman" w:hAnsi="Times New Roman"/>
          <w:b/>
          <w:sz w:val="22"/>
          <w:u w:val="single"/>
        </w:rPr>
        <w:t>Le panorama des financements climats</w:t>
      </w:r>
      <w:bookmarkEnd w:id="90"/>
    </w:p>
    <w:p w:rsidR="00743B0B" w:rsidRPr="00743B0B" w:rsidRDefault="00743B0B" w:rsidP="00743B0B">
      <w:pPr>
        <w:rPr>
          <w:rFonts w:ascii="Times New Roman" w:hAnsi="Times New Roman"/>
          <w:sz w:val="22"/>
        </w:rPr>
      </w:pPr>
      <w:r w:rsidRPr="00743B0B">
        <w:rPr>
          <w:rFonts w:ascii="Times New Roman" w:hAnsi="Times New Roman"/>
          <w:sz w:val="22"/>
        </w:rPr>
        <w:t>La Banque mondiale estime que les pays en développement devront mobiliser $75 – $100 milliards par an pendant les 40 ans dans les mesures d’adaptation et $140 – 175 milliards par an d’ici 2030 dans les mesures d’atténuation.</w:t>
      </w:r>
    </w:p>
    <w:p w:rsidR="00743B0B" w:rsidRPr="00743B0B" w:rsidRDefault="00743B0B" w:rsidP="00743B0B">
      <w:pPr>
        <w:rPr>
          <w:rFonts w:ascii="Times New Roman" w:hAnsi="Times New Roman"/>
          <w:sz w:val="22"/>
        </w:rPr>
      </w:pPr>
      <w:r w:rsidRPr="00743B0B">
        <w:rPr>
          <w:rFonts w:ascii="Times New Roman" w:hAnsi="Times New Roman"/>
          <w:sz w:val="22"/>
        </w:rPr>
        <w:t>En 2009 à Copenhague, les Parties à la CCNUCC se sont fixé un objectif annuel de mobilisation de ressources additionnelles de $100 millions d’ici 2020. Elles se sont dotées d’un instrument pour les mobiliser et les allouer</w:t>
      </w:r>
      <w:r w:rsidR="002575A2">
        <w:rPr>
          <w:rFonts w:ascii="Times New Roman" w:hAnsi="Times New Roman"/>
          <w:sz w:val="22"/>
        </w:rPr>
        <w:t> :</w:t>
      </w:r>
      <w:r w:rsidRPr="00743B0B">
        <w:rPr>
          <w:rFonts w:ascii="Times New Roman" w:hAnsi="Times New Roman"/>
          <w:sz w:val="22"/>
        </w:rPr>
        <w:t xml:space="preserve"> le Fonds Vert pour le Climat (GCF en anglais). </w:t>
      </w:r>
    </w:p>
    <w:p w:rsidR="00743B0B" w:rsidRPr="00743B0B" w:rsidRDefault="00743B0B" w:rsidP="00743B0B">
      <w:r w:rsidRPr="00743B0B">
        <w:rPr>
          <w:noProof/>
          <w:lang w:eastAsia="fr-FR"/>
        </w:rPr>
        <w:drawing>
          <wp:inline distT="0" distB="0" distL="0" distR="0" wp14:anchorId="011F8224" wp14:editId="30D05541">
            <wp:extent cx="5759450" cy="4071675"/>
            <wp:effectExtent l="0" t="0" r="0" b="0"/>
            <wp:docPr id="1065" name="Image 15" descr="http://climatepolicyinitiative.org/wp-content/uploads/2015/11/Landscape2015_Main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matepolicyinitiative.org/wp-content/uploads/2015/11/Landscape2015_MainSankey.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759450" cy="4071675"/>
                    </a:xfrm>
                    <a:prstGeom prst="rect">
                      <a:avLst/>
                    </a:prstGeom>
                    <a:noFill/>
                    <a:ln>
                      <a:noFill/>
                    </a:ln>
                  </pic:spPr>
                </pic:pic>
              </a:graphicData>
            </a:graphic>
          </wp:inline>
        </w:drawing>
      </w:r>
    </w:p>
    <w:p w:rsidR="00743B0B" w:rsidRPr="00743B0B" w:rsidRDefault="00743B0B" w:rsidP="00743B0B">
      <w:r w:rsidRPr="00743B0B">
        <w:t>Figure X</w:t>
      </w:r>
      <w:r w:rsidRPr="00743B0B">
        <w:tab/>
      </w:r>
    </w:p>
    <w:p w:rsidR="00743B0B" w:rsidRPr="00743B0B" w:rsidRDefault="00743B0B" w:rsidP="00743B0B">
      <w:pPr>
        <w:jc w:val="center"/>
      </w:pPr>
      <w:r w:rsidRPr="00743B0B">
        <w:rPr>
          <w:noProof/>
          <w:lang w:eastAsia="fr-FR"/>
        </w:rPr>
        <w:drawing>
          <wp:inline distT="0" distB="0" distL="0" distR="0" wp14:anchorId="43635E9A" wp14:editId="563123EE">
            <wp:extent cx="5759450" cy="3251200"/>
            <wp:effectExtent l="0" t="0" r="0" b="0"/>
            <wp:docPr id="10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59450" cy="3251200"/>
                    </a:xfrm>
                    <a:prstGeom prst="rect">
                      <a:avLst/>
                    </a:prstGeom>
                  </pic:spPr>
                </pic:pic>
              </a:graphicData>
            </a:graphic>
          </wp:inline>
        </w:drawing>
      </w:r>
    </w:p>
    <w:p w:rsidR="00743B0B" w:rsidRPr="00743B0B" w:rsidRDefault="00743B0B" w:rsidP="00743B0B"/>
    <w:p w:rsidR="00743B0B" w:rsidRPr="00743B0B" w:rsidRDefault="00743B0B" w:rsidP="00743B0B">
      <w:pPr>
        <w:rPr>
          <w:rFonts w:ascii="Times New Roman" w:hAnsi="Times New Roman"/>
          <w:b/>
          <w:sz w:val="22"/>
          <w:u w:val="single"/>
        </w:rPr>
      </w:pPr>
      <w:bookmarkStart w:id="91" w:name="_Toc464228821"/>
      <w:r w:rsidRPr="00743B0B">
        <w:rPr>
          <w:rFonts w:ascii="Times New Roman" w:hAnsi="Times New Roman"/>
          <w:b/>
          <w:sz w:val="22"/>
          <w:u w:val="single"/>
        </w:rPr>
        <w:t>La REDD+ comme mécanisme international</w:t>
      </w:r>
      <w:bookmarkEnd w:id="91"/>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Inclure le secteur des terres et les pays en développement dans les politiques d’atténuation</w:t>
      </w:r>
    </w:p>
    <w:p w:rsidR="00743B0B" w:rsidRPr="00743B0B" w:rsidRDefault="00743B0B" w:rsidP="00743B0B">
      <w:pPr>
        <w:ind w:firstLine="708"/>
        <w:rPr>
          <w:rFonts w:ascii="Times New Roman" w:hAnsi="Times New Roman"/>
          <w:sz w:val="22"/>
        </w:rPr>
      </w:pPr>
      <w:r w:rsidRPr="00743B0B">
        <w:rPr>
          <w:rFonts w:ascii="Times New Roman" w:hAnsi="Times New Roman"/>
          <w:sz w:val="22"/>
        </w:rPr>
        <w:t>La déforestation et le changement d’utilisation des terres sont à l’origine d’environ un quart des émissions globales de GES anthropiques. Défrichements agricoles et</w:t>
      </w:r>
      <w:r w:rsidRPr="00743B0B">
        <w:rPr>
          <w:sz w:val="22"/>
        </w:rPr>
        <w:t xml:space="preserve"> </w:t>
      </w:r>
      <w:r w:rsidRPr="00743B0B">
        <w:rPr>
          <w:rFonts w:ascii="Times New Roman" w:hAnsi="Times New Roman"/>
          <w:sz w:val="22"/>
        </w:rPr>
        <w:t xml:space="preserve">construction d’infrastructures sont les principaux facteurs d’émissions dans la plupart des pays tropicaux. Limitée, la discussion sur le rôle de l’agriculture dans l’atténuation s’est focalisée sur les sauvegardes (enjeux de sécurité et de souveraineté alimentaire) plus que sur la réduction efficace des émissions du secteur des terres. Dans la comptabilité des émissions, le secteur des terres présente la particularité d’être à la fois émetteur de GES et puits de carbone. </w:t>
      </w:r>
    </w:p>
    <w:p w:rsidR="00743B0B" w:rsidRPr="00743B0B" w:rsidRDefault="00743B0B" w:rsidP="00743B0B">
      <w:pPr>
        <w:rPr>
          <w:rFonts w:ascii="Times New Roman" w:hAnsi="Times New Roman"/>
          <w:sz w:val="22"/>
        </w:rPr>
      </w:pPr>
      <w:r w:rsidRPr="00743B0B">
        <w:rPr>
          <w:rFonts w:ascii="Times New Roman" w:hAnsi="Times New Roman"/>
          <w:sz w:val="22"/>
        </w:rPr>
        <w:t>Dans les négociations climatiques, le rôle des forêts dans l’atténuation a d’abord été traité sous la thématique de l’utilisation des terres, du changement de leur utilisation et de la foresterie (LULUCF en anglais) pour les pays développés cherchant à déduire dans leurs inventaires d’émissions leurs importants puits de carbone forestiers (</w:t>
      </w:r>
      <w:r w:rsidR="00F12E0C" w:rsidRPr="00743B0B">
        <w:rPr>
          <w:rFonts w:ascii="Times New Roman" w:hAnsi="Times New Roman"/>
          <w:sz w:val="22"/>
        </w:rPr>
        <w:t>États-Unis</w:t>
      </w:r>
      <w:r w:rsidRPr="00743B0B">
        <w:rPr>
          <w:rFonts w:ascii="Times New Roman" w:hAnsi="Times New Roman"/>
          <w:sz w:val="22"/>
        </w:rPr>
        <w:t xml:space="preserve">, Russie, Canada) puis sous la thématique REDD+ pour les pays en développement. </w:t>
      </w:r>
    </w:p>
    <w:p w:rsidR="00743B0B" w:rsidRPr="00743B0B" w:rsidRDefault="00743B0B" w:rsidP="00743B0B">
      <w:pPr>
        <w:rPr>
          <w:rFonts w:ascii="Times New Roman" w:hAnsi="Times New Roman"/>
          <w:sz w:val="22"/>
        </w:rPr>
      </w:pPr>
      <w:r w:rsidRPr="00743B0B">
        <w:rPr>
          <w:rFonts w:ascii="Times New Roman" w:hAnsi="Times New Roman"/>
          <w:sz w:val="22"/>
        </w:rPr>
        <w:t>Les émissions des pays en développement étant en effet principalement issues de la conversion des terres forestières à d’autres usages, ce mécanisme entend faire valoir leur contribution à l’effort global de réductions d’émission. La seule fenêtre accessible au secteur des terres – et de ce fait à nombre de pays en développement – dans le protocole de Kyoto étant les projets de boisement/reboisements dans le cadre du Mécanisme pour un développement propre (MDP), celui-ci n’a pas permis de cibler les moteurs de la déforestation dans ces pays.</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L’extension du domaine du mécanisme</w:t>
      </w:r>
    </w:p>
    <w:p w:rsidR="00743B0B" w:rsidRPr="00743B0B" w:rsidRDefault="00743B0B" w:rsidP="00743B0B">
      <w:pPr>
        <w:ind w:firstLine="708"/>
        <w:rPr>
          <w:rFonts w:ascii="Times New Roman" w:hAnsi="Times New Roman"/>
          <w:sz w:val="22"/>
        </w:rPr>
      </w:pPr>
      <w:r w:rsidRPr="00743B0B">
        <w:rPr>
          <w:rFonts w:ascii="Times New Roman" w:hAnsi="Times New Roman"/>
          <w:sz w:val="22"/>
        </w:rPr>
        <w:t xml:space="preserve">REDD+ est un mécanisme conçu pour récompenser les résultats des pays forestiers tropicaux en matière de lutte contre la déforestation à partir de la mesure des réductions d’émissions liées à la déforestation. Initialement proposé pour ne tenir compte que du changement d’utilisation des terres (réduction des surfaces forestières), il a progressivement été convenu de prendre en compte dans le mécanisme la dégradation (réduction de la densité du couvert forestier liée à l’exploitation du bois), le rôle de conservation (aires protégées), de la gestion forestière durable (aménagement forestier) et de l’accroissement des stocks de carbone forestiers (restauration naturelle, plantations). </w:t>
      </w:r>
    </w:p>
    <w:p w:rsidR="00743B0B" w:rsidRPr="00743B0B" w:rsidRDefault="00743B0B" w:rsidP="00743B0B">
      <w:pPr>
        <w:rPr>
          <w:rFonts w:ascii="Times New Roman" w:hAnsi="Times New Roman"/>
          <w:sz w:val="22"/>
        </w:rPr>
      </w:pPr>
      <w:r w:rsidRPr="00743B0B">
        <w:rPr>
          <w:rFonts w:ascii="Times New Roman" w:hAnsi="Times New Roman"/>
          <w:sz w:val="22"/>
        </w:rPr>
        <w:t xml:space="preserve">L’extension du champ de RED à REDD+ a été portée notamment par les pays forestiers d’Afrique centrale dont la dynamique historique de déforestation est moindre, non pas en raison de pratiques vertueuses mais d’un modèle de développement axé sur la génération d’une rente forestière et minière plutôt que sur une rente agricole (soja et viande en Amazonie, palmier à huile et pâte à papier en Indonésie). Faute de pouvoir obtenir la rémunération d’un stock de carbone sur pied indépendamment des pressions sur la ressource, ils ont obtenu de valoriser l’aménagement forestier durable et l’extension de leur réseau d’aires protégées. La Chine a de son côté poussé à inclure l’accroissement des stocks de carbone pour valoriser ses reboisements à grande échelle. </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Les trois phases du développement de la REDD+</w:t>
      </w:r>
    </w:p>
    <w:p w:rsidR="00743B0B" w:rsidRPr="00743B0B" w:rsidRDefault="00743B0B" w:rsidP="00743B0B">
      <w:pPr>
        <w:ind w:firstLine="708"/>
        <w:rPr>
          <w:rFonts w:ascii="Times New Roman" w:hAnsi="Times New Roman"/>
          <w:sz w:val="22"/>
        </w:rPr>
      </w:pPr>
      <w:r w:rsidRPr="00743B0B">
        <w:rPr>
          <w:rFonts w:ascii="Times New Roman" w:hAnsi="Times New Roman"/>
          <w:noProof/>
          <w:lang w:eastAsia="fr-FR"/>
        </w:rPr>
        <w:drawing>
          <wp:anchor distT="0" distB="0" distL="114300" distR="114300" simplePos="0" relativeHeight="251691008" behindDoc="0" locked="0" layoutInCell="1" allowOverlap="1" wp14:anchorId="363C4BDC" wp14:editId="42370E10">
            <wp:simplePos x="0" y="0"/>
            <wp:positionH relativeFrom="column">
              <wp:posOffset>2679700</wp:posOffset>
            </wp:positionH>
            <wp:positionV relativeFrom="paragraph">
              <wp:posOffset>952500</wp:posOffset>
            </wp:positionV>
            <wp:extent cx="3378200" cy="2367280"/>
            <wp:effectExtent l="0" t="0" r="0" b="0"/>
            <wp:wrapSquare wrapText="bothSides"/>
            <wp:docPr id="106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3378200" cy="2367280"/>
                    </a:xfrm>
                    <a:prstGeom prst="rect">
                      <a:avLst/>
                    </a:prstGeom>
                  </pic:spPr>
                </pic:pic>
              </a:graphicData>
            </a:graphic>
          </wp:anchor>
        </w:drawing>
      </w:r>
      <w:r w:rsidRPr="00743B0B">
        <w:rPr>
          <w:rFonts w:ascii="Times New Roman" w:hAnsi="Times New Roman"/>
          <w:sz w:val="22"/>
        </w:rPr>
        <w:t>Prévue pour se déployer en trois phases dites de préparation, d’investissement (réformes structurelles, sectorielles et transversales) et de paiements aux résultats, le déploiement de REDD+ s’est longtemps limité à des projets pilotes déclinant, en les simplifiant, des méthodologies MDP pour ajouter un module carbone à des projets intégrés de conservation et de développement existants. Avec l’entrée dans la phase d’investissement, les incitations REDD+ sont désormais pensés à l’échelle de juridictions (</w:t>
      </w:r>
      <w:r w:rsidR="00F12E0C" w:rsidRPr="00743B0B">
        <w:rPr>
          <w:rFonts w:ascii="Times New Roman" w:hAnsi="Times New Roman"/>
          <w:sz w:val="22"/>
        </w:rPr>
        <w:t>États</w:t>
      </w:r>
      <w:r w:rsidRPr="00743B0B">
        <w:rPr>
          <w:rFonts w:ascii="Times New Roman" w:hAnsi="Times New Roman"/>
          <w:sz w:val="22"/>
        </w:rPr>
        <w:t>, provinces) pour rémunérer la performance de politiques et mesures de ces juridictions qu’il est impossible ou très couteux de mesurer avec l’étalon carbone.</w:t>
      </w:r>
    </w:p>
    <w:p w:rsidR="00743B0B" w:rsidRPr="00743B0B" w:rsidRDefault="00743B0B" w:rsidP="00743B0B">
      <w:pPr>
        <w:rPr>
          <w:rFonts w:ascii="Times New Roman" w:hAnsi="Times New Roman"/>
        </w:rPr>
      </w:pPr>
    </w:p>
    <w:p w:rsidR="00743B0B" w:rsidRPr="00743B0B" w:rsidRDefault="00743B0B" w:rsidP="00743B0B">
      <w:pPr>
        <w:rPr>
          <w:rFonts w:ascii="Times New Roman" w:hAnsi="Times New Roman"/>
          <w:sz w:val="22"/>
        </w:rPr>
      </w:pPr>
      <w:r w:rsidRPr="00743B0B">
        <w:rPr>
          <w:rFonts w:ascii="Times New Roman" w:hAnsi="Times New Roman"/>
          <w:sz w:val="22"/>
        </w:rPr>
        <w:t>Le standard privé de certification carbone VCS a accompagné ce mouvement en proposant une offre de certification adaptée permettant l’inclusion dans ce programme des projets générateurs de crédits éparpillés sur un territoire et élaborés avec des méthodologies différentes.</w:t>
      </w:r>
    </w:p>
    <w:p w:rsidR="00743B0B" w:rsidRPr="00743B0B" w:rsidRDefault="00743B0B" w:rsidP="00743B0B">
      <w:pPr>
        <w:jc w:val="center"/>
      </w:pPr>
      <w:r w:rsidRPr="00743B0B">
        <w:rPr>
          <w:noProof/>
          <w:lang w:eastAsia="fr-FR"/>
        </w:rPr>
        <w:drawing>
          <wp:inline distT="0" distB="0" distL="0" distR="0" wp14:anchorId="55235F2B" wp14:editId="4906C8EA">
            <wp:extent cx="3225445" cy="2372822"/>
            <wp:effectExtent l="0" t="0" r="0" b="0"/>
            <wp:docPr id="1068" name="Image 10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ficher l'image d'origine"/>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229835" cy="2376052"/>
                    </a:xfrm>
                    <a:prstGeom prst="rect">
                      <a:avLst/>
                    </a:prstGeom>
                    <a:noFill/>
                    <a:ln>
                      <a:noFill/>
                    </a:ln>
                  </pic:spPr>
                </pic:pic>
              </a:graphicData>
            </a:graphic>
          </wp:inline>
        </w:drawing>
      </w:r>
    </w:p>
    <w:p w:rsidR="00743B0B" w:rsidRPr="00743B0B" w:rsidRDefault="00743B0B" w:rsidP="00743B0B">
      <w:pPr>
        <w:rPr>
          <w:rFonts w:ascii="Times New Roman" w:hAnsi="Times New Roman"/>
          <w:sz w:val="22"/>
        </w:rPr>
      </w:pPr>
      <w:r w:rsidRPr="00743B0B">
        <w:rPr>
          <w:rFonts w:ascii="Times New Roman" w:hAnsi="Times New Roman"/>
          <w:sz w:val="22"/>
        </w:rPr>
        <w:t>REDD+ est un des rares domaines où la négociation multilatérale a enregistré des progrès depuis Copenhague, permettant d’envisager une mise en œuvre à l’échelle nationale envisagée au début du mécanisme. L’essentiel du cadrage méthodologique a été adopté par les parties en 2013 (Cadre de Varsovie). Les trois points qui restaient en suspens ont été conclus à Bonn en juin 2015</w:t>
      </w:r>
      <w:r w:rsidR="002575A2">
        <w:rPr>
          <w:rFonts w:ascii="Times New Roman" w:hAnsi="Times New Roman"/>
          <w:sz w:val="22"/>
        </w:rPr>
        <w:t> :</w:t>
      </w:r>
      <w:r w:rsidR="00E52F39">
        <w:rPr>
          <w:rFonts w:ascii="Times New Roman" w:hAnsi="Times New Roman"/>
          <w:sz w:val="22"/>
        </w:rPr>
        <w:t xml:space="preserve"> (i) </w:t>
      </w:r>
      <w:r w:rsidRPr="00743B0B">
        <w:rPr>
          <w:rFonts w:ascii="Times New Roman" w:hAnsi="Times New Roman"/>
          <w:sz w:val="22"/>
        </w:rPr>
        <w:t>le suivi des gar</w:t>
      </w:r>
      <w:r w:rsidR="00E52F39">
        <w:rPr>
          <w:rFonts w:ascii="Times New Roman" w:hAnsi="Times New Roman"/>
          <w:sz w:val="22"/>
        </w:rPr>
        <w:t>anties et des sauvegardes ; (ii) </w:t>
      </w:r>
      <w:r w:rsidRPr="00743B0B">
        <w:rPr>
          <w:rFonts w:ascii="Times New Roman" w:hAnsi="Times New Roman"/>
          <w:sz w:val="22"/>
        </w:rPr>
        <w:t>les approches non-marché (à la demande de l</w:t>
      </w:r>
      <w:r w:rsidR="00E52F39">
        <w:rPr>
          <w:rFonts w:ascii="Times New Roman" w:hAnsi="Times New Roman"/>
          <w:sz w:val="22"/>
        </w:rPr>
        <w:t>a Bolivie) ; (iii) </w:t>
      </w:r>
      <w:r w:rsidRPr="00743B0B">
        <w:rPr>
          <w:rFonts w:ascii="Times New Roman" w:hAnsi="Times New Roman"/>
          <w:sz w:val="22"/>
        </w:rPr>
        <w:t>la prise en compte des bénéfices non carbone de la conservation (à la demande de l’Afrique centrale).</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Quel débouché pour les crédits REDD+</w:t>
      </w:r>
    </w:p>
    <w:p w:rsidR="00743B0B" w:rsidRPr="00743B0B" w:rsidRDefault="00743B0B" w:rsidP="00743B0B">
      <w:pPr>
        <w:ind w:firstLine="708"/>
        <w:rPr>
          <w:rFonts w:ascii="Times New Roman" w:hAnsi="Times New Roman"/>
          <w:sz w:val="22"/>
        </w:rPr>
      </w:pPr>
      <w:r w:rsidRPr="00743B0B">
        <w:rPr>
          <w:rFonts w:ascii="Times New Roman" w:hAnsi="Times New Roman"/>
          <w:sz w:val="22"/>
        </w:rPr>
        <w:t xml:space="preserve">Les enjeux sont désormais (i) la démonstration de la mise en œuvre de REDD+ sur le terrain, (ii) la mobilisation des ressources financières suffisantes pour la mise en œuvre de REDD+, et (iii) la définition de la place de REDD+ dans l’accord et dans l’arrangement climat post-2020. A l’heure où se multiplient les programmes REDD+ à l’échelle d’Etats fédérés (Acre au Brésil) ou de Provinces (Maï-Ndombe en RDC) dont le Fonds carbone de la Banque mondiale est le principal débouché, l’option d’un financement par le marché du mécanisme REDD+ n’est envisageable que si des marchés de conformité nationaux ou régionaux décident d’accepter des crédits REDD+. </w:t>
      </w:r>
    </w:p>
    <w:p w:rsidR="00743B0B" w:rsidRPr="00743B0B" w:rsidRDefault="00743B0B" w:rsidP="00743B0B">
      <w:pPr>
        <w:rPr>
          <w:rFonts w:ascii="Times New Roman" w:hAnsi="Times New Roman"/>
          <w:sz w:val="22"/>
        </w:rPr>
      </w:pPr>
      <w:r w:rsidRPr="00743B0B">
        <w:rPr>
          <w:rFonts w:ascii="Times New Roman" w:hAnsi="Times New Roman"/>
          <w:sz w:val="22"/>
        </w:rPr>
        <w:t>La question de la non-permanence des crédits forestiers (et plus largement de ceux qui sont issus du secteur des terres) est un obstacle à leur fongibilité avec les crédits issus de la réduction des émissions de combustibles fossiles dans le cadre de mécanisme de compensation. L’intégrité environnementale supposerait en effet de garantir la permanence sur les cents ans correspondant à la durée de vie d’une particule de carbone émise dans l’atmosphère, donc de pouvoir garantir le changement d’utilisation des terres à cette échelle temporelle, ce que seuls des systèmes de servitudes environnementales financés à long terme permettraient d’envisager. Pour cette raison, le principal marché de conformité (l’UE) n’intègre pas de crédits issus de la déforestation évitée.</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92" w:name="_Toc498638425"/>
      <w:r w:rsidRPr="00743B0B">
        <w:rPr>
          <w:rFonts w:eastAsia="MS Gothic"/>
          <w:b/>
          <w:bCs/>
          <w:color w:val="4F81BD"/>
          <w:sz w:val="26"/>
          <w:szCs w:val="26"/>
          <w:lang w:eastAsia="fr-FR"/>
        </w:rPr>
        <w:t xml:space="preserve">V.3. Les opportunités </w:t>
      </w:r>
      <w:r w:rsidR="00661212">
        <w:rPr>
          <w:rFonts w:eastAsia="MS Gothic"/>
          <w:b/>
          <w:bCs/>
          <w:color w:val="4F81BD"/>
          <w:sz w:val="26"/>
          <w:szCs w:val="26"/>
          <w:lang w:eastAsia="fr-FR"/>
        </w:rPr>
        <w:t>PSE</w:t>
      </w:r>
      <w:r w:rsidRPr="00743B0B">
        <w:rPr>
          <w:rFonts w:eastAsia="MS Gothic"/>
          <w:b/>
          <w:bCs/>
          <w:color w:val="4F81BD"/>
          <w:sz w:val="26"/>
          <w:szCs w:val="26"/>
          <w:lang w:eastAsia="fr-FR"/>
        </w:rPr>
        <w:t xml:space="preserve"> Carbone au Sénégal</w:t>
      </w:r>
      <w:bookmarkEnd w:id="92"/>
    </w:p>
    <w:p w:rsidR="00743B0B" w:rsidRPr="00743B0B" w:rsidRDefault="00743B0B" w:rsidP="00743B0B">
      <w:pPr>
        <w:rPr>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Résultats de l’étude de faisabilité REDD+ avec les RNC du PGIES</w:t>
      </w:r>
      <w:r w:rsidR="00E52F39">
        <w:rPr>
          <w:rFonts w:ascii="Times New Roman" w:hAnsi="Times New Roman"/>
          <w:b/>
          <w:i/>
          <w:sz w:val="22"/>
          <w:szCs w:val="22"/>
        </w:rPr>
        <w: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Ci-dessous la conclusion de l’étude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projets de création de Réserves Naturelles Communautaires (RNC) au Sénégal sont des projets d'une très grande qualité montrant des co-bénéfices environnementaux et sociaux très importants. Il est certain que ces projets seront très demandés sur le marché volontaire du carbone. En outre, ces initiatives sont avant tout des projets portés par les populations rurales organisées en Comité de Gestion, ce qui est révolutionnaire dans le monde du carbone. Avec la vision d'apporter des outils </w:t>
      </w:r>
      <w:r w:rsidR="00311A1A">
        <w:rPr>
          <w:rFonts w:ascii="Times New Roman" w:hAnsi="Times New Roman"/>
          <w:sz w:val="22"/>
          <w:szCs w:val="22"/>
        </w:rPr>
        <w:t>novateur</w:t>
      </w:r>
      <w:r w:rsidRPr="00743B0B">
        <w:rPr>
          <w:rFonts w:ascii="Times New Roman" w:hAnsi="Times New Roman"/>
          <w:sz w:val="22"/>
          <w:szCs w:val="22"/>
        </w:rPr>
        <w:t>s de financement pour les RNC existantes et à venir, nous avons conduit l'étude de faisabilité pour un Projet des RNC mises en œuvre dans le cadre du PGIES.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projet montre de très importantes difficultés lorsque l'on confronte ce projet aux critères et méthodologies des standards internationaux. Bien que nous ayons proposé des stratégies </w:t>
      </w:r>
      <w:r w:rsidR="00311A1A">
        <w:rPr>
          <w:rFonts w:ascii="Times New Roman" w:hAnsi="Times New Roman"/>
          <w:sz w:val="22"/>
          <w:szCs w:val="22"/>
        </w:rPr>
        <w:t>novateur</w:t>
      </w:r>
      <w:r w:rsidRPr="00743B0B">
        <w:rPr>
          <w:rFonts w:ascii="Times New Roman" w:hAnsi="Times New Roman"/>
          <w:sz w:val="22"/>
          <w:szCs w:val="22"/>
        </w:rPr>
        <w:t xml:space="preserve">es pour mettre en œuvre la finance carbone dans ce projet « RNC existantes », les risques sont trop importants. Nous recommandons donc de ne pas développer ce projet carbone. Néanmoins, les modèles utilisés et la quantification des réductions d'émissions (142 393 tCO2 réduites en moyenne par an pour le projet « RNC existantes de la zone du PNNK) peuvent constituer des arguments robustes pour chercher des financements autres que </w:t>
      </w:r>
      <w:r w:rsidR="00E52F39" w:rsidRPr="00743B0B">
        <w:rPr>
          <w:rFonts w:ascii="Times New Roman" w:hAnsi="Times New Roman"/>
          <w:sz w:val="22"/>
          <w:szCs w:val="22"/>
        </w:rPr>
        <w:t>le crédit carbone</w:t>
      </w:r>
      <w:r w:rsidR="00E52F39">
        <w:rPr>
          <w:rFonts w:ascii="Times New Roman" w:hAnsi="Times New Roman"/>
          <w:sz w:val="22"/>
          <w:szCs w:val="22"/>
        </w:rPr>
        <w:t> :</w:t>
      </w:r>
      <w:r w:rsidRPr="00743B0B">
        <w:rPr>
          <w:rFonts w:ascii="Times New Roman" w:hAnsi="Times New Roman"/>
          <w:sz w:val="22"/>
          <w:szCs w:val="22"/>
        </w:rPr>
        <w:t xml:space="preserve"> fonds d'adaptation aux changements climatiques, coopération, etc.</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En résumé </w:t>
      </w:r>
      <w:r w:rsidRPr="00743B0B">
        <w:rPr>
          <w:rFonts w:ascii="Times New Roman" w:hAnsi="Times New Roman"/>
          <w:sz w:val="22"/>
          <w:szCs w:val="22"/>
        </w:rPr>
        <w:t>:</w:t>
      </w:r>
    </w:p>
    <w:p w:rsidR="00743B0B" w:rsidRPr="00743B0B" w:rsidRDefault="00E52F39" w:rsidP="00771667">
      <w:pPr>
        <w:numPr>
          <w:ilvl w:val="0"/>
          <w:numId w:val="80"/>
        </w:numPr>
        <w:spacing w:after="0"/>
        <w:contextualSpacing/>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évelopper un projet carbone à partir des RNC existantes est techniquement difficile à cause de complication méthodologique</w:t>
      </w:r>
    </w:p>
    <w:p w:rsidR="00743B0B" w:rsidRDefault="00743B0B">
      <w:pPr>
        <w:spacing w:after="160" w:line="259" w:lineRule="auto"/>
        <w:jc w:val="left"/>
        <w:rPr>
          <w:rFonts w:ascii="Century Gothic" w:hAnsi="Century Gothic"/>
          <w:b/>
          <w:smallCaps/>
          <w:spacing w:val="-2"/>
          <w:sz w:val="28"/>
          <w:szCs w:val="20"/>
        </w:rPr>
      </w:pPr>
      <w:r>
        <w:rPr>
          <w:rFonts w:ascii="Century Gothic" w:hAnsi="Century Gothic"/>
          <w:b/>
          <w:smallCaps/>
          <w:spacing w:val="-2"/>
          <w:sz w:val="28"/>
          <w:szCs w:val="20"/>
        </w:rPr>
        <w:br w:type="page"/>
      </w:r>
    </w:p>
    <w:p w:rsidR="00743B0B" w:rsidRDefault="00E52F39"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93" w:name="_Toc496886589"/>
      <w:bookmarkStart w:id="94" w:name="_Toc498638426"/>
      <w:r>
        <w:rPr>
          <w:rFonts w:ascii="Century Gothic" w:hAnsi="Century Gothic"/>
          <w:b/>
          <w:smallCaps/>
          <w:spacing w:val="-2"/>
          <w:sz w:val="28"/>
          <w:szCs w:val="20"/>
        </w:rPr>
        <w:t>Annexe [G].</w:t>
      </w:r>
      <w:r w:rsidR="00743B0B" w:rsidRPr="00743B0B">
        <w:rPr>
          <w:rFonts w:ascii="Century Gothic" w:hAnsi="Century Gothic"/>
          <w:b/>
          <w:smallCaps/>
          <w:spacing w:val="-2"/>
          <w:sz w:val="28"/>
          <w:szCs w:val="20"/>
        </w:rPr>
        <w:t xml:space="preserve"> Rapport d’évaluation principal pour la composante 2</w:t>
      </w:r>
      <w:r w:rsidR="002575A2">
        <w:rPr>
          <w:rFonts w:ascii="Century Gothic" w:hAnsi="Century Gothic"/>
          <w:b/>
          <w:smallCaps/>
          <w:spacing w:val="-2"/>
          <w:sz w:val="28"/>
          <w:szCs w:val="20"/>
        </w:rPr>
        <w:t> :</w:t>
      </w:r>
      <w:r w:rsidR="00743B0B" w:rsidRPr="00743B0B">
        <w:rPr>
          <w:rFonts w:ascii="Century Gothic" w:hAnsi="Century Gothic"/>
          <w:b/>
          <w:smallCaps/>
          <w:spacing w:val="-2"/>
          <w:sz w:val="28"/>
          <w:szCs w:val="20"/>
        </w:rPr>
        <w:t xml:space="preserve"> « Investissements et pratiques climatiques adoptées par les communautés locales » (en français)</w:t>
      </w:r>
      <w:bookmarkEnd w:id="93"/>
      <w:bookmarkEnd w:id="94"/>
    </w:p>
    <w:p w:rsidR="00771667" w:rsidRDefault="00771667">
      <w:pPr>
        <w:spacing w:after="160" w:line="259" w:lineRule="auto"/>
        <w:jc w:val="left"/>
        <w:rPr>
          <w:rFonts w:ascii="Times New Roman" w:hAnsi="Times New Roman"/>
          <w:b/>
          <w:smallCaps/>
          <w:spacing w:val="-2"/>
          <w:sz w:val="24"/>
        </w:rPr>
      </w:pPr>
    </w:p>
    <w:tbl>
      <w:tblPr>
        <w:tblStyle w:val="Grilledutableau"/>
        <w:tblW w:w="0" w:type="auto"/>
        <w:tblLook w:val="04A0" w:firstRow="1" w:lastRow="0" w:firstColumn="1" w:lastColumn="0" w:noHBand="0" w:noVBand="1"/>
      </w:tblPr>
      <w:tblGrid>
        <w:gridCol w:w="9056"/>
      </w:tblGrid>
      <w:tr w:rsidR="00771667" w:rsidRPr="00771667" w:rsidTr="00075058">
        <w:tc>
          <w:tcPr>
            <w:tcW w:w="9206" w:type="dxa"/>
          </w:tcPr>
          <w:p w:rsidR="00771667" w:rsidRPr="00771667" w:rsidRDefault="00771667" w:rsidP="00771667">
            <w:pPr>
              <w:jc w:val="center"/>
              <w:rPr>
                <w:rFonts w:ascii="Times New Roman" w:hAnsi="Times New Roman"/>
                <w:sz w:val="36"/>
              </w:rPr>
            </w:pPr>
            <w:r w:rsidRPr="00771667">
              <w:rPr>
                <w:rFonts w:ascii="Times New Roman" w:hAnsi="Times New Roman"/>
                <w:sz w:val="36"/>
              </w:rPr>
              <w:t xml:space="preserve">Rapport technique n°2 du </w:t>
            </w:r>
            <w:r w:rsidR="002272D3">
              <w:rPr>
                <w:rFonts w:ascii="Times New Roman" w:hAnsi="Times New Roman"/>
                <w:sz w:val="36"/>
              </w:rPr>
              <w:t>SPP</w:t>
            </w:r>
            <w:r w:rsidR="002575A2">
              <w:rPr>
                <w:rFonts w:ascii="Times New Roman" w:hAnsi="Times New Roman"/>
                <w:sz w:val="36"/>
              </w:rPr>
              <w:t> :</w:t>
            </w:r>
            <w:r w:rsidR="00F12E0C">
              <w:rPr>
                <w:rFonts w:ascii="Times New Roman" w:hAnsi="Times New Roman"/>
                <w:sz w:val="36"/>
              </w:rPr>
              <w:t xml:space="preserve"> C</w:t>
            </w:r>
            <w:r w:rsidRPr="00771667">
              <w:rPr>
                <w:rFonts w:ascii="Times New Roman" w:hAnsi="Times New Roman"/>
                <w:sz w:val="36"/>
              </w:rPr>
              <w:t>ompilation des travaux des experts de l’équipe de formulation sur les mesures d’adaptation aux changements climatiques</w:t>
            </w:r>
          </w:p>
          <w:p w:rsidR="00771667" w:rsidRPr="00771667" w:rsidRDefault="00771667" w:rsidP="00771667">
            <w:pPr>
              <w:jc w:val="center"/>
              <w:rPr>
                <w:rFonts w:ascii="Times New Roman" w:hAnsi="Times New Roman"/>
                <w:sz w:val="36"/>
              </w:rPr>
            </w:pPr>
            <w:r w:rsidRPr="00771667">
              <w:rPr>
                <w:rFonts w:ascii="Times New Roman" w:hAnsi="Times New Roman"/>
                <w:sz w:val="36"/>
              </w:rPr>
              <w:t xml:space="preserve">- </w:t>
            </w:r>
          </w:p>
          <w:p w:rsidR="00771667" w:rsidRPr="00771667" w:rsidRDefault="00771667" w:rsidP="00771667">
            <w:pPr>
              <w:jc w:val="center"/>
              <w:rPr>
                <w:rFonts w:ascii="Times New Roman" w:hAnsi="Times New Roman"/>
                <w:sz w:val="36"/>
                <w:lang w:val="en-US"/>
              </w:rPr>
            </w:pPr>
            <w:r w:rsidRPr="00771667">
              <w:rPr>
                <w:rFonts w:ascii="Times New Roman" w:hAnsi="Times New Roman"/>
                <w:sz w:val="36"/>
              </w:rPr>
              <w:t>Septembre 2016</w:t>
            </w:r>
          </w:p>
        </w:tc>
      </w:tr>
    </w:tbl>
    <w:p w:rsidR="00771667" w:rsidRPr="00771667" w:rsidRDefault="00771667" w:rsidP="00771667">
      <w:pPr>
        <w:jc w:val="center"/>
        <w:rPr>
          <w:rFonts w:ascii="Times New Roman" w:hAnsi="Times New Roman"/>
          <w:sz w:val="36"/>
          <w:lang w:val="en-US"/>
        </w:rPr>
      </w:pPr>
    </w:p>
    <w:p w:rsidR="00771667" w:rsidRPr="00771667" w:rsidRDefault="00771667" w:rsidP="00771667">
      <w:pPr>
        <w:rPr>
          <w:lang w:val="en-US"/>
        </w:rPr>
      </w:pPr>
    </w:p>
    <w:p w:rsidR="00FB0986" w:rsidRPr="00FB0986" w:rsidRDefault="006470DA" w:rsidP="00FB0986">
      <w:pPr>
        <w:pStyle w:val="TM1"/>
        <w:rPr>
          <w:rFonts w:asciiTheme="minorHAnsi" w:eastAsiaTheme="minorEastAsia" w:hAnsiTheme="minorHAnsi" w:cstheme="minorBidi"/>
          <w:noProof/>
          <w:color w:val="000000" w:themeColor="text1"/>
          <w:sz w:val="22"/>
          <w:szCs w:val="22"/>
        </w:rPr>
      </w:pPr>
      <w:hyperlink w:anchor="_Toc496886590" w:history="1">
        <w:r w:rsidR="00FB0986" w:rsidRPr="00FB0986">
          <w:rPr>
            <w:rStyle w:val="Lienhypertexte"/>
            <w:rFonts w:ascii="Century Gothic" w:hAnsi="Century Gothic"/>
            <w:b/>
            <w:smallCaps/>
            <w:noProof/>
            <w:color w:val="000000" w:themeColor="text1"/>
            <w:spacing w:val="-2"/>
          </w:rPr>
          <w:t>B. Quelles actions d’adaptation sur les sites concernés par le projet ?</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_Toc496886590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157</w:t>
        </w:r>
        <w:r w:rsidR="00FB0986" w:rsidRPr="00FB0986">
          <w:rPr>
            <w:noProof/>
            <w:webHidden/>
            <w:color w:val="000000" w:themeColor="text1"/>
          </w:rPr>
          <w:fldChar w:fldCharType="end"/>
        </w:r>
      </w:hyperlink>
    </w:p>
    <w:p w:rsidR="00FB0986" w:rsidRPr="00FB0986" w:rsidRDefault="006470DA"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1" w:history="1">
        <w:r w:rsidR="00FB0986" w:rsidRPr="00FB0986">
          <w:rPr>
            <w:rStyle w:val="Lienhypertexte"/>
            <w:rFonts w:eastAsia="MS Gothic"/>
            <w:b/>
            <w:bCs/>
            <w:noProof/>
            <w:color w:val="000000" w:themeColor="text1"/>
            <w:lang w:eastAsia="fr-FR"/>
          </w:rPr>
          <w:t>B.I. Site du bas delta du fleuve Sénégal</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_Toc496886591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159</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2" w:history="1">
        <w:r w:rsidR="00FB0986" w:rsidRPr="00FB0986">
          <w:rPr>
            <w:rStyle w:val="Lienhypertexte"/>
            <w:rFonts w:eastAsia="MS Gothic"/>
            <w:b/>
            <w:bCs/>
            <w:noProof/>
            <w:color w:val="000000" w:themeColor="text1"/>
          </w:rPr>
          <w:t>B.I.1. Constats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_Toc496886592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159</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3" w:history="1">
        <w:r w:rsidR="00FB0986" w:rsidRPr="00FB0986">
          <w:rPr>
            <w:rStyle w:val="Lienhypertexte"/>
            <w:rFonts w:eastAsia="MS Gothic"/>
            <w:b/>
            <w:bCs/>
            <w:noProof/>
            <w:color w:val="000000" w:themeColor="text1"/>
          </w:rPr>
          <w:t>B.I.2.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_Toc496886593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161</w:t>
        </w:r>
        <w:r w:rsidR="00FB0986" w:rsidRPr="00FB0986">
          <w:rPr>
            <w:noProof/>
            <w:webHidden/>
            <w:color w:val="000000" w:themeColor="text1"/>
          </w:rPr>
          <w:fldChar w:fldCharType="end"/>
        </w:r>
      </w:hyperlink>
    </w:p>
    <w:p w:rsidR="00FB0986" w:rsidRPr="00FB0986" w:rsidRDefault="006470DA"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4" w:history="1">
        <w:r w:rsidR="00FB0986" w:rsidRPr="00FB0986">
          <w:rPr>
            <w:rStyle w:val="Lienhypertexte"/>
            <w:rFonts w:eastAsia="MS Gothic"/>
            <w:b/>
            <w:bCs/>
            <w:noProof/>
            <w:color w:val="000000" w:themeColor="text1"/>
            <w:lang w:eastAsia="fr-FR"/>
          </w:rPr>
          <w:t>B.II. Site du Parc national du delta du Saloum</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_Toc496886594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164</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5" w:history="1">
        <w:r w:rsidR="00FB0986" w:rsidRPr="00FB0986">
          <w:rPr>
            <w:rStyle w:val="Lienhypertexte"/>
            <w:rFonts w:eastAsia="MS Gothic"/>
            <w:b/>
            <w:bCs/>
            <w:noProof/>
            <w:color w:val="000000" w:themeColor="text1"/>
          </w:rPr>
          <w:t>B.II.1.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_Toc496886595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164</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6" w:history="1">
        <w:r w:rsidR="00FB0986" w:rsidRPr="00FB0986">
          <w:rPr>
            <w:rStyle w:val="Lienhypertexte"/>
            <w:rFonts w:eastAsia="MS Gothic"/>
            <w:b/>
            <w:bCs/>
            <w:noProof/>
            <w:color w:val="000000" w:themeColor="text1"/>
          </w:rPr>
          <w:t>B.II.2.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_Toc496886596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166</w:t>
        </w:r>
        <w:r w:rsidR="00FB0986" w:rsidRPr="00FB0986">
          <w:rPr>
            <w:noProof/>
            <w:webHidden/>
            <w:color w:val="000000" w:themeColor="text1"/>
          </w:rPr>
          <w:fldChar w:fldCharType="end"/>
        </w:r>
      </w:hyperlink>
    </w:p>
    <w:p w:rsidR="00FB0986" w:rsidRPr="00FB0986" w:rsidRDefault="006470DA"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7" w:history="1">
        <w:r w:rsidR="00FB0986" w:rsidRPr="00FB0986">
          <w:rPr>
            <w:rStyle w:val="Lienhypertexte"/>
            <w:rFonts w:eastAsia="MS Gothic"/>
            <w:b/>
            <w:bCs/>
            <w:noProof/>
            <w:color w:val="000000" w:themeColor="text1"/>
            <w:lang w:eastAsia="fr-FR"/>
          </w:rPr>
          <w:t>B.III. Site du Ferlo</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_Toc496886597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171</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8" w:history="1">
        <w:r w:rsidR="00FB0986" w:rsidRPr="00FB0986">
          <w:rPr>
            <w:rStyle w:val="Lienhypertexte"/>
            <w:rFonts w:eastAsia="MS Gothic"/>
            <w:b/>
            <w:bCs/>
            <w:noProof/>
            <w:color w:val="000000" w:themeColor="text1"/>
          </w:rPr>
          <w:t>B.III.1.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_Toc496886598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171</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9" w:history="1">
        <w:r w:rsidR="00FB0986" w:rsidRPr="00FB0986">
          <w:rPr>
            <w:rStyle w:val="Lienhypertexte"/>
            <w:rFonts w:eastAsia="MS Gothic"/>
            <w:b/>
            <w:bCs/>
            <w:noProof/>
            <w:color w:val="000000" w:themeColor="text1"/>
          </w:rPr>
          <w:t>B.III.2.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_Toc496886599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173</w:t>
        </w:r>
        <w:r w:rsidR="00FB0986" w:rsidRPr="00FB0986">
          <w:rPr>
            <w:noProof/>
            <w:webHidden/>
            <w:color w:val="000000" w:themeColor="text1"/>
          </w:rPr>
          <w:fldChar w:fldCharType="end"/>
        </w:r>
      </w:hyperlink>
    </w:p>
    <w:p w:rsidR="00FB0986" w:rsidRPr="00FB0986" w:rsidRDefault="006470DA"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600" w:history="1">
        <w:r w:rsidR="00FB0986" w:rsidRPr="00FB0986">
          <w:rPr>
            <w:rStyle w:val="Lienhypertexte"/>
            <w:rFonts w:eastAsia="MS Gothic"/>
            <w:b/>
            <w:bCs/>
            <w:noProof/>
            <w:color w:val="000000" w:themeColor="text1"/>
            <w:lang w:eastAsia="fr-FR"/>
          </w:rPr>
          <w:t>B.IV. Site du Niokolo-Koba</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_Toc496886600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178</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601" w:history="1">
        <w:r w:rsidR="00FB0986" w:rsidRPr="00FB0986">
          <w:rPr>
            <w:rStyle w:val="Lienhypertexte"/>
            <w:rFonts w:eastAsia="MS Gothic"/>
            <w:b/>
            <w:bCs/>
            <w:noProof/>
            <w:color w:val="000000" w:themeColor="text1"/>
          </w:rPr>
          <w:t>B.IV.1.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_Toc496886601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178</w:t>
        </w:r>
        <w:r w:rsidR="00FB0986" w:rsidRPr="00FB0986">
          <w:rPr>
            <w:noProof/>
            <w:webHidden/>
            <w:color w:val="000000" w:themeColor="text1"/>
          </w:rPr>
          <w:fldChar w:fldCharType="end"/>
        </w:r>
      </w:hyperlink>
    </w:p>
    <w:p w:rsidR="00FB0986" w:rsidRPr="00FB0986" w:rsidRDefault="006470DA"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602" w:history="1">
        <w:r w:rsidR="00FB0986" w:rsidRPr="00FB0986">
          <w:rPr>
            <w:rStyle w:val="Lienhypertexte"/>
            <w:rFonts w:eastAsia="MS Gothic"/>
            <w:b/>
            <w:bCs/>
            <w:noProof/>
            <w:color w:val="000000" w:themeColor="text1"/>
          </w:rPr>
          <w:t>B.IV.2.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_Toc496886602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179</w:t>
        </w:r>
        <w:r w:rsidR="00FB0986" w:rsidRPr="00FB0986">
          <w:rPr>
            <w:noProof/>
            <w:webHidden/>
            <w:color w:val="000000" w:themeColor="text1"/>
          </w:rPr>
          <w:fldChar w:fldCharType="end"/>
        </w:r>
      </w:hyperlink>
    </w:p>
    <w:p w:rsidR="00FB0986" w:rsidRPr="00FB0986" w:rsidRDefault="006470DA"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603" w:history="1">
        <w:r w:rsidR="00FB0986" w:rsidRPr="00FB0986">
          <w:rPr>
            <w:rStyle w:val="Lienhypertexte"/>
            <w:rFonts w:eastAsia="MS Gothic"/>
            <w:b/>
            <w:bCs/>
            <w:noProof/>
            <w:color w:val="000000" w:themeColor="text1"/>
            <w:lang w:eastAsia="fr-FR"/>
          </w:rPr>
          <w:t>B.V. Bilan des propositions chiffrées pour les quatre zones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_Toc496886603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183</w:t>
        </w:r>
        <w:r w:rsidR="00FB0986" w:rsidRPr="00FB0986">
          <w:rPr>
            <w:noProof/>
            <w:webHidden/>
            <w:color w:val="000000" w:themeColor="text1"/>
          </w:rPr>
          <w:fldChar w:fldCharType="end"/>
        </w:r>
      </w:hyperlink>
    </w:p>
    <w:p w:rsidR="00771667" w:rsidRPr="00771667" w:rsidRDefault="00771667" w:rsidP="00771667">
      <w:pPr>
        <w:rPr>
          <w:rFonts w:ascii="Times New Roman" w:hAnsi="Times New Roman"/>
          <w:sz w:val="24"/>
        </w:rPr>
      </w:pPr>
    </w:p>
    <w:p w:rsidR="00771667" w:rsidRPr="00FB0986" w:rsidRDefault="00771667" w:rsidP="00771667">
      <w:pPr>
        <w:keepNext/>
        <w:pBdr>
          <w:top w:val="single" w:sz="4" w:space="1" w:color="auto"/>
        </w:pBdr>
        <w:suppressAutoHyphens/>
        <w:spacing w:before="104" w:after="226"/>
        <w:outlineLvl w:val="0"/>
        <w:rPr>
          <w:b/>
          <w:bCs/>
        </w:rPr>
      </w:pPr>
    </w:p>
    <w:p w:rsidR="00FB0986" w:rsidRPr="00771667" w:rsidRDefault="00FB0986" w:rsidP="00771667">
      <w:pPr>
        <w:keepNext/>
        <w:pBdr>
          <w:top w:val="single" w:sz="4" w:space="1" w:color="auto"/>
        </w:pBdr>
        <w:suppressAutoHyphens/>
        <w:spacing w:before="104" w:after="226"/>
        <w:outlineLvl w:val="0"/>
        <w:rPr>
          <w:rFonts w:ascii="Century Gothic" w:hAnsi="Century Gothic"/>
          <w:b/>
          <w:smallCaps/>
          <w:spacing w:val="-2"/>
          <w:sz w:val="28"/>
          <w:szCs w:val="20"/>
        </w:rPr>
        <w:sectPr w:rsidR="00FB0986"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pBdr>
          <w:top w:val="single" w:sz="4" w:space="1" w:color="auto"/>
        </w:pBdr>
        <w:suppressAutoHyphens/>
        <w:spacing w:before="104" w:after="226"/>
        <w:outlineLvl w:val="0"/>
        <w:rPr>
          <w:rFonts w:ascii="Century Gothic" w:hAnsi="Century Gothic"/>
          <w:b/>
          <w:smallCaps/>
          <w:spacing w:val="-2"/>
          <w:sz w:val="28"/>
          <w:szCs w:val="20"/>
        </w:rPr>
      </w:pPr>
      <w:bookmarkStart w:id="95" w:name="_Toc339209625"/>
      <w:bookmarkStart w:id="96" w:name="_Toc339725239"/>
      <w:bookmarkStart w:id="97" w:name="_Toc496886590"/>
      <w:bookmarkStart w:id="98" w:name="_Toc498638427"/>
      <w:r w:rsidRPr="00771667">
        <w:rPr>
          <w:rFonts w:ascii="Century Gothic" w:hAnsi="Century Gothic"/>
          <w:b/>
          <w:smallCaps/>
          <w:spacing w:val="-2"/>
          <w:sz w:val="28"/>
          <w:szCs w:val="20"/>
        </w:rPr>
        <w:t>B. Quelles actions d’adaptation sur les sites concernés par le projet ?</w:t>
      </w:r>
      <w:bookmarkEnd w:id="95"/>
      <w:bookmarkEnd w:id="96"/>
      <w:bookmarkEnd w:id="97"/>
      <w:bookmarkEnd w:id="98"/>
      <w:r w:rsidRPr="00771667">
        <w:rPr>
          <w:rFonts w:ascii="Century Gothic" w:hAnsi="Century Gothic"/>
          <w:b/>
          <w:smallCaps/>
          <w:spacing w:val="-2"/>
          <w:sz w:val="28"/>
          <w:szCs w:val="20"/>
        </w:rPr>
        <w:t xml:space="preserve"> </w:t>
      </w:r>
    </w:p>
    <w:p w:rsidR="00771667" w:rsidRPr="00771667" w:rsidRDefault="00771667" w:rsidP="00771667">
      <w:pPr>
        <w:rPr>
          <w:b/>
        </w:rPr>
      </w:pPr>
      <w:bookmarkStart w:id="99" w:name="_Toc339209626"/>
      <w:bookmarkStart w:id="100" w:name="_Toc339725240"/>
      <w:r w:rsidRPr="00771667">
        <w:rPr>
          <w:b/>
        </w:rPr>
        <w:t>Préambule</w:t>
      </w:r>
      <w:r w:rsidR="00E52F39">
        <w:rPr>
          <w:b/>
        </w:rPr>
        <w:t> :</w:t>
      </w:r>
      <w:r w:rsidRPr="00771667">
        <w:rPr>
          <w:b/>
        </w:rPr>
        <w:t xml:space="preserve"> les variations climatiques au Sénégal</w:t>
      </w:r>
    </w:p>
    <w:p w:rsidR="00771667" w:rsidRPr="00771667" w:rsidRDefault="00771667" w:rsidP="00771667"/>
    <w:p w:rsidR="00771667" w:rsidRPr="00771667" w:rsidRDefault="00771667" w:rsidP="00771667">
      <w:pPr>
        <w:rPr>
          <w:rFonts w:ascii="Times New Roman" w:hAnsi="Times New Roman"/>
          <w:sz w:val="22"/>
          <w:szCs w:val="22"/>
        </w:rPr>
      </w:pPr>
      <w:r w:rsidRPr="00771667">
        <w:rPr>
          <w:rFonts w:ascii="Times New Roman" w:hAnsi="Times New Roman"/>
          <w:sz w:val="22"/>
          <w:szCs w:val="22"/>
        </w:rPr>
        <w:t>- La pluviométrie du Sahel a historiquement été variable et décroissante. La seconde figure montre la sévérité de la sécheresse des années 1970 et 1980, et suggère un retour à partir de 1990 à une situation comparable à avant 1950</w:t>
      </w:r>
      <w:r w:rsidR="002575A2">
        <w:rPr>
          <w:rFonts w:ascii="Times New Roman" w:hAnsi="Times New Roman"/>
          <w:sz w:val="22"/>
          <w:szCs w:val="22"/>
        </w:rPr>
        <w:t> :</w:t>
      </w:r>
    </w:p>
    <w:p w:rsidR="00771667" w:rsidRPr="00771667" w:rsidRDefault="00771667" w:rsidP="00771667">
      <w:pPr>
        <w:spacing w:before="120" w:after="120"/>
        <w:ind w:left="567" w:right="567"/>
        <w:jc w:val="center"/>
        <w:rPr>
          <w:rFonts w:ascii="Times New Roman" w:eastAsia="Cambria" w:hAnsi="Times New Roman"/>
          <w:noProof/>
          <w:sz w:val="22"/>
          <w:lang w:eastAsia="fr-FR"/>
        </w:rPr>
      </w:pPr>
      <w:r w:rsidRPr="00771667">
        <w:rPr>
          <w:rFonts w:ascii="Times New Roman" w:eastAsia="Cambria" w:hAnsi="Times New Roman"/>
          <w:noProof/>
          <w:sz w:val="22"/>
          <w:lang w:eastAsia="fr-FR"/>
        </w:rPr>
        <w:drawing>
          <wp:anchor distT="0" distB="0" distL="114300" distR="114300" simplePos="0" relativeHeight="251696128" behindDoc="0" locked="0" layoutInCell="1" allowOverlap="1" wp14:anchorId="2456A01C" wp14:editId="2A49299D">
            <wp:simplePos x="361950" y="4038600"/>
            <wp:positionH relativeFrom="page">
              <wp:align>center</wp:align>
            </wp:positionH>
            <wp:positionV relativeFrom="paragraph">
              <wp:posOffset>0</wp:posOffset>
            </wp:positionV>
            <wp:extent cx="4802400" cy="2077200"/>
            <wp:effectExtent l="0" t="0" r="0" b="0"/>
            <wp:wrapTopAndBottom/>
            <wp:docPr id="1093"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t="18861"/>
                    <a:stretch>
                      <a:fillRect/>
                    </a:stretch>
                  </pic:blipFill>
                  <pic:spPr bwMode="auto">
                    <a:xfrm>
                      <a:off x="0" y="0"/>
                      <a:ext cx="4802400" cy="2077200"/>
                    </a:xfrm>
                    <a:prstGeom prst="rect">
                      <a:avLst/>
                    </a:prstGeom>
                    <a:noFill/>
                    <a:ln>
                      <a:noFill/>
                    </a:ln>
                  </pic:spPr>
                </pic:pic>
              </a:graphicData>
            </a:graphic>
          </wp:anchor>
        </w:drawing>
      </w:r>
      <w:bookmarkStart w:id="101" w:name="_Toc197013970"/>
      <w:r w:rsidRPr="00771667">
        <w:rPr>
          <w:rFonts w:ascii="Times New Roman" w:eastAsia="Cambria" w:hAnsi="Times New Roman"/>
          <w:noProof/>
          <w:sz w:val="22"/>
          <w:lang w:eastAsia="fr-FR"/>
        </w:rPr>
        <w:t>Synthèse des changements pluviométriques dans la zone sahélo-soudanienne</w:t>
      </w:r>
      <w:bookmarkEnd w:id="101"/>
      <w:r w:rsidRPr="00771667">
        <w:rPr>
          <w:rFonts w:ascii="Times New Roman" w:eastAsia="Cambria" w:hAnsi="Times New Roman"/>
          <w:noProof/>
          <w:sz w:val="22"/>
          <w:lang w:eastAsia="fr-FR"/>
        </w:rPr>
        <w:t>, d’après Nicholson, 1985.</w:t>
      </w:r>
      <w:r w:rsidR="004533D6">
        <w:rPr>
          <w:rFonts w:ascii="Times New Roman" w:eastAsia="Cambria" w:hAnsi="Times New Roman"/>
          <w:noProof/>
          <w:sz w:val="22"/>
          <w:lang w:eastAsia="fr-FR"/>
        </w:rPr>
        <w:t xml:space="preserve"> </w:t>
      </w:r>
      <w:r w:rsidRPr="00771667">
        <w:rPr>
          <w:rFonts w:ascii="Times New Roman" w:eastAsia="Cambria" w:hAnsi="Times New Roman"/>
          <w:noProof/>
          <w:sz w:val="22"/>
          <w:lang w:eastAsia="fr-FR"/>
        </w:rPr>
        <w:t>Sub-saharan rainfall 1981-1985.</w:t>
      </w:r>
      <w:r w:rsidR="004533D6">
        <w:rPr>
          <w:rFonts w:ascii="Times New Roman" w:eastAsia="Cambria" w:hAnsi="Times New Roman"/>
          <w:noProof/>
          <w:sz w:val="22"/>
          <w:lang w:eastAsia="fr-FR"/>
        </w:rPr>
        <w:t xml:space="preserve"> </w:t>
      </w:r>
      <w:r w:rsidRPr="00771667">
        <w:rPr>
          <w:rFonts w:ascii="Times New Roman" w:eastAsia="Cambria" w:hAnsi="Times New Roman"/>
          <w:noProof/>
          <w:sz w:val="22"/>
          <w:lang w:eastAsia="fr-FR"/>
        </w:rPr>
        <w:t>Journal of climate and applied meteorology 23</w:t>
      </w:r>
      <w:r w:rsidR="002575A2">
        <w:rPr>
          <w:rFonts w:ascii="Times New Roman" w:eastAsia="Cambria" w:hAnsi="Times New Roman"/>
          <w:noProof/>
          <w:sz w:val="22"/>
          <w:lang w:eastAsia="fr-FR"/>
        </w:rPr>
        <w:t> :</w:t>
      </w:r>
      <w:r w:rsidRPr="00771667">
        <w:rPr>
          <w:rFonts w:ascii="Times New Roman" w:eastAsia="Cambria" w:hAnsi="Times New Roman"/>
          <w:noProof/>
          <w:sz w:val="22"/>
          <w:lang w:eastAsia="fr-FR"/>
        </w:rPr>
        <w:t xml:space="preserve"> 1388-1391</w:t>
      </w:r>
    </w:p>
    <w:p w:rsidR="00771667" w:rsidRPr="00771667" w:rsidRDefault="00771667" w:rsidP="00771667">
      <w:pPr>
        <w:spacing w:before="120" w:after="120"/>
        <w:ind w:left="567" w:right="567"/>
        <w:jc w:val="center"/>
        <w:rPr>
          <w:rFonts w:ascii="Times New Roman" w:eastAsia="Cambria" w:hAnsi="Times New Roman"/>
          <w:noProof/>
          <w:sz w:val="22"/>
          <w:lang w:eastAsia="fr-FR"/>
        </w:rPr>
      </w:pPr>
      <w:r w:rsidRPr="00771667">
        <w:rPr>
          <w:rFonts w:ascii="Times New Roman" w:eastAsia="Cambria" w:hAnsi="Times New Roman"/>
          <w:noProof/>
          <w:sz w:val="22"/>
          <w:lang w:eastAsia="fr-FR"/>
        </w:rPr>
        <w:drawing>
          <wp:anchor distT="0" distB="0" distL="114300" distR="114300" simplePos="0" relativeHeight="251697152" behindDoc="0" locked="0" layoutInCell="1" allowOverlap="1" wp14:anchorId="53CE44E6" wp14:editId="2B3615BB">
            <wp:simplePos x="361950" y="6553200"/>
            <wp:positionH relativeFrom="page">
              <wp:align>center</wp:align>
            </wp:positionH>
            <wp:positionV relativeFrom="paragraph">
              <wp:posOffset>3810</wp:posOffset>
            </wp:positionV>
            <wp:extent cx="5306400" cy="2008800"/>
            <wp:effectExtent l="0" t="0" r="8890" b="0"/>
            <wp:wrapTopAndBottom/>
            <wp:docPr id="1094"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6400" cy="2008800"/>
                    </a:xfrm>
                    <a:prstGeom prst="rect">
                      <a:avLst/>
                    </a:prstGeom>
                    <a:noFill/>
                    <a:ln>
                      <a:noFill/>
                    </a:ln>
                  </pic:spPr>
                </pic:pic>
              </a:graphicData>
            </a:graphic>
          </wp:anchor>
        </w:drawing>
      </w:r>
      <w:bookmarkStart w:id="102" w:name="_Toc197013971"/>
      <w:r w:rsidRPr="00771667">
        <w:rPr>
          <w:rFonts w:ascii="Times New Roman" w:eastAsia="Cambria" w:hAnsi="Times New Roman"/>
          <w:noProof/>
          <w:sz w:val="22"/>
          <w:lang w:eastAsia="fr-FR"/>
        </w:rPr>
        <w:t>Indices des précipitations au Sahel 1896-2004</w:t>
      </w:r>
      <w:bookmarkEnd w:id="102"/>
      <w:r w:rsidRPr="00771667">
        <w:rPr>
          <w:rFonts w:ascii="Times New Roman" w:eastAsia="Cambria" w:hAnsi="Times New Roman"/>
          <w:noProof/>
          <w:sz w:val="22"/>
          <w:lang w:eastAsia="fr-FR"/>
        </w:rPr>
        <w:t xml:space="preserve">, d’après </w:t>
      </w:r>
      <w:r w:rsidRPr="00771667">
        <w:rPr>
          <w:rFonts w:ascii="Times New Roman" w:eastAsia="Cambria" w:hAnsi="Times New Roman"/>
          <w:i/>
          <w:noProof/>
          <w:sz w:val="22"/>
          <w:lang w:eastAsia="fr-FR"/>
        </w:rPr>
        <w:t>Benedikt.Seidl</w:t>
      </w:r>
      <w:r w:rsidRPr="00771667">
        <w:rPr>
          <w:rFonts w:ascii="Times New Roman" w:eastAsia="Cambria" w:hAnsi="Times New Roman"/>
          <w:noProof/>
          <w:sz w:val="22"/>
          <w:lang w:eastAsia="fr-FR"/>
        </w:rPr>
        <w:t xml:space="preserve"> (2008) sur la base de données de JSIAO (http://jisao.washington.edu/data_sets/sahel/)</w:t>
      </w:r>
    </w:p>
    <w:p w:rsidR="00771667" w:rsidRPr="00771667" w:rsidRDefault="00771667" w:rsidP="00771667">
      <w:pPr>
        <w:rPr>
          <w:rFonts w:ascii="Times New Roman" w:hAnsi="Times New Roman"/>
          <w:sz w:val="22"/>
        </w:rPr>
      </w:pPr>
      <w:r w:rsidRPr="00771667">
        <w:rPr>
          <w:rFonts w:ascii="Times New Roman" w:hAnsi="Times New Roman"/>
          <w:sz w:val="22"/>
        </w:rPr>
        <w:t>- Le réchauffement global est une réalité.</w:t>
      </w:r>
      <w:r w:rsidR="004533D6">
        <w:rPr>
          <w:rFonts w:ascii="Times New Roman" w:hAnsi="Times New Roman"/>
          <w:sz w:val="22"/>
        </w:rPr>
        <w:t xml:space="preserve"> </w:t>
      </w:r>
      <w:r w:rsidRPr="00771667">
        <w:rPr>
          <w:rFonts w:ascii="Times New Roman" w:hAnsi="Times New Roman"/>
          <w:sz w:val="22"/>
        </w:rPr>
        <w:t>Il entraîne des changements dans le climat et une augmentation progressive du niveau de la mer.</w:t>
      </w:r>
    </w:p>
    <w:p w:rsidR="00771667" w:rsidRPr="00771667" w:rsidRDefault="00771667" w:rsidP="00771667">
      <w:pPr>
        <w:rPr>
          <w:rFonts w:ascii="Times New Roman" w:hAnsi="Times New Roman"/>
          <w:sz w:val="22"/>
        </w:rPr>
      </w:pPr>
      <w:r w:rsidRPr="00771667">
        <w:rPr>
          <w:rFonts w:ascii="Times New Roman" w:hAnsi="Times New Roman"/>
          <w:sz w:val="22"/>
        </w:rPr>
        <w:t>- Un des enjeux est de régionaliser les impacts du réchauffement global (downscaling).</w:t>
      </w:r>
      <w:r w:rsidR="004533D6">
        <w:rPr>
          <w:rFonts w:ascii="Times New Roman" w:hAnsi="Times New Roman"/>
          <w:sz w:val="22"/>
        </w:rPr>
        <w:t xml:space="preserve"> </w:t>
      </w:r>
      <w:r w:rsidRPr="00771667">
        <w:rPr>
          <w:rFonts w:ascii="Times New Roman" w:hAnsi="Times New Roman"/>
          <w:sz w:val="22"/>
        </w:rPr>
        <w:t>Gaye et Sylla (2009, cité dans PNUD 2009) proposent une régionalisation pour le Sénégal avec un haut degré de certitude.</w:t>
      </w:r>
      <w:r w:rsidR="004533D6">
        <w:rPr>
          <w:rFonts w:ascii="Times New Roman" w:hAnsi="Times New Roman"/>
          <w:sz w:val="22"/>
        </w:rPr>
        <w:t xml:space="preserve"> </w:t>
      </w:r>
      <w:r w:rsidRPr="00771667">
        <w:rPr>
          <w:rFonts w:ascii="Times New Roman" w:hAnsi="Times New Roman"/>
          <w:sz w:val="22"/>
        </w:rPr>
        <w:t>Beaucoup de scientifiques ne partagent pas cette position, surtout que plusieurs dizaines de scénarios sont en jeu.</w:t>
      </w:r>
      <w:r w:rsidR="004533D6">
        <w:rPr>
          <w:rFonts w:ascii="Times New Roman" w:hAnsi="Times New Roman"/>
          <w:sz w:val="22"/>
        </w:rPr>
        <w:t xml:space="preserve"> </w:t>
      </w:r>
      <w:r w:rsidRPr="00771667">
        <w:rPr>
          <w:rFonts w:ascii="Times New Roman" w:hAnsi="Times New Roman"/>
          <w:sz w:val="22"/>
        </w:rPr>
        <w:t>Le document de projet pourrait adopter une position plus prudente.</w:t>
      </w:r>
    </w:p>
    <w:p w:rsidR="00771667" w:rsidRPr="00707E38" w:rsidRDefault="00771667" w:rsidP="00771667">
      <w:pPr>
        <w:rPr>
          <w:rFonts w:ascii="Times New Roman" w:hAnsi="Times New Roman"/>
          <w:sz w:val="22"/>
          <w:lang w:val="fr-SN"/>
        </w:rPr>
      </w:pPr>
      <w:r w:rsidRPr="00771667">
        <w:rPr>
          <w:rFonts w:ascii="Times New Roman" w:hAnsi="Times New Roman"/>
          <w:sz w:val="22"/>
        </w:rPr>
        <w:t xml:space="preserve">- L’essentiel du débat semble porter sur la difficulté d’arriver à un modèle qui est applicable avant 2000 et après 2000, tel qu’illustré par Biasutti, M. 2013. </w:t>
      </w:r>
      <w:r w:rsidRPr="00771667">
        <w:rPr>
          <w:rFonts w:ascii="Times New Roman" w:hAnsi="Times New Roman"/>
          <w:sz w:val="22"/>
          <w:lang w:val="en-US"/>
        </w:rPr>
        <w:t>Forced Sahel rainfall trends in the CMIP5 archive.</w:t>
      </w:r>
      <w:r w:rsidR="004533D6">
        <w:rPr>
          <w:rFonts w:ascii="Times New Roman" w:hAnsi="Times New Roman"/>
          <w:sz w:val="22"/>
          <w:lang w:val="en-US"/>
        </w:rPr>
        <w:t xml:space="preserve"> </w:t>
      </w:r>
      <w:r w:rsidRPr="00771667">
        <w:rPr>
          <w:rFonts w:ascii="Times New Roman" w:hAnsi="Times New Roman"/>
          <w:sz w:val="22"/>
          <w:lang w:val="en-US"/>
        </w:rPr>
        <w:t xml:space="preserve">Journal of Geophysical Research: Atmospheres. </w:t>
      </w:r>
      <w:r w:rsidRPr="00707E38">
        <w:rPr>
          <w:rFonts w:ascii="Times New Roman" w:hAnsi="Times New Roman"/>
          <w:sz w:val="22"/>
          <w:lang w:val="fr-SN"/>
        </w:rPr>
        <w:t>118 (4)</w:t>
      </w:r>
      <w:r w:rsidR="002575A2" w:rsidRPr="00707E38">
        <w:rPr>
          <w:rFonts w:ascii="Times New Roman" w:hAnsi="Times New Roman"/>
          <w:sz w:val="22"/>
          <w:lang w:val="fr-SN"/>
        </w:rPr>
        <w:t>:</w:t>
      </w:r>
      <w:r w:rsidRPr="00707E38">
        <w:rPr>
          <w:rFonts w:ascii="Times New Roman" w:hAnsi="Times New Roman"/>
          <w:sz w:val="22"/>
          <w:lang w:val="fr-SN"/>
        </w:rPr>
        <w:t xml:space="preserve"> 1613-1623.</w:t>
      </w:r>
    </w:p>
    <w:p w:rsidR="00771667" w:rsidRPr="00707E38" w:rsidRDefault="00771667" w:rsidP="00771667">
      <w:pPr>
        <w:ind w:left="567" w:right="567"/>
        <w:rPr>
          <w:rFonts w:ascii="Helvetica" w:hAnsi="Helvetica"/>
          <w:color w:val="333333"/>
          <w:szCs w:val="20"/>
          <w:shd w:val="clear" w:color="auto" w:fill="FFFFFF"/>
          <w:lang w:val="fr-SN"/>
        </w:rPr>
      </w:pPr>
    </w:p>
    <w:p w:rsidR="00843E52" w:rsidRPr="00843E52" w:rsidRDefault="00843E52" w:rsidP="00843E52">
      <w:pPr>
        <w:pStyle w:val="PrformatHTML"/>
        <w:rPr>
          <w:rFonts w:ascii="Times New Roman" w:hAnsi="Times New Roman" w:cs="Times New Roman"/>
        </w:rPr>
      </w:pPr>
      <w:r w:rsidRPr="009B3C60">
        <w:rPr>
          <w:rFonts w:ascii="Times New Roman" w:hAnsi="Times New Roman" w:cs="Times New Roman"/>
          <w:lang w:val="fr-FR"/>
        </w:rPr>
        <w:t xml:space="preserve">"La variabilité des précipitations observée dans la région du Sahel, la zone de transition semi-aride située au sud du désert du Sahara, a subi de fortes variations décennales. Après une période d'humidité prononcée dans les années 1950, des sécheresses prolongées ont suivi dans les années 1970 et 1980 avec des impacts environnementaux et socio-économiques dévastateurs. La variabilité décennale des précipitations a été principalement causée par une certaine distribution des températures de la surface de la mer dans les observations et les modèles. </w:t>
      </w:r>
      <w:r w:rsidRPr="009B3C60">
        <w:rPr>
          <w:rFonts w:ascii="Times New Roman" w:hAnsi="Times New Roman" w:cs="Times New Roman"/>
          <w:b/>
          <w:lang w:val="fr-FR"/>
        </w:rPr>
        <w:t>Cette relation entre les températures à la surface de la mer et la variabilité des précipitations pendant la période d'observation n'est plus applicable dans les projections climatiques futures, avec une large gamme de tendances futures des précipitations allant du séchage intense au mouillage important (Figure 1). Ainsi, d'autres influences ont été suggérées pour devenir importantes à l'avenir, parmi d'autres modifications de la couverture terrestre</w:t>
      </w:r>
      <w:r w:rsidRPr="009B3C60">
        <w:rPr>
          <w:rFonts w:ascii="Times New Roman" w:hAnsi="Times New Roman" w:cs="Times New Roman"/>
          <w:lang w:val="fr-FR"/>
        </w:rPr>
        <w:t>. "</w:t>
      </w:r>
      <w:r w:rsidRPr="00843E52">
        <w:rPr>
          <w:rFonts w:ascii="Times New Roman" w:hAnsi="Times New Roman" w:cs="Times New Roman"/>
          <w:lang w:val="fr-FR"/>
        </w:rPr>
        <w:t xml:space="preserve"> </w:t>
      </w:r>
    </w:p>
    <w:p w:rsidR="00771667" w:rsidRPr="00843E52" w:rsidRDefault="00771667" w:rsidP="00771667">
      <w:pPr>
        <w:ind w:left="567" w:right="567"/>
        <w:rPr>
          <w:rFonts w:ascii="Helvetica" w:hAnsi="Helvetica"/>
          <w:color w:val="333333"/>
          <w:szCs w:val="20"/>
          <w:shd w:val="clear" w:color="auto" w:fill="FFFFFF"/>
          <w:lang w:val="fr-SN"/>
        </w:rPr>
      </w:pPr>
      <w:r w:rsidRPr="00771667">
        <w:rPr>
          <w:noProof/>
          <w:szCs w:val="20"/>
          <w:lang w:eastAsia="fr-FR"/>
        </w:rPr>
        <w:drawing>
          <wp:anchor distT="0" distB="0" distL="114300" distR="114300" simplePos="0" relativeHeight="251698176" behindDoc="0" locked="0" layoutInCell="1" allowOverlap="0" wp14:anchorId="54EC692B" wp14:editId="0C8B8658">
            <wp:simplePos x="0" y="0"/>
            <wp:positionH relativeFrom="page">
              <wp:posOffset>1665605</wp:posOffset>
            </wp:positionH>
            <wp:positionV relativeFrom="paragraph">
              <wp:posOffset>137160</wp:posOffset>
            </wp:positionV>
            <wp:extent cx="4074795" cy="2523490"/>
            <wp:effectExtent l="0" t="0" r="1905" b="0"/>
            <wp:wrapTopAndBottom/>
            <wp:docPr id="1095" name="Image 1029" descr="http://www.mpimet.mpg.de/fileadmin/_migrated/RTE/RTEmagicC_140115_Bader_Sahel_rainfall.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imet.mpg.de/fileadmin/_migrated/RTE/RTEmagicC_140115_Bader_Sahel_rainfall.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4795" cy="2523490"/>
                    </a:xfrm>
                    <a:prstGeom prst="rect">
                      <a:avLst/>
                    </a:prstGeom>
                    <a:noFill/>
                    <a:ln>
                      <a:noFill/>
                    </a:ln>
                  </pic:spPr>
                </pic:pic>
              </a:graphicData>
            </a:graphic>
          </wp:anchor>
        </w:drawing>
      </w:r>
    </w:p>
    <w:p w:rsidR="00843E52" w:rsidRPr="00843E52" w:rsidRDefault="00843E52" w:rsidP="00843E52">
      <w:pPr>
        <w:pStyle w:val="PrformatHTML"/>
        <w:rPr>
          <w:rFonts w:ascii="Times New Roman" w:hAnsi="Times New Roman" w:cs="Times New Roman"/>
        </w:rPr>
      </w:pPr>
      <w:r w:rsidRPr="009B3C60">
        <w:rPr>
          <w:rFonts w:ascii="Times New Roman" w:hAnsi="Times New Roman" w:cs="Times New Roman"/>
          <w:lang w:val="fr-FR"/>
        </w:rPr>
        <w:t>Fig. 1. Grande incertitude sur les futures pluies au Sahel. Les JAS signifient des anomalies de précipitations au Sahel (10oW-30oE, 10o-20oN) au cours des vingtième et vingt-et-unième siècles à partir des modèles CMIP5. Les lignes brunes et vertes représentent les deux anomalies extrêmes des précipitations sahéliennes simulées par GFDL-ESM2M et MIROC-ESM. Les anomalies de précipitations provenant d'autres modèles climatiques sont indiquées par des lignes grises. Les anomalies sont les différences par rapport à la moyenne historique, et toutes les séries chronologiques sont lissées en utilisant une moyenne mobile sur cinq ans.</w:t>
      </w:r>
      <w:r w:rsidRPr="00843E52">
        <w:rPr>
          <w:rFonts w:ascii="Times New Roman" w:hAnsi="Times New Roman" w:cs="Times New Roman"/>
          <w:lang w:val="fr-FR"/>
        </w:rPr>
        <w:t xml:space="preserve"> </w:t>
      </w:r>
    </w:p>
    <w:p w:rsidR="00771667" w:rsidRPr="00843E52" w:rsidRDefault="00771667" w:rsidP="00771667">
      <w:pPr>
        <w:ind w:left="567" w:right="567"/>
        <w:rPr>
          <w:lang w:val="fr-SN"/>
        </w:rPr>
      </w:pPr>
    </w:p>
    <w:p w:rsidR="00771667" w:rsidRPr="00771667" w:rsidRDefault="00771667" w:rsidP="00771667">
      <w:pPr>
        <w:spacing w:after="0"/>
        <w:ind w:left="360"/>
        <w:contextualSpacing/>
        <w:jc w:val="left"/>
        <w:rPr>
          <w:rFonts w:ascii="Times New Roman" w:eastAsia="Cambria" w:hAnsi="Times New Roman"/>
          <w:sz w:val="22"/>
          <w:szCs w:val="20"/>
          <w:lang w:eastAsia="ja-JP"/>
        </w:rPr>
      </w:pPr>
      <w:r w:rsidRPr="00771667">
        <w:rPr>
          <w:rFonts w:ascii="Times New Roman" w:eastAsia="Cambria" w:hAnsi="Times New Roman"/>
          <w:sz w:val="22"/>
          <w:szCs w:val="20"/>
          <w:lang w:eastAsia="ja-JP"/>
        </w:rPr>
        <w:t>- L’auteur suggère que le couvert végétal pourrait jouer un rôle, mais n’explique pas comment et si c’est le couvert local ou le couvert ailleurs dans le monde.</w:t>
      </w:r>
    </w:p>
    <w:p w:rsidR="00771667" w:rsidRPr="00553366" w:rsidRDefault="00771667" w:rsidP="00771667">
      <w:pPr>
        <w:spacing w:before="60"/>
        <w:ind w:left="720" w:hanging="360"/>
        <w:jc w:val="left"/>
        <w:rPr>
          <w:rFonts w:ascii="Times New Roman" w:eastAsia="Cambria" w:hAnsi="Times New Roman"/>
          <w:sz w:val="22"/>
          <w:szCs w:val="20"/>
          <w:lang w:val="fr-SN" w:eastAsia="ja-JP"/>
        </w:rPr>
      </w:pPr>
      <w:r w:rsidRPr="00771667">
        <w:rPr>
          <w:rFonts w:ascii="Times New Roman" w:eastAsia="Cambria" w:hAnsi="Times New Roman"/>
          <w:sz w:val="22"/>
          <w:szCs w:val="20"/>
          <w:lang w:eastAsia="ja-JP"/>
        </w:rPr>
        <w:t>- L’incertitude concernant la pluviométrie future du Sahel est confirmée dans Park, J.-Y, Bader, J., and Matei, D.</w:t>
      </w:r>
      <w:r w:rsidR="004533D6">
        <w:rPr>
          <w:rFonts w:ascii="Times New Roman" w:eastAsia="Cambria" w:hAnsi="Times New Roman"/>
          <w:sz w:val="22"/>
          <w:szCs w:val="20"/>
          <w:lang w:eastAsia="ja-JP"/>
        </w:rPr>
        <w:t xml:space="preserve"> </w:t>
      </w:r>
      <w:r w:rsidRPr="004533D6">
        <w:rPr>
          <w:rFonts w:ascii="Times New Roman" w:eastAsia="Cambria" w:hAnsi="Times New Roman"/>
          <w:sz w:val="22"/>
          <w:szCs w:val="20"/>
          <w:lang w:eastAsia="ja-JP"/>
        </w:rPr>
        <w:t>2014.</w:t>
      </w:r>
      <w:r w:rsidR="004533D6">
        <w:rPr>
          <w:rFonts w:ascii="Times New Roman" w:eastAsia="Cambria" w:hAnsi="Times New Roman"/>
          <w:sz w:val="22"/>
          <w:szCs w:val="20"/>
          <w:lang w:eastAsia="ja-JP"/>
        </w:rPr>
        <w:t xml:space="preserve"> </w:t>
      </w:r>
      <w:r w:rsidR="00553366" w:rsidRPr="009B3C60">
        <w:rPr>
          <w:rFonts w:ascii="Times New Roman" w:hAnsi="Times New Roman"/>
        </w:rPr>
        <w:t>Le réchauffement différentiel de l'hémisphère Nord est la clé pour comprendre les différences dans les précipitations projetées au Sahel. Nature Communications. 5: 5985</w:t>
      </w:r>
      <w:r w:rsidR="00553366" w:rsidRPr="009E4BB9">
        <w:rPr>
          <w:rFonts w:ascii="Times New Roman" w:hAnsi="Times New Roman"/>
        </w:rPr>
        <w:t>.</w:t>
      </w:r>
    </w:p>
    <w:p w:rsidR="00553366" w:rsidRDefault="00771667" w:rsidP="00553366">
      <w:pPr>
        <w:pStyle w:val="PrformatHTML"/>
      </w:pPr>
      <w:r w:rsidRPr="009B3C60">
        <w:rPr>
          <w:rFonts w:ascii="Times New Roman" w:hAnsi="Times New Roman" w:cs="Times New Roman"/>
          <w:noProof/>
          <w:lang w:val="fr-FR" w:eastAsia="fr-FR"/>
        </w:rPr>
        <w:drawing>
          <wp:anchor distT="0" distB="0" distL="114300" distR="114300" simplePos="0" relativeHeight="251699200" behindDoc="0" locked="0" layoutInCell="1" allowOverlap="0" wp14:anchorId="5FAD8AC6" wp14:editId="1FB1BF99">
            <wp:simplePos x="0" y="0"/>
            <wp:positionH relativeFrom="page">
              <wp:posOffset>2385695</wp:posOffset>
            </wp:positionH>
            <wp:positionV relativeFrom="paragraph">
              <wp:posOffset>120650</wp:posOffset>
            </wp:positionV>
            <wp:extent cx="2753995" cy="2299335"/>
            <wp:effectExtent l="0" t="0" r="0" b="12065"/>
            <wp:wrapTopAndBottom/>
            <wp:docPr id="1096" name="Image 1030" descr="http://www.mpimet.mpg.de/fileadmin/_migrated/RTE/RTEmagicC_140115_Bader_Warmertropic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pimet.mpg.de/fileadmin/_migrated/RTE/RTEmagicC_140115_Bader_Warmertropics.pn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3995" cy="2299335"/>
                    </a:xfrm>
                    <a:prstGeom prst="rect">
                      <a:avLst/>
                    </a:prstGeom>
                    <a:noFill/>
                    <a:ln>
                      <a:noFill/>
                    </a:ln>
                  </pic:spPr>
                </pic:pic>
              </a:graphicData>
            </a:graphic>
          </wp:anchor>
        </w:drawing>
      </w:r>
      <w:r w:rsidR="00553366" w:rsidRPr="009B3C60">
        <w:rPr>
          <w:rFonts w:ascii="Times New Roman" w:hAnsi="Times New Roman" w:cs="Times New Roman"/>
        </w:rPr>
        <w:t xml:space="preserve"> </w:t>
      </w:r>
      <w:r w:rsidR="00553366" w:rsidRPr="009B3C60">
        <w:rPr>
          <w:rFonts w:ascii="Times New Roman" w:hAnsi="Times New Roman" w:cs="Times New Roman"/>
          <w:lang w:val="fr-FR"/>
        </w:rPr>
        <w:t>Fig. 2. Impact concurrentiel du réchauffement océanique tropical et extra-tropical sur les précipitations futures du Sahel. Figure schématique des futurs liens entre réchauffement tropical / extratropical et changements de précipitations au Sahel. Les anomalies de précipitations (PR) sont des réponses modèles aux changements de la température de surface de la mer (SST) dans les tropiques et les tropiques</w:t>
      </w:r>
      <w:r w:rsidR="00553366" w:rsidRPr="009B3C60">
        <w:rPr>
          <w:lang w:val="fr-FR"/>
        </w:rPr>
        <w:t>.</w:t>
      </w:r>
      <w:r w:rsidR="00553366">
        <w:rPr>
          <w:lang w:val="fr-FR"/>
        </w:rPr>
        <w:t xml:space="preserve"> </w:t>
      </w:r>
    </w:p>
    <w:p w:rsidR="00771667" w:rsidRPr="00707E38" w:rsidRDefault="00771667" w:rsidP="00771667">
      <w:pPr>
        <w:ind w:left="567" w:right="567"/>
        <w:rPr>
          <w:rFonts w:ascii="Times New Roman" w:hAnsi="Times New Roman"/>
          <w:lang w:val="fr-SN"/>
        </w:rPr>
      </w:pPr>
      <w:r w:rsidRPr="00707E38">
        <w:rPr>
          <w:rFonts w:ascii="Times New Roman" w:hAnsi="Times New Roman"/>
          <w:i/>
          <w:iCs/>
          <w:color w:val="333333"/>
          <w:szCs w:val="20"/>
          <w:shd w:val="clear" w:color="auto" w:fill="FFFFFF"/>
          <w:lang w:val="fr-SN"/>
        </w:rPr>
        <w:t>.</w:t>
      </w: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03" w:name="_Toc496886591"/>
      <w:bookmarkStart w:id="104" w:name="_Toc498638428"/>
      <w:r w:rsidRPr="00771667">
        <w:rPr>
          <w:rFonts w:eastAsia="MS Gothic"/>
          <w:b/>
          <w:bCs/>
          <w:color w:val="4F81BD"/>
          <w:sz w:val="26"/>
          <w:szCs w:val="26"/>
          <w:lang w:eastAsia="fr-FR"/>
        </w:rPr>
        <w:t>B.I. Site du bas delta du fleuve Sénégal</w:t>
      </w:r>
      <w:bookmarkEnd w:id="99"/>
      <w:bookmarkEnd w:id="100"/>
      <w:bookmarkEnd w:id="103"/>
      <w:bookmarkEnd w:id="104"/>
    </w:p>
    <w:p w:rsidR="00771667" w:rsidRPr="00771667" w:rsidRDefault="00771667" w:rsidP="00771667">
      <w:r w:rsidRPr="00771667">
        <w:rPr>
          <w:noProof/>
          <w:lang w:eastAsia="fr-FR"/>
        </w:rPr>
        <w:drawing>
          <wp:anchor distT="0" distB="0" distL="114300" distR="114300" simplePos="0" relativeHeight="251693056" behindDoc="1" locked="0" layoutInCell="1" allowOverlap="1" wp14:anchorId="0110191E" wp14:editId="61A040C7">
            <wp:simplePos x="0" y="0"/>
            <wp:positionH relativeFrom="column">
              <wp:align>center</wp:align>
            </wp:positionH>
            <wp:positionV relativeFrom="paragraph">
              <wp:posOffset>233680</wp:posOffset>
            </wp:positionV>
            <wp:extent cx="3627120" cy="5130800"/>
            <wp:effectExtent l="0" t="0" r="5080" b="0"/>
            <wp:wrapNone/>
            <wp:docPr id="1097" name="Image 59" descr="Delta du Fleuve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du Fleuve_v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627120" cy="51308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83108F" w:rsidP="00771667">
      <w:pPr>
        <w:tabs>
          <w:tab w:val="left" w:pos="5024"/>
        </w:tabs>
      </w:pPr>
      <w:r>
        <w:rPr>
          <w:noProof/>
          <w:lang w:eastAsia="fr-FR"/>
        </w:rPr>
        <mc:AlternateContent>
          <mc:Choice Requires="wps">
            <w:drawing>
              <wp:anchor distT="0" distB="0" distL="114300" distR="114300" simplePos="0" relativeHeight="251694080" behindDoc="0" locked="0" layoutInCell="1" allowOverlap="1" wp14:anchorId="5BE20AED" wp14:editId="09CA1C57">
                <wp:simplePos x="0" y="0"/>
                <wp:positionH relativeFrom="column">
                  <wp:align>center</wp:align>
                </wp:positionH>
                <wp:positionV relativeFrom="paragraph">
                  <wp:posOffset>59055</wp:posOffset>
                </wp:positionV>
                <wp:extent cx="3627120" cy="224155"/>
                <wp:effectExtent l="0" t="0" r="0" b="0"/>
                <wp:wrapThrough wrapText="bothSides">
                  <wp:wrapPolygon edited="0">
                    <wp:start x="0" y="0"/>
                    <wp:lineTo x="0" y="20193"/>
                    <wp:lineTo x="21441" y="20193"/>
                    <wp:lineTo x="21441" y="0"/>
                    <wp:lineTo x="0" y="0"/>
                  </wp:wrapPolygon>
                </wp:wrapThrough>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7120" cy="224155"/>
                        </a:xfrm>
                        <a:prstGeom prst="rect">
                          <a:avLst/>
                        </a:prstGeom>
                        <a:solidFill>
                          <a:prstClr val="white"/>
                        </a:solidFill>
                        <a:ln>
                          <a:noFill/>
                        </a:ln>
                        <a:effectLst/>
                        <a:extLst>
                          <a:ext uri="{FAA26D3D-D897-4be2-8F04-BA451C77F1D7}"/>
                          <a:ext uri="{C572A759-6A51-4108-AA02-DFA0A04FC94B}"/>
                        </a:extLst>
                      </wps:spPr>
                      <wps:txbx>
                        <w:txbxContent>
                          <w:p w:rsidR="00061010" w:rsidRPr="00721C16" w:rsidRDefault="00061010" w:rsidP="00771667">
                            <w:pPr>
                              <w:pStyle w:val="Lgende"/>
                            </w:pPr>
                            <w:r w:rsidRPr="000E6AA5">
                              <w:t xml:space="preserve">Carte </w:t>
                            </w:r>
                            <w:r>
                              <w:fldChar w:fldCharType="begin"/>
                            </w:r>
                            <w:r w:rsidRPr="000E6AA5">
                              <w:instrText xml:space="preserve"> SEQ Carte \* ARABIC </w:instrText>
                            </w:r>
                            <w:r>
                              <w:fldChar w:fldCharType="separate"/>
                            </w:r>
                            <w:r w:rsidR="009375FA">
                              <w:rPr>
                                <w:noProof/>
                              </w:rPr>
                              <w:t>1</w:t>
                            </w:r>
                            <w:r>
                              <w:fldChar w:fldCharType="end"/>
                            </w:r>
                            <w:r w:rsidRPr="000E6AA5">
                              <w:t>: Site du delta du fleuve Sénégal (Source: </w:t>
                            </w:r>
                            <w:r>
                              <w:t>SPP</w:t>
                            </w:r>
                            <w:r w:rsidRPr="000E6AA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E20AED" id="Zone de texte 57" o:spid="_x0000_s1080" type="#_x0000_t202" style="position:absolute;left:0;text-align:left;margin-left:0;margin-top:4.65pt;width:285.6pt;height:17.6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" stroked="f">
                <v:textbox style="mso-fit-shape-to-text:t" inset="0,0,0,0">
                  <w:txbxContent>
                    <w:p w:rsidR="00061010" w:rsidRPr="00721C16" w:rsidRDefault="00061010" w:rsidP="00771667">
                      <w:pPr>
                        <w:pStyle w:val="Lgende"/>
                      </w:pPr>
                      <w:r w:rsidRPr="000E6AA5">
                        <w:t xml:space="preserve">Carte </w:t>
                      </w:r>
                      <w:r>
                        <w:fldChar w:fldCharType="begin"/>
                      </w:r>
                      <w:r w:rsidRPr="000E6AA5">
                        <w:instrText xml:space="preserve"> SEQ Carte \* ARABIC </w:instrText>
                      </w:r>
                      <w:r>
                        <w:fldChar w:fldCharType="separate"/>
                      </w:r>
                      <w:r w:rsidR="009375FA">
                        <w:rPr>
                          <w:noProof/>
                        </w:rPr>
                        <w:t>1</w:t>
                      </w:r>
                      <w:r>
                        <w:fldChar w:fldCharType="end"/>
                      </w:r>
                      <w:r w:rsidRPr="000E6AA5">
                        <w:t>: Site du delta du fleuve Sénégal (Source: </w:t>
                      </w:r>
                      <w:r>
                        <w:t>SPP</w:t>
                      </w:r>
                      <w:r w:rsidRPr="000E6AA5">
                        <w:t>)</w:t>
                      </w:r>
                    </w:p>
                  </w:txbxContent>
                </v:textbox>
                <w10:wrap type="through"/>
              </v:shape>
            </w:pict>
          </mc:Fallback>
        </mc:AlternateContent>
      </w:r>
    </w:p>
    <w:p w:rsidR="00771667" w:rsidRPr="00771667" w:rsidRDefault="00771667" w:rsidP="00771667">
      <w:pPr>
        <w:tabs>
          <w:tab w:val="left" w:pos="5024"/>
        </w:tabs>
      </w:pPr>
    </w:p>
    <w:p w:rsidR="00771667" w:rsidRPr="00771667" w:rsidRDefault="00771667" w:rsidP="00771667">
      <w:pPr>
        <w:keepNext/>
        <w:keepLines/>
        <w:spacing w:before="200" w:after="0"/>
        <w:outlineLvl w:val="2"/>
        <w:rPr>
          <w:rFonts w:eastAsia="MS Gothic"/>
          <w:b/>
          <w:bCs/>
          <w:color w:val="4F81BD"/>
        </w:rPr>
      </w:pPr>
    </w:p>
    <w:p w:rsidR="00771667" w:rsidRPr="00771667" w:rsidRDefault="00771667" w:rsidP="00771667">
      <w:pPr>
        <w:keepNext/>
        <w:keepLines/>
        <w:spacing w:before="200" w:after="0"/>
        <w:outlineLvl w:val="2"/>
        <w:rPr>
          <w:rFonts w:eastAsia="MS Gothic"/>
          <w:b/>
          <w:bCs/>
          <w:color w:val="4F81BD"/>
        </w:rPr>
      </w:pPr>
      <w:bookmarkStart w:id="105" w:name="_Toc339209627"/>
      <w:bookmarkStart w:id="106" w:name="_Toc339725241"/>
      <w:bookmarkStart w:id="107" w:name="_Toc496886592"/>
      <w:bookmarkStart w:id="108" w:name="_Toc498638429"/>
      <w:r w:rsidRPr="00771667">
        <w:rPr>
          <w:rFonts w:eastAsia="MS Gothic"/>
          <w:b/>
          <w:bCs/>
          <w:color w:val="4F81BD"/>
        </w:rPr>
        <w:t>B.I.1. Constats des experts</w:t>
      </w:r>
      <w:bookmarkEnd w:id="105"/>
      <w:bookmarkEnd w:id="106"/>
      <w:bookmarkEnd w:id="107"/>
      <w:bookmarkEnd w:id="108"/>
    </w:p>
    <w:p w:rsidR="00771667" w:rsidRPr="00771667" w:rsidRDefault="00771667" w:rsidP="00771667">
      <w:pPr>
        <w:numPr>
          <w:ilvl w:val="0"/>
          <w:numId w:val="88"/>
        </w:numPr>
        <w:spacing w:after="0"/>
        <w:contextualSpacing/>
        <w:rPr>
          <w:rFonts w:ascii="Times New Roman" w:hAnsi="Times New Roman"/>
          <w:sz w:val="22"/>
          <w:lang w:eastAsia="pt-PT" w:bidi="fr-FR"/>
        </w:rPr>
      </w:pPr>
      <w:r w:rsidRPr="00771667">
        <w:rPr>
          <w:rFonts w:ascii="Times New Roman" w:hAnsi="Times New Roman" w:cs="Calibri"/>
          <w:bCs/>
          <w:sz w:val="22"/>
        </w:rPr>
        <w:t>Dans la zone de Gandon, l</w:t>
      </w:r>
      <w:r w:rsidRPr="00771667">
        <w:rPr>
          <w:rFonts w:ascii="Times New Roman" w:hAnsi="Times New Roman"/>
          <w:sz w:val="22"/>
          <w:lang w:eastAsia="pt-PT" w:bidi="fr-FR"/>
        </w:rPr>
        <w:t xml:space="preserve">’occupation du sol se caractérise par une prédominance des mangroves fermées avec une légère baisse de la surface d’occupation en 1984 (331,055 ha) contre 316,08 ha en 2010 au profit des mangroves dégradées qui ont connu une hausse passant de 185,974 ha en 1984 à 209,264 ha en 2010. Ensuite viennent les tannes nues avec une augmentation d’environ 500 ha (CSE, 2010). Des savanes arbustives sont également présentes </w:t>
      </w:r>
      <w:r w:rsidRPr="00771667">
        <w:rPr>
          <w:rFonts w:ascii="Times New Roman" w:hAnsi="Times New Roman"/>
          <w:sz w:val="22"/>
        </w:rPr>
        <w:t>avec des espèces soudano-sahéliennes et sub-guinéennes (</w:t>
      </w:r>
      <w:r w:rsidR="00990A25">
        <w:fldChar w:fldCharType="begin"/>
      </w:r>
      <w:r w:rsidR="00990A25">
        <w:instrText xml:space="preserve"> REF _Ref339198668 \h  \* MERGEFORMAT </w:instrText>
      </w:r>
      <w:r w:rsidR="00990A25">
        <w:fldChar w:fldCharType="separate"/>
      </w:r>
      <w:r w:rsidR="009375FA" w:rsidRPr="009375FA">
        <w:rPr>
          <w:rFonts w:ascii="Times New Roman" w:hAnsi="Times New Roman"/>
          <w:sz w:val="22"/>
        </w:rPr>
        <w:t>Tableau 4</w:t>
      </w:r>
      <w:r w:rsidR="00990A25">
        <w:fldChar w:fldCharType="end"/>
      </w:r>
      <w:r w:rsidRPr="00771667">
        <w:rPr>
          <w:rFonts w:ascii="Times New Roman" w:hAnsi="Times New Roman"/>
          <w:sz w:val="22"/>
        </w:rPr>
        <w:t xml:space="preserve">). </w:t>
      </w:r>
    </w:p>
    <w:p w:rsidR="00771667" w:rsidRPr="00771667" w:rsidRDefault="00771667" w:rsidP="00771667">
      <w:pPr>
        <w:ind w:left="360"/>
      </w:pPr>
    </w:p>
    <w:p w:rsidR="00771667" w:rsidRPr="00771667" w:rsidRDefault="00771667" w:rsidP="00771667">
      <w:pPr>
        <w:keepNext/>
        <w:spacing w:after="100"/>
        <w:jc w:val="center"/>
        <w:rPr>
          <w:rFonts w:ascii="Times New Roman" w:eastAsia="Times New Roman" w:hAnsi="Times New Roman"/>
          <w:b/>
          <w:bCs/>
          <w:i/>
          <w:sz w:val="22"/>
        </w:rPr>
      </w:pPr>
      <w:bookmarkStart w:id="109" w:name="_Ref339198668"/>
      <w:r w:rsidRPr="00771667">
        <w:rPr>
          <w:rFonts w:ascii="Times New Roman" w:eastAsia="Times New Roman" w:hAnsi="Times New Roman"/>
          <w:b/>
          <w:bCs/>
          <w:i/>
          <w:sz w:val="22"/>
        </w:rPr>
        <w:t>Tableau</w:t>
      </w:r>
      <w:r w:rsidR="00384043">
        <w:rPr>
          <w:rFonts w:ascii="Times New Roman" w:eastAsia="Times New Roman" w:hAnsi="Times New Roman"/>
          <w:b/>
          <w:bCs/>
          <w:i/>
          <w:sz w:val="22"/>
        </w:rPr>
        <w:t>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4</w:t>
      </w:r>
      <w:r w:rsidR="00DD457B" w:rsidRPr="00771667">
        <w:rPr>
          <w:rFonts w:ascii="Times New Roman" w:eastAsia="Times New Roman" w:hAnsi="Times New Roman"/>
          <w:b/>
          <w:bCs/>
          <w:i/>
          <w:noProof/>
          <w:sz w:val="22"/>
        </w:rPr>
        <w:fldChar w:fldCharType="end"/>
      </w:r>
      <w:bookmarkEnd w:id="109"/>
      <w:r w:rsidR="002575A2">
        <w:rPr>
          <w:rFonts w:ascii="Times New Roman" w:eastAsia="Times New Roman" w:hAnsi="Times New Roman"/>
          <w:b/>
          <w:bCs/>
          <w:i/>
          <w:sz w:val="22"/>
        </w:rPr>
        <w:t> :</w:t>
      </w:r>
      <w:r w:rsidR="00E52F39">
        <w:rPr>
          <w:rFonts w:ascii="Times New Roman" w:eastAsia="Times New Roman" w:hAnsi="Times New Roman"/>
          <w:b/>
          <w:bCs/>
          <w:i/>
          <w:sz w:val="22"/>
        </w:rPr>
        <w:t xml:space="preserve"> s</w:t>
      </w:r>
      <w:r w:rsidRPr="00771667">
        <w:rPr>
          <w:rFonts w:ascii="Times New Roman" w:eastAsia="Times New Roman" w:hAnsi="Times New Roman"/>
          <w:b/>
          <w:bCs/>
          <w:i/>
          <w:sz w:val="22"/>
        </w:rPr>
        <w:t>tatistiques de l'occupation des sols dans la RNC de Gandon</w:t>
      </w:r>
    </w:p>
    <w:tbl>
      <w:tblPr>
        <w:tblW w:w="3271" w:type="pct"/>
        <w:jc w:val="center"/>
        <w:tblCellMar>
          <w:left w:w="70" w:type="dxa"/>
          <w:right w:w="70" w:type="dxa"/>
        </w:tblCellMar>
        <w:tblLook w:val="04A0" w:firstRow="1" w:lastRow="0" w:firstColumn="1" w:lastColumn="0" w:noHBand="0" w:noVBand="1"/>
      </w:tblPr>
      <w:tblGrid>
        <w:gridCol w:w="3271"/>
        <w:gridCol w:w="2647"/>
        <w:gridCol w:w="6"/>
      </w:tblGrid>
      <w:tr w:rsidR="00771667" w:rsidRPr="00771667" w:rsidTr="00075058">
        <w:trPr>
          <w:gridAfter w:val="1"/>
          <w:wAfter w:w="5" w:type="pct"/>
          <w:trHeight w:val="315"/>
          <w:jc w:val="center"/>
        </w:trPr>
        <w:tc>
          <w:tcPr>
            <w:tcW w:w="2761" w:type="pct"/>
            <w:tcBorders>
              <w:top w:val="single" w:sz="4" w:space="0" w:color="auto"/>
              <w:left w:val="single" w:sz="4" w:space="0" w:color="auto"/>
              <w:bottom w:val="single" w:sz="4" w:space="0" w:color="auto"/>
              <w:right w:val="single" w:sz="4" w:space="0" w:color="auto"/>
            </w:tcBorders>
            <w:shd w:val="clear" w:color="auto" w:fill="auto"/>
            <w:vAlign w:val="center"/>
          </w:tcPr>
          <w:p w:rsidR="00771667" w:rsidRPr="00771667" w:rsidRDefault="00771667" w:rsidP="00771667">
            <w:pPr>
              <w:spacing w:after="0"/>
              <w:rPr>
                <w:rFonts w:ascii="Times New Roman" w:eastAsia="Times New Roman" w:hAnsi="Times New Roman"/>
                <w:b/>
                <w:bCs/>
                <w:color w:val="000000"/>
              </w:rPr>
            </w:pPr>
            <w:r w:rsidRPr="00771667">
              <w:rPr>
                <w:rFonts w:ascii="Times New Roman" w:eastAsia="Times New Roman" w:hAnsi="Times New Roman"/>
                <w:b/>
                <w:bCs/>
                <w:color w:val="000000"/>
              </w:rPr>
              <w:t>Strate</w:t>
            </w:r>
          </w:p>
        </w:tc>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rsidR="00771667" w:rsidRPr="00771667" w:rsidRDefault="00771667" w:rsidP="00771667">
            <w:pPr>
              <w:spacing w:after="0"/>
              <w:jc w:val="right"/>
              <w:rPr>
                <w:rFonts w:ascii="Times New Roman" w:eastAsia="Times New Roman" w:hAnsi="Times New Roman"/>
                <w:b/>
                <w:bCs/>
                <w:color w:val="000000"/>
              </w:rPr>
            </w:pPr>
            <w:r w:rsidRPr="00771667">
              <w:rPr>
                <w:rFonts w:ascii="Times New Roman" w:eastAsia="Times New Roman" w:hAnsi="Times New Roman"/>
                <w:b/>
                <w:bCs/>
                <w:color w:val="000000"/>
              </w:rPr>
              <w:t>Superficie (ha)</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Eau</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457</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Mangrove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490</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Zone agricole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24</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Zone inondable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315</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Sols</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30</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Savane arbustive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173</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arbustive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16</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herbeuse humide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15</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herbeuse sèche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24</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b/>
                <w:bCs/>
                <w:color w:val="000000"/>
              </w:rPr>
            </w:pPr>
            <w:r w:rsidRPr="00771667">
              <w:rPr>
                <w:rFonts w:ascii="Times New Roman" w:eastAsia="Times New Roman" w:hAnsi="Times New Roman"/>
                <w:b/>
                <w:bCs/>
                <w:color w:val="000000"/>
              </w:rPr>
              <w:t>Total</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b/>
                <w:bCs/>
                <w:color w:val="000000"/>
              </w:rPr>
            </w:pPr>
            <w:r w:rsidRPr="00771667">
              <w:rPr>
                <w:rFonts w:ascii="Times New Roman" w:eastAsia="Times New Roman" w:hAnsi="Times New Roman"/>
                <w:b/>
                <w:bCs/>
                <w:color w:val="000000"/>
              </w:rPr>
              <w:t>1 544</w:t>
            </w:r>
          </w:p>
        </w:tc>
      </w:tr>
    </w:tbl>
    <w:p w:rsidR="00771667" w:rsidRPr="00771667" w:rsidRDefault="00771667" w:rsidP="00771667">
      <w:pPr>
        <w:rPr>
          <w:rFonts w:ascii="Times New Roman" w:hAnsi="Times New Roman"/>
          <w:sz w:val="22"/>
        </w:rPr>
      </w:pP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Selon une étude diachronique, entre 1984 et 2003, réalisée par le CSE (2004), des modifications</w:t>
      </w:r>
      <w:r w:rsidR="004533D6">
        <w:rPr>
          <w:rFonts w:ascii="Times New Roman" w:hAnsi="Times New Roman"/>
          <w:sz w:val="22"/>
          <w:szCs w:val="22"/>
        </w:rPr>
        <w:t xml:space="preserve"> </w:t>
      </w:r>
      <w:r w:rsidRPr="00771667">
        <w:rPr>
          <w:rFonts w:ascii="Times New Roman" w:hAnsi="Times New Roman"/>
          <w:sz w:val="22"/>
          <w:szCs w:val="22"/>
        </w:rPr>
        <w:t xml:space="preserve">majeures ont remarquées dans l’occupation et l’utilisation des sols. Le </w:t>
      </w:r>
      <w:r w:rsidRPr="00771667">
        <w:rPr>
          <w:rFonts w:ascii="Times New Roman" w:hAnsi="Times New Roman"/>
          <w:b/>
          <w:sz w:val="22"/>
          <w:szCs w:val="22"/>
        </w:rPr>
        <w:t>capital ligneux</w:t>
      </w:r>
      <w:r w:rsidRPr="00771667">
        <w:rPr>
          <w:rFonts w:ascii="Times New Roman" w:hAnsi="Times New Roman"/>
          <w:sz w:val="22"/>
          <w:szCs w:val="22"/>
        </w:rPr>
        <w:t xml:space="preserve"> de l’année 1984 était de 4,260,246 ha et est passé à 3,797,366 ha en 2004.</w:t>
      </w:r>
    </w:p>
    <w:p w:rsidR="00771667" w:rsidRPr="00771667" w:rsidRDefault="00771667" w:rsidP="00771667">
      <w:pPr>
        <w:numPr>
          <w:ilvl w:val="0"/>
          <w:numId w:val="88"/>
        </w:numPr>
        <w:spacing w:after="0"/>
        <w:contextualSpacing/>
        <w:rPr>
          <w:rFonts w:ascii="Times New Roman" w:hAnsi="Times New Roman"/>
          <w:sz w:val="22"/>
          <w:szCs w:val="22"/>
        </w:rPr>
      </w:pPr>
      <w:r w:rsidRPr="00771667">
        <w:rPr>
          <w:rFonts w:ascii="Times New Roman" w:hAnsi="Times New Roman"/>
          <w:sz w:val="22"/>
          <w:szCs w:val="22"/>
        </w:rPr>
        <w:t xml:space="preserve">D’après des informations du PEPAM, le </w:t>
      </w:r>
      <w:r w:rsidRPr="00771667">
        <w:rPr>
          <w:rFonts w:ascii="Times New Roman" w:hAnsi="Times New Roman"/>
          <w:b/>
          <w:sz w:val="22"/>
          <w:szCs w:val="22"/>
        </w:rPr>
        <w:t>niveau d’accès à l’eau potable</w:t>
      </w:r>
      <w:r w:rsidRPr="00771667">
        <w:rPr>
          <w:rFonts w:ascii="Times New Roman" w:hAnsi="Times New Roman"/>
          <w:sz w:val="22"/>
          <w:szCs w:val="22"/>
        </w:rPr>
        <w:t xml:space="preserve"> dans les communautés rurales de Gandon et Gandiol est de l’ordre de 81</w:t>
      </w:r>
      <w:r w:rsidR="00A72504">
        <w:rPr>
          <w:rFonts w:ascii="Times New Roman" w:hAnsi="Times New Roman"/>
          <w:sz w:val="22"/>
          <w:szCs w:val="22"/>
        </w:rPr>
        <w:t> %</w:t>
      </w:r>
      <w:r w:rsidRPr="00771667">
        <w:rPr>
          <w:rFonts w:ascii="Times New Roman" w:hAnsi="Times New Roman"/>
          <w:sz w:val="22"/>
          <w:szCs w:val="22"/>
        </w:rPr>
        <w:t xml:space="preserve"> ce qui n’est pas loin des objectifs de 82</w:t>
      </w:r>
      <w:r w:rsidR="00A72504">
        <w:rPr>
          <w:rFonts w:ascii="Times New Roman" w:hAnsi="Times New Roman"/>
          <w:sz w:val="22"/>
          <w:szCs w:val="22"/>
        </w:rPr>
        <w:t> %</w:t>
      </w:r>
      <w:r w:rsidRPr="00771667">
        <w:rPr>
          <w:rFonts w:ascii="Times New Roman" w:hAnsi="Times New Roman"/>
          <w:sz w:val="22"/>
          <w:szCs w:val="22"/>
        </w:rPr>
        <w:t xml:space="preserve"> visés en 2015 dans le cadre des Objectifs du Millénium pour le Développement.</w:t>
      </w:r>
    </w:p>
    <w:p w:rsidR="00771667" w:rsidRPr="00771667" w:rsidRDefault="00771667" w:rsidP="00771667">
      <w:pPr>
        <w:numPr>
          <w:ilvl w:val="0"/>
          <w:numId w:val="88"/>
        </w:numPr>
        <w:spacing w:after="0"/>
        <w:contextualSpacing/>
        <w:rPr>
          <w:rFonts w:ascii="Times New Roman" w:hAnsi="Times New Roman"/>
          <w:sz w:val="22"/>
          <w:szCs w:val="22"/>
        </w:rPr>
      </w:pPr>
      <w:r w:rsidRPr="00771667">
        <w:rPr>
          <w:rFonts w:ascii="Times New Roman" w:hAnsi="Times New Roman"/>
          <w:sz w:val="22"/>
          <w:szCs w:val="22"/>
        </w:rPr>
        <w:t xml:space="preserve">Les </w:t>
      </w:r>
      <w:r w:rsidRPr="00771667">
        <w:rPr>
          <w:rFonts w:ascii="Times New Roman" w:hAnsi="Times New Roman"/>
          <w:b/>
          <w:sz w:val="22"/>
          <w:szCs w:val="22"/>
        </w:rPr>
        <w:t>changements climatiques</w:t>
      </w:r>
      <w:r w:rsidRPr="00771667">
        <w:rPr>
          <w:rFonts w:ascii="Times New Roman" w:hAnsi="Times New Roman"/>
          <w:sz w:val="22"/>
          <w:szCs w:val="22"/>
        </w:rPr>
        <w:t xml:space="preserve"> observés dans cette zone et en relation avec les ressources en eau peuvent être classés comme suit</w:t>
      </w:r>
      <w:r w:rsidR="002575A2">
        <w:rPr>
          <w:rFonts w:ascii="Times New Roman" w:hAnsi="Times New Roman"/>
          <w:sz w:val="22"/>
          <w:szCs w:val="22"/>
        </w:rPr>
        <w:t> :</w:t>
      </w:r>
    </w:p>
    <w:p w:rsidR="00771667" w:rsidRPr="00771667"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 xml:space="preserve">les </w:t>
      </w:r>
      <w:r w:rsidRPr="00771667">
        <w:rPr>
          <w:rFonts w:ascii="Times New Roman" w:hAnsi="Times New Roman"/>
          <w:sz w:val="22"/>
          <w:szCs w:val="22"/>
        </w:rPr>
        <w:t>changements liés</w:t>
      </w:r>
      <w:r>
        <w:rPr>
          <w:rFonts w:ascii="Times New Roman" w:hAnsi="Times New Roman"/>
          <w:sz w:val="22"/>
          <w:szCs w:val="22"/>
        </w:rPr>
        <w:t xml:space="preserve"> à la baisse de la pluviométrie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 xml:space="preserve">les changements </w:t>
      </w:r>
      <w:r w:rsidR="00771667" w:rsidRPr="00F12E0C">
        <w:rPr>
          <w:rFonts w:ascii="Times New Roman" w:hAnsi="Times New Roman"/>
          <w:sz w:val="22"/>
          <w:szCs w:val="22"/>
        </w:rPr>
        <w:t>liés à la remontée du niveau de la mer et l’érosion côtière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 xml:space="preserve">les </w:t>
      </w:r>
      <w:r w:rsidR="00771667" w:rsidRPr="00F12E0C">
        <w:rPr>
          <w:rFonts w:ascii="Times New Roman" w:hAnsi="Times New Roman"/>
          <w:sz w:val="22"/>
          <w:szCs w:val="22"/>
        </w:rPr>
        <w:t>changements liés à certains projets et actions sur le milieu</w:t>
      </w:r>
      <w:r w:rsidRPr="00F12E0C">
        <w:rPr>
          <w:rFonts w:ascii="Times New Roman" w:hAnsi="Times New Roman"/>
          <w:sz w:val="22"/>
          <w:szCs w:val="22"/>
        </w:rPr>
        <w:t>, principalement l</w:t>
      </w:r>
      <w:r w:rsidR="00771667" w:rsidRPr="00F12E0C">
        <w:rPr>
          <w:rFonts w:ascii="Times New Roman" w:hAnsi="Times New Roman"/>
          <w:sz w:val="22"/>
          <w:szCs w:val="22"/>
        </w:rPr>
        <w:t xml:space="preserve">es changements relatifs aux barrages et aménagements sur le fleuve Sénégal et l’ouverture de la brèche sur </w:t>
      </w:r>
      <w:r w:rsidRPr="00F12E0C">
        <w:rPr>
          <w:rFonts w:ascii="Times New Roman" w:hAnsi="Times New Roman"/>
          <w:sz w:val="22"/>
          <w:szCs w:val="22"/>
        </w:rPr>
        <w:t>la langue de Barbarie en 2003.</w:t>
      </w:r>
    </w:p>
    <w:p w:rsidR="00771667" w:rsidRPr="00771667" w:rsidRDefault="00771667" w:rsidP="00771667">
      <w:pPr>
        <w:rPr>
          <w:rFonts w:ascii="Times New Roman" w:hAnsi="Times New Roman"/>
          <w:sz w:val="22"/>
          <w:szCs w:val="22"/>
        </w:rPr>
      </w:pPr>
      <w:r w:rsidRPr="00F12E0C">
        <w:rPr>
          <w:rFonts w:ascii="Times New Roman" w:hAnsi="Times New Roman"/>
          <w:sz w:val="22"/>
          <w:szCs w:val="22"/>
        </w:rPr>
        <w:t>En résumé le site du bas delta du Fleuve Sénégal est d’une</w:t>
      </w:r>
      <w:r w:rsidRPr="00771667">
        <w:rPr>
          <w:rFonts w:ascii="Times New Roman" w:hAnsi="Times New Roman"/>
          <w:sz w:val="22"/>
          <w:szCs w:val="22"/>
        </w:rPr>
        <w:t xml:space="preserve"> grande vulnérabilité par rapport aux changements climatiques et les populations des communes de Gandon et Ndiobène Gandiol sont les plus affectées et ont des capacités de résilience à ces changements relativement faibles.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7"/>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2"/>
                <w:szCs w:val="20"/>
              </w:rPr>
              <w:t>Matrice SWOT</w:t>
            </w:r>
          </w:p>
        </w:tc>
      </w:tr>
      <w:tr w:rsidR="00771667" w:rsidRPr="00771667" w:rsidTr="00771667">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Important potentiel en eau de surface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Invasion des eaux de surface, des nappes d’eau et des terres par les eaux salées marines (perte de terres agricoles et de zones de pâturage, conflits potentiels entre usagers)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Alimentation en eau des villages de la zone par le réseau de la SDE (Ndiock Sall et réseau de Saint Louis)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Insuffisances dans le système d’alimentation en eau potable (pression faible et production insuffisante en certains endroits)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Taux d’accès en alimentation en eau potable satisfaisant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Dégradation de la mangrove (disparition des palétuviers et apparition des tannes, développement de plantes aquatiques invasives)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Existence de plan de développement et de POAS (plan d’occupation et d’affectation des sols) au niveau des deux communes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Exode des populations ayant perdu leurs terres ou activités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Organisation des populations (mutuelle, CIV, Groupements de producteurs)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Désertification</w:t>
            </w:r>
          </w:p>
        </w:tc>
      </w:tr>
      <w:tr w:rsidR="00771667" w:rsidRPr="00771667" w:rsidTr="00771667">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quelques ressources humaines de bon niveau qui portent actuellement les actions de développement et appui de l’ARD</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 érosion côtière avec diverses conséquences (réduction des activités de pêche, accidents mortels, la disparition de filaos, saturation des sols.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Site en périphérie de Saint Louis et sur la route Nationale N1</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d’exploitation du sel et d’aménagement de la mangrove suite à l’avancée du niveau de la mer dans le continent</w:t>
            </w:r>
          </w:p>
        </w:tc>
        <w:tc>
          <w:tcPr>
            <w:tcW w:w="4603" w:type="dxa"/>
          </w:tcPr>
          <w:p w:rsidR="00771667" w:rsidRPr="00771667" w:rsidRDefault="00771667" w:rsidP="00771667">
            <w:pPr>
              <w:rPr>
                <w:rFonts w:ascii="Times New Roman"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Projet d’amélioration des conditions d’alimentation en eau potable en cours par la SONES</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nombreux partenaires intervenant entre autre dans le secteur de l’eau (PDIDAS, MCA, SAED)</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 disposer de sols et de ressources en eau avec le projet PDIDAS</w:t>
            </w:r>
          </w:p>
        </w:tc>
        <w:tc>
          <w:tcPr>
            <w:tcW w:w="4603" w:type="dxa"/>
          </w:tcPr>
          <w:p w:rsidR="00771667" w:rsidRPr="00771667" w:rsidRDefault="00771667" w:rsidP="00771667">
            <w:pPr>
              <w:spacing w:after="0"/>
              <w:jc w:val="left"/>
              <w:rPr>
                <w:rFonts w:ascii="Times New Roman" w:eastAsia="Times" w:hAnsi="Times New Roman"/>
                <w:szCs w:val="20"/>
              </w:rPr>
            </w:pP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10" w:name="_Toc339209628"/>
      <w:bookmarkStart w:id="111" w:name="_Toc339725242"/>
      <w:bookmarkStart w:id="112" w:name="_Toc496886593"/>
      <w:bookmarkStart w:id="113" w:name="_Toc498638430"/>
      <w:r w:rsidRPr="00771667">
        <w:rPr>
          <w:rFonts w:eastAsia="MS Gothic"/>
          <w:b/>
          <w:bCs/>
          <w:color w:val="4F81BD"/>
        </w:rPr>
        <w:t>B.I.2. Actions proposées dans le cadre du projet</w:t>
      </w:r>
      <w:bookmarkEnd w:id="110"/>
      <w:bookmarkEnd w:id="111"/>
      <w:bookmarkEnd w:id="112"/>
      <w:bookmarkEnd w:id="113"/>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18"/>
        </w:rPr>
      </w:pPr>
    </w:p>
    <w:p w:rsidR="00771667" w:rsidRPr="00771667" w:rsidRDefault="00771667" w:rsidP="00771667">
      <w:pPr>
        <w:numPr>
          <w:ilvl w:val="0"/>
          <w:numId w:val="88"/>
        </w:numPr>
        <w:spacing w:after="0"/>
        <w:contextualSpacing/>
        <w:rPr>
          <w:rFonts w:ascii="Times New Roman" w:hAnsi="Times New Roman"/>
          <w:sz w:val="22"/>
        </w:rPr>
      </w:pPr>
      <w:r w:rsidRPr="00771667">
        <w:rPr>
          <w:rFonts w:ascii="Times New Roman" w:hAnsi="Times New Roman"/>
          <w:sz w:val="22"/>
          <w:u w:val="single"/>
        </w:rPr>
        <w:t>Lutte contre l’érosion côtière</w:t>
      </w:r>
      <w:r w:rsidRPr="00771667">
        <w:rPr>
          <w:rFonts w:ascii="Times New Roman" w:hAnsi="Times New Roman"/>
          <w:sz w:val="22"/>
        </w:rPr>
        <w:t xml:space="preserve">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Mise en place d’un fort </w:t>
      </w:r>
      <w:r w:rsidRPr="00771667">
        <w:rPr>
          <w:rFonts w:ascii="Times New Roman" w:hAnsi="Times New Roman"/>
          <w:b/>
          <w:sz w:val="22"/>
        </w:rPr>
        <w:t>plaidoyer</w:t>
      </w:r>
      <w:r w:rsidRPr="00771667">
        <w:rPr>
          <w:rFonts w:ascii="Times New Roman" w:hAnsi="Times New Roman"/>
          <w:sz w:val="22"/>
        </w:rPr>
        <w:t xml:space="preserve"> aussi bien au niveau local et national et éventuellement international pour faire prendre connaissance de la vulnérabilité des populations de cette zone suite à une initiative de sauvetage de la ville de Saint Louis et susciter une forte adhésion à un esprit de solidarité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Cette solidarité pourrait se concrétiser par la </w:t>
      </w:r>
      <w:r w:rsidRPr="00771667">
        <w:rPr>
          <w:rFonts w:ascii="Times New Roman" w:hAnsi="Times New Roman"/>
          <w:b/>
          <w:sz w:val="22"/>
        </w:rPr>
        <w:t xml:space="preserve">mise en place d’un mode de financement </w:t>
      </w:r>
      <w:r w:rsidR="00311A1A">
        <w:rPr>
          <w:rFonts w:ascii="Times New Roman" w:hAnsi="Times New Roman"/>
          <w:b/>
          <w:sz w:val="22"/>
        </w:rPr>
        <w:t>novateur</w:t>
      </w:r>
      <w:r w:rsidRPr="00771667">
        <w:rPr>
          <w:rFonts w:ascii="Times New Roman" w:hAnsi="Times New Roman"/>
          <w:b/>
          <w:sz w:val="22"/>
        </w:rPr>
        <w:t xml:space="preserve"> </w:t>
      </w:r>
      <w:r w:rsidRPr="00771667">
        <w:rPr>
          <w:rFonts w:ascii="Times New Roman" w:hAnsi="Times New Roman"/>
          <w:sz w:val="22"/>
        </w:rPr>
        <w:t>dont les ressources proviendraient de (i) structures ayant une responsabilité dans les conditions qui sont à l’origine de l’ouverture de la brèche ou qui bénéficient des avantages de la brèche (OMVS, SAED, CSS, Producteurs de la vallée, mairie de Saint Louis… ), (ii) de partenaires locaux et extérieurs intervenant dans la protection de l’environnement et les changements climatiques ou sensibles à la problématique de l’érosion côtière.</w:t>
      </w:r>
    </w:p>
    <w:p w:rsidR="00771667" w:rsidRPr="00771667" w:rsidRDefault="00771667" w:rsidP="00771667">
      <w:pPr>
        <w:spacing w:after="0"/>
        <w:ind w:left="1080"/>
        <w:contextualSpacing/>
        <w:rPr>
          <w:rFonts w:ascii="Times New Roman" w:hAnsi="Times New Roman"/>
          <w:sz w:val="22"/>
        </w:rPr>
      </w:pPr>
    </w:p>
    <w:p w:rsidR="00E52F39" w:rsidRPr="00E52F39" w:rsidRDefault="00771667" w:rsidP="00771667">
      <w:pPr>
        <w:numPr>
          <w:ilvl w:val="0"/>
          <w:numId w:val="88"/>
        </w:numPr>
        <w:spacing w:after="0"/>
        <w:contextualSpacing/>
        <w:rPr>
          <w:rFonts w:ascii="Times New Roman" w:hAnsi="Times New Roman"/>
          <w:sz w:val="22"/>
        </w:rPr>
      </w:pPr>
      <w:r w:rsidRPr="00771667">
        <w:rPr>
          <w:rFonts w:ascii="Times New Roman" w:hAnsi="Times New Roman"/>
          <w:sz w:val="22"/>
          <w:u w:val="single"/>
        </w:rPr>
        <w:t>Amélioration de la disponibilité de l’eau pour les activités génératrices de revenus</w:t>
      </w:r>
      <w:r w:rsidRPr="00771667">
        <w:rPr>
          <w:rFonts w:ascii="Times New Roman" w:hAnsi="Times New Roman"/>
          <w:sz w:val="22"/>
        </w:rPr>
        <w:t xml:space="preserve"> </w:t>
      </w:r>
      <w:r w:rsidRPr="00771667">
        <w:rPr>
          <w:rFonts w:ascii="Times New Roman" w:hAnsi="Times New Roman"/>
          <w:sz w:val="22"/>
          <w:u w:val="single"/>
        </w:rPr>
        <w:t>(</w:t>
      </w:r>
      <w:r w:rsidR="00F06548">
        <w:rPr>
          <w:rFonts w:ascii="Times New Roman" w:hAnsi="Times New Roman"/>
          <w:sz w:val="22"/>
          <w:u w:val="single"/>
        </w:rPr>
        <w:t>maraîchage</w:t>
      </w:r>
      <w:r w:rsidRPr="00771667">
        <w:rPr>
          <w:rFonts w:ascii="Times New Roman" w:hAnsi="Times New Roman"/>
          <w:sz w:val="22"/>
          <w:u w:val="single"/>
        </w:rPr>
        <w:t xml:space="preserve"> en particulier) et récupération de terres salées.</w:t>
      </w:r>
    </w:p>
    <w:p w:rsidR="00771667" w:rsidRPr="00771667" w:rsidRDefault="00771667" w:rsidP="00E52F39">
      <w:pPr>
        <w:spacing w:after="0"/>
        <w:ind w:left="1134"/>
        <w:contextualSpacing/>
        <w:rPr>
          <w:rFonts w:ascii="Times New Roman" w:hAnsi="Times New Roman"/>
          <w:sz w:val="22"/>
        </w:rPr>
      </w:pPr>
      <w:r w:rsidRPr="00771667">
        <w:rPr>
          <w:rFonts w:ascii="Times New Roman" w:hAnsi="Times New Roman"/>
          <w:sz w:val="22"/>
        </w:rPr>
        <w:t>Il s’agit d’une demande d’adaptation aux changements climatiques exprimée dans toutes les zones d’intervent</w:t>
      </w:r>
      <w:r w:rsidR="00E82CB3">
        <w:rPr>
          <w:rFonts w:ascii="Times New Roman" w:hAnsi="Times New Roman"/>
          <w:sz w:val="22"/>
        </w:rPr>
        <w:t>ion du projet. Pour la zone du d</w:t>
      </w:r>
      <w:r w:rsidRPr="00771667">
        <w:rPr>
          <w:rFonts w:ascii="Times New Roman" w:hAnsi="Times New Roman"/>
          <w:sz w:val="22"/>
        </w:rPr>
        <w:t xml:space="preserve">elta du Fleuve Sénégal où les seules possibilités sont celles que pourrait offrir le </w:t>
      </w:r>
      <w:r w:rsidRPr="00771667">
        <w:rPr>
          <w:rFonts w:ascii="Times New Roman" w:hAnsi="Times New Roman"/>
          <w:b/>
          <w:sz w:val="22"/>
        </w:rPr>
        <w:t>projet PDIDAS</w:t>
      </w:r>
      <w:r w:rsidRPr="00771667">
        <w:rPr>
          <w:rFonts w:ascii="Times New Roman" w:hAnsi="Times New Roman"/>
          <w:sz w:val="22"/>
        </w:rPr>
        <w:t>, un partenariat devrait être établi avec ce projet pour une prise en compte du besoin de récupération de terres salées pour le compte des populations de la RNC de Gandon/Diobène Gandiole.</w:t>
      </w:r>
    </w:p>
    <w:p w:rsidR="00771667" w:rsidRPr="00771667" w:rsidRDefault="00771667" w:rsidP="00771667">
      <w:pPr>
        <w:ind w:left="360"/>
        <w:rPr>
          <w:sz w:val="18"/>
        </w:rPr>
      </w:pPr>
    </w:p>
    <w:p w:rsidR="00771667" w:rsidRPr="00771667" w:rsidRDefault="00384043" w:rsidP="00771667">
      <w:pPr>
        <w:keepNext/>
        <w:spacing w:after="100"/>
        <w:jc w:val="center"/>
        <w:rPr>
          <w:rFonts w:ascii="Times New Roman" w:eastAsia="Times New Roman" w:hAnsi="Times New Roman"/>
          <w:b/>
          <w:bCs/>
          <w:i/>
          <w:sz w:val="22"/>
        </w:rPr>
      </w:pPr>
      <w:r>
        <w:rPr>
          <w:rFonts w:ascii="Times New Roman" w:eastAsia="Times New Roman" w:hAnsi="Times New Roman"/>
          <w:b/>
          <w:bCs/>
          <w:i/>
          <w:sz w:val="22"/>
        </w:rPr>
        <w:t>Tableau </w:t>
      </w:r>
      <w:r w:rsidR="00DD457B" w:rsidRPr="00771667">
        <w:rPr>
          <w:rFonts w:ascii="Times New Roman" w:eastAsia="Times New Roman" w:hAnsi="Times New Roman"/>
          <w:b/>
          <w:bCs/>
          <w:i/>
          <w:sz w:val="22"/>
        </w:rPr>
        <w:fldChar w:fldCharType="begin"/>
      </w:r>
      <w:r w:rsidR="00771667"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5</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00771667" w:rsidRPr="00771667">
        <w:rPr>
          <w:rFonts w:ascii="Times New Roman" w:eastAsia="Times New Roman" w:hAnsi="Times New Roman"/>
          <w:b/>
          <w:bCs/>
          <w:i/>
          <w:sz w:val="22"/>
        </w:rPr>
        <w:t>hiffrage de propositions liées à la gestion de l'eau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384043">
              <w:rPr>
                <w:rFonts w:ascii="Times New Roman" w:eastAsia="Times New Roman" w:hAnsi="Times New Roman"/>
                <w:b/>
                <w:bCs/>
                <w:color w:val="000000"/>
                <w:szCs w:val="18"/>
              </w:rPr>
              <w:t>cofinancement</w:t>
            </w:r>
            <w:r w:rsidRPr="00771667">
              <w:rPr>
                <w:rFonts w:ascii="Times New Roman" w:eastAsia="Times New Roman" w:hAnsi="Times New Roman"/>
                <w:b/>
                <w:bCs/>
                <w:color w:val="000000"/>
                <w:szCs w:val="18"/>
              </w:rPr>
              <w: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(PDIDAS)</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 (provision pour récupération de terres salées)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8712CB" w:rsidP="008712CB">
            <w:pPr>
              <w:spacing w:after="0"/>
              <w:jc w:val="center"/>
              <w:rPr>
                <w:rFonts w:ascii="Times New Roman" w:eastAsia="Times New Roman" w:hAnsi="Times New Roman"/>
                <w:color w:val="000000"/>
                <w:szCs w:val="18"/>
              </w:rPr>
            </w:pPr>
            <w:r>
              <w:rPr>
                <w:rFonts w:ascii="Times New Roman" w:eastAsia="Times New Roman" w:hAnsi="Times New Roman"/>
                <w:color w:val="000000"/>
                <w:szCs w:val="18"/>
              </w:rPr>
              <w:t xml:space="preserve"> 50 000 000</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PDIDAS</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Développement de filières</w:t>
      </w:r>
      <w:r w:rsidR="002575A2">
        <w:rPr>
          <w:rFonts w:ascii="Times New Roman" w:hAnsi="Times New Roman"/>
          <w:sz w:val="22"/>
          <w:szCs w:val="22"/>
          <w:u w:val="single"/>
        </w:rPr>
        <w:t> :</w:t>
      </w:r>
      <w:r w:rsidRPr="00771667">
        <w:rPr>
          <w:rFonts w:ascii="Times New Roman" w:hAnsi="Times New Roman"/>
          <w:sz w:val="22"/>
          <w:szCs w:val="22"/>
        </w:rPr>
        <w:t xml:space="preserve"> développement de la </w:t>
      </w:r>
      <w:r w:rsidRPr="00771667">
        <w:rPr>
          <w:rFonts w:ascii="Times New Roman" w:hAnsi="Times New Roman"/>
          <w:b/>
          <w:sz w:val="22"/>
          <w:szCs w:val="22"/>
        </w:rPr>
        <w:t>filière huître</w:t>
      </w:r>
      <w:r w:rsidRPr="00771667">
        <w:rPr>
          <w:rFonts w:ascii="Times New Roman" w:hAnsi="Times New Roman"/>
          <w:sz w:val="22"/>
          <w:szCs w:val="22"/>
        </w:rPr>
        <w:t xml:space="preserve">, développement de la </w:t>
      </w:r>
      <w:r w:rsidRPr="00771667">
        <w:rPr>
          <w:rFonts w:ascii="Times New Roman" w:hAnsi="Times New Roman"/>
          <w:b/>
          <w:sz w:val="22"/>
          <w:szCs w:val="22"/>
        </w:rPr>
        <w:t>filière sel</w:t>
      </w:r>
      <w:r w:rsidRPr="00771667">
        <w:rPr>
          <w:rFonts w:ascii="Times New Roman" w:hAnsi="Times New Roman"/>
          <w:sz w:val="22"/>
          <w:szCs w:val="22"/>
        </w:rPr>
        <w:t xml:space="preserve"> et </w:t>
      </w:r>
      <w:r w:rsidRPr="00771667">
        <w:rPr>
          <w:rFonts w:ascii="Times New Roman" w:hAnsi="Times New Roman"/>
          <w:b/>
          <w:sz w:val="22"/>
          <w:szCs w:val="22"/>
        </w:rPr>
        <w:t>développement d’activités de maraîchage dans les forêts</w:t>
      </w:r>
      <w:r w:rsidRPr="00771667">
        <w:rPr>
          <w:rFonts w:ascii="Times New Roman" w:hAnsi="Times New Roman"/>
          <w:sz w:val="22"/>
          <w:szCs w:val="22"/>
        </w:rPr>
        <w:t>.</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A Ndiébène Gandiolé, le projet MCA avait prévu de construire une garderie d’enfants pour permettre aux femmes de s’adonner plus librement aux différentes activités de développement notamment à la récolte du sel et à la cueillette des huîtres. Appui au </w:t>
      </w:r>
      <w:r w:rsidRPr="00771667">
        <w:rPr>
          <w:rFonts w:ascii="Times New Roman" w:hAnsi="Times New Roman"/>
          <w:b/>
          <w:sz w:val="22"/>
          <w:szCs w:val="22"/>
        </w:rPr>
        <w:t>micro-jardinage</w:t>
      </w:r>
      <w:r w:rsidRPr="00771667">
        <w:rPr>
          <w:rFonts w:ascii="Times New Roman" w:hAnsi="Times New Roman"/>
          <w:sz w:val="22"/>
          <w:szCs w:val="22"/>
        </w:rPr>
        <w:t>, et à l’</w:t>
      </w:r>
      <w:r w:rsidRPr="00771667">
        <w:rPr>
          <w:rFonts w:ascii="Times New Roman" w:hAnsi="Times New Roman"/>
          <w:b/>
          <w:sz w:val="22"/>
          <w:szCs w:val="22"/>
        </w:rPr>
        <w:t>élevage</w:t>
      </w:r>
      <w:r w:rsidRPr="00771667">
        <w:rPr>
          <w:rFonts w:ascii="Times New Roman" w:hAnsi="Times New Roman"/>
          <w:sz w:val="22"/>
          <w:szCs w:val="22"/>
        </w:rPr>
        <w:t>, ovin (achat de géniteurs) et avicole (construction de poulaillers et acquisition de coqs).</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Récupération de terres salées</w:t>
      </w:r>
    </w:p>
    <w:p w:rsidR="00771667" w:rsidRPr="00771667" w:rsidRDefault="00771667" w:rsidP="00771667">
      <w:pPr>
        <w:numPr>
          <w:ilvl w:val="0"/>
          <w:numId w:val="86"/>
        </w:numPr>
        <w:spacing w:after="0"/>
        <w:contextualSpacing/>
        <w:rPr>
          <w:rFonts w:ascii="Times New Roman" w:hAnsi="Times New Roman"/>
          <w:color w:val="FF0000"/>
          <w:sz w:val="22"/>
          <w:szCs w:val="22"/>
        </w:rPr>
      </w:pPr>
      <w:r w:rsidRPr="00771667">
        <w:rPr>
          <w:rFonts w:ascii="Times New Roman" w:hAnsi="Times New Roman"/>
          <w:sz w:val="22"/>
          <w:szCs w:val="22"/>
          <w:u w:val="single"/>
        </w:rPr>
        <w:t>Mise en place de formations </w:t>
      </w:r>
      <w:r w:rsidRPr="00771667">
        <w:rPr>
          <w:rFonts w:ascii="Times New Roman" w:hAnsi="Times New Roman"/>
          <w:sz w:val="22"/>
          <w:szCs w:val="22"/>
        </w:rPr>
        <w:t>en fonction des besoins identifiés</w:t>
      </w:r>
      <w:r w:rsidR="002575A2">
        <w:rPr>
          <w:rFonts w:ascii="Times New Roman" w:hAnsi="Times New Roman"/>
          <w:sz w:val="22"/>
          <w:szCs w:val="22"/>
        </w:rPr>
        <w:t> :</w:t>
      </w:r>
    </w:p>
    <w:p w:rsidR="00771667" w:rsidRPr="00771667"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l</w:t>
      </w:r>
      <w:r w:rsidR="00771667" w:rsidRPr="00771667">
        <w:rPr>
          <w:rFonts w:ascii="Times New Roman" w:hAnsi="Times New Roman"/>
          <w:sz w:val="22"/>
          <w:szCs w:val="22"/>
        </w:rPr>
        <w:t>a gestion et l’exploitation des infrastructures rurales (forage, mare pastorale, périmètres maraichers, bergerie, poulailler, plateforme multifonctionnelle, moulin, broyeur, magasin de stockage, unité de transformation, tank à lait, kit de biogaz, etc.)</w:t>
      </w:r>
    </w:p>
    <w:p w:rsidR="00771667" w:rsidRPr="00F12E0C"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l</w:t>
      </w:r>
      <w:r w:rsidR="00771667" w:rsidRPr="00771667">
        <w:rPr>
          <w:rFonts w:ascii="Times New Roman" w:hAnsi="Times New Roman"/>
          <w:sz w:val="22"/>
          <w:szCs w:val="22"/>
        </w:rPr>
        <w:t xml:space="preserve">a gestion des </w:t>
      </w:r>
      <w:r w:rsidR="00771667" w:rsidRPr="00F12E0C">
        <w:rPr>
          <w:rFonts w:ascii="Times New Roman" w:hAnsi="Times New Roman"/>
          <w:sz w:val="22"/>
          <w:szCs w:val="22"/>
        </w:rPr>
        <w:t>activités financées par crédit revolving</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financière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 xml:space="preserve">es techniques culturales (cultures vivrières et </w:t>
      </w:r>
      <w:r w:rsidR="00F06548">
        <w:rPr>
          <w:rFonts w:ascii="Times New Roman" w:hAnsi="Times New Roman"/>
          <w:sz w:val="22"/>
          <w:szCs w:val="22"/>
        </w:rPr>
        <w:t>maraîchage</w:t>
      </w:r>
      <w:r w:rsidR="00771667" w:rsidRPr="00F12E0C">
        <w:rPr>
          <w:rFonts w:ascii="Times New Roman" w:hAnsi="Times New Roman"/>
          <w:sz w:val="22"/>
          <w:szCs w:val="22"/>
        </w:rPr>
        <w:t>)</w:t>
      </w:r>
      <w:r w:rsidR="008712CB">
        <w:rPr>
          <w:rFonts w:ascii="Times New Roman" w:hAnsi="Times New Roman"/>
          <w:sz w:val="22"/>
          <w:szCs w:val="22"/>
        </w:rPr>
        <w:t xml:space="preserve"> </w:t>
      </w:r>
      <w:r w:rsidR="00771667" w:rsidRPr="00F12E0C">
        <w:rPr>
          <w:rFonts w:ascii="Times New Roman" w:hAnsi="Times New Roman"/>
          <w:sz w:val="22"/>
          <w:szCs w:val="22"/>
        </w:rPr>
        <w:t>et</w:t>
      </w:r>
      <w:r w:rsidRPr="00F12E0C">
        <w:rPr>
          <w:rFonts w:ascii="Times New Roman" w:hAnsi="Times New Roman"/>
          <w:sz w:val="22"/>
          <w:szCs w:val="22"/>
        </w:rPr>
        <w:t xml:space="preserve"> d’élevage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stockage des intrants, de produits agricoles et des sous-produits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 l’eau et l’irrigation</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des risques et l’assurance agricole</w:t>
      </w:r>
      <w:r w:rsidRPr="00F12E0C">
        <w:rPr>
          <w:rFonts w:ascii="Times New Roman" w:hAnsi="Times New Roman"/>
          <w:sz w:val="24"/>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conseil agricole et rural</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la gestion de l’espace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des conflits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plaidoyer et la levée de fonds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transformation et la gestion de la qualité</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es normes HCCP</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’emballage l’étiquetage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planification budgétaire et l’exécution du budget</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plaidoyer</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es fonds d’adaptation et de résilience et le marché du carbone</w:t>
      </w:r>
      <w:r w:rsidRPr="00F12E0C">
        <w:rPr>
          <w:rFonts w:ascii="Times New Roman" w:hAnsi="Times New Roman"/>
          <w:sz w:val="24"/>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système d’alerte précoce et l’information agro-climatique</w:t>
      </w:r>
      <w:r w:rsidRPr="00F12E0C">
        <w:rPr>
          <w:rFonts w:ascii="Times New Roman" w:hAnsi="Times New Roman"/>
          <w:sz w:val="22"/>
          <w:szCs w:val="22"/>
        </w:rPr>
        <w:t>.</w:t>
      </w:r>
    </w:p>
    <w:p w:rsidR="00E52F39" w:rsidRPr="00F12E0C" w:rsidRDefault="00E52F39" w:rsidP="00E52F39">
      <w:pPr>
        <w:spacing w:after="0"/>
        <w:contextualSpacing/>
        <w:rPr>
          <w:rFonts w:ascii="Times New Roman" w:hAnsi="Times New Roman"/>
          <w:sz w:val="22"/>
          <w:szCs w:val="22"/>
        </w:rPr>
      </w:pPr>
    </w:p>
    <w:p w:rsidR="00771667" w:rsidRPr="00771667" w:rsidRDefault="00E52F39" w:rsidP="00771667">
      <w:pPr>
        <w:rPr>
          <w:rFonts w:ascii="Times New Roman" w:hAnsi="Times New Roman"/>
          <w:sz w:val="22"/>
          <w:szCs w:val="22"/>
        </w:rPr>
      </w:pPr>
      <w:r w:rsidRPr="00F12E0C">
        <w:rPr>
          <w:rFonts w:ascii="Times New Roman" w:hAnsi="Times New Roman"/>
          <w:sz w:val="22"/>
          <w:szCs w:val="22"/>
        </w:rPr>
        <w:t xml:space="preserve">Les partenaires potentiels sont : </w:t>
      </w:r>
      <w:r w:rsidR="00771667" w:rsidRPr="00F12E0C">
        <w:rPr>
          <w:rFonts w:ascii="Times New Roman" w:hAnsi="Times New Roman"/>
          <w:sz w:val="22"/>
          <w:szCs w:val="22"/>
        </w:rPr>
        <w:t>les agences d’exécution pour la réalisation d’infrastructures, pour le conseil agricole et rural (ARD, ANCAR, BAMTAARE, ANEV, ITA, AVSF, PNBS (Programme National de Bioagz au Sénégal), DBRLA)</w:t>
      </w:r>
      <w:r w:rsidRPr="00F12E0C">
        <w:rPr>
          <w:rFonts w:ascii="Times New Roman" w:hAnsi="Times New Roman"/>
          <w:sz w:val="22"/>
          <w:szCs w:val="22"/>
        </w:rPr>
        <w:t> ;</w:t>
      </w:r>
      <w:r w:rsidR="00771667" w:rsidRPr="00F12E0C">
        <w:rPr>
          <w:rFonts w:ascii="Times New Roman" w:hAnsi="Times New Roman"/>
          <w:sz w:val="22"/>
          <w:szCs w:val="22"/>
        </w:rPr>
        <w:t xml:space="preserve"> les projets et programmes en cours (P2RS, PADAER, </w:t>
      </w:r>
      <w:r w:rsidR="00D8296A">
        <w:rPr>
          <w:rFonts w:ascii="Times New Roman" w:hAnsi="Times New Roman"/>
          <w:sz w:val="22"/>
          <w:szCs w:val="22"/>
        </w:rPr>
        <w:t>PASA Loumakaf</w:t>
      </w:r>
      <w:r w:rsidRPr="00F12E0C">
        <w:rPr>
          <w:rFonts w:ascii="Times New Roman" w:hAnsi="Times New Roman"/>
          <w:sz w:val="22"/>
          <w:szCs w:val="22"/>
        </w:rPr>
        <w:t>, PAFA-E, PRAPS, PDESOC ;</w:t>
      </w:r>
      <w:r w:rsidR="00771667" w:rsidRPr="00F12E0C">
        <w:rPr>
          <w:rFonts w:ascii="Times New Roman" w:hAnsi="Times New Roman"/>
          <w:sz w:val="22"/>
          <w:szCs w:val="22"/>
        </w:rPr>
        <w:t xml:space="preserve"> projet résilience face</w:t>
      </w:r>
      <w:r w:rsidR="00771667" w:rsidRPr="00771667">
        <w:rPr>
          <w:rFonts w:ascii="Times New Roman" w:hAnsi="Times New Roman"/>
          <w:sz w:val="22"/>
          <w:szCs w:val="22"/>
        </w:rPr>
        <w:t xml:space="preserve"> aux changements climatiques </w:t>
      </w:r>
      <w:r w:rsidR="00771667" w:rsidRPr="00F12E0C">
        <w:rPr>
          <w:rFonts w:ascii="Times New Roman" w:hAnsi="Times New Roman"/>
          <w:sz w:val="22"/>
          <w:szCs w:val="22"/>
        </w:rPr>
        <w:t>et champs écoles de la FAO, DRIARS, PDIDAS, MCA)</w:t>
      </w:r>
      <w:r w:rsidRPr="00F12E0C">
        <w:rPr>
          <w:rFonts w:ascii="Times New Roman" w:hAnsi="Times New Roman"/>
          <w:sz w:val="22"/>
          <w:szCs w:val="22"/>
        </w:rPr>
        <w:t> ;</w:t>
      </w:r>
      <w:r w:rsidR="00771667" w:rsidRPr="00F12E0C">
        <w:rPr>
          <w:rFonts w:ascii="Times New Roman" w:hAnsi="Times New Roman"/>
          <w:sz w:val="22"/>
          <w:szCs w:val="22"/>
        </w:rPr>
        <w:t xml:space="preserve"> les structures de l’</w:t>
      </w:r>
      <w:r w:rsidRPr="00F12E0C">
        <w:rPr>
          <w:rFonts w:ascii="Times New Roman" w:hAnsi="Times New Roman"/>
          <w:sz w:val="22"/>
          <w:szCs w:val="22"/>
        </w:rPr>
        <w:t>État</w:t>
      </w:r>
      <w:r w:rsidR="00771667" w:rsidRPr="00F12E0C">
        <w:rPr>
          <w:rFonts w:ascii="Times New Roman" w:hAnsi="Times New Roman"/>
          <w:sz w:val="22"/>
          <w:szCs w:val="22"/>
        </w:rPr>
        <w:t xml:space="preserve"> (Gouvernance, préfecture et sou</w:t>
      </w:r>
      <w:r w:rsidRPr="00F12E0C">
        <w:rPr>
          <w:rFonts w:ascii="Times New Roman" w:hAnsi="Times New Roman"/>
          <w:sz w:val="22"/>
          <w:szCs w:val="22"/>
        </w:rPr>
        <w:t>s</w:t>
      </w:r>
      <w:r w:rsidR="00771667" w:rsidRPr="00F12E0C">
        <w:rPr>
          <w:rFonts w:ascii="Times New Roman" w:hAnsi="Times New Roman"/>
          <w:sz w:val="22"/>
          <w:szCs w:val="22"/>
        </w:rPr>
        <w:t>–préfecture</w:t>
      </w:r>
      <w:r w:rsidRPr="00F12E0C">
        <w:rPr>
          <w:rFonts w:ascii="Times New Roman" w:hAnsi="Times New Roman"/>
          <w:sz w:val="22"/>
          <w:szCs w:val="22"/>
        </w:rPr>
        <w:t> ;</w:t>
      </w:r>
      <w:r w:rsidR="00771667" w:rsidRPr="00F12E0C">
        <w:rPr>
          <w:rFonts w:ascii="Times New Roman" w:hAnsi="Times New Roman"/>
          <w:sz w:val="22"/>
          <w:szCs w:val="22"/>
        </w:rPr>
        <w:t xml:space="preserve"> </w:t>
      </w:r>
      <w:r w:rsidRPr="00F12E0C">
        <w:rPr>
          <w:rFonts w:ascii="Times New Roman" w:hAnsi="Times New Roman"/>
          <w:sz w:val="22"/>
          <w:szCs w:val="22"/>
        </w:rPr>
        <w:t>le Ministère chargé de l’e</w:t>
      </w:r>
      <w:r w:rsidR="00771667" w:rsidRPr="00F12E0C">
        <w:rPr>
          <w:rFonts w:ascii="Times New Roman" w:hAnsi="Times New Roman"/>
          <w:sz w:val="22"/>
          <w:szCs w:val="22"/>
        </w:rPr>
        <w:t>nvironnement</w:t>
      </w:r>
      <w:r w:rsidRPr="00F12E0C">
        <w:rPr>
          <w:rFonts w:ascii="Times New Roman" w:hAnsi="Times New Roman"/>
          <w:sz w:val="22"/>
          <w:szCs w:val="22"/>
        </w:rPr>
        <w:t> ;</w:t>
      </w:r>
      <w:r w:rsidR="00771667" w:rsidRPr="00F12E0C">
        <w:rPr>
          <w:rFonts w:ascii="Times New Roman" w:hAnsi="Times New Roman"/>
          <w:sz w:val="22"/>
          <w:szCs w:val="22"/>
        </w:rPr>
        <w:t xml:space="preserve"> </w:t>
      </w:r>
      <w:r w:rsidRPr="00F12E0C">
        <w:rPr>
          <w:rFonts w:ascii="Times New Roman" w:hAnsi="Times New Roman"/>
          <w:sz w:val="22"/>
          <w:szCs w:val="22"/>
        </w:rPr>
        <w:t>le Ministère chargé de l’a</w:t>
      </w:r>
      <w:r w:rsidR="00771667" w:rsidRPr="00F12E0C">
        <w:rPr>
          <w:rFonts w:ascii="Times New Roman" w:hAnsi="Times New Roman"/>
          <w:sz w:val="22"/>
          <w:szCs w:val="22"/>
        </w:rPr>
        <w:t>griculture,</w:t>
      </w:r>
      <w:r w:rsidRPr="00F12E0C">
        <w:rPr>
          <w:rFonts w:ascii="Times New Roman" w:hAnsi="Times New Roman"/>
          <w:sz w:val="22"/>
          <w:szCs w:val="22"/>
        </w:rPr>
        <w:t xml:space="preserve"> SAED, SODEFITEX, SODAGRI, DRDR ; le Ministère chargé de l’élevage ; le Ministère chargé de la pêche ; le</w:t>
      </w:r>
      <w:r w:rsidR="00771667" w:rsidRPr="00F12E0C">
        <w:rPr>
          <w:rFonts w:ascii="Times New Roman" w:hAnsi="Times New Roman"/>
          <w:sz w:val="22"/>
          <w:szCs w:val="22"/>
        </w:rPr>
        <w:t xml:space="preserve"> </w:t>
      </w:r>
      <w:r w:rsidR="00F12E0C">
        <w:rPr>
          <w:rFonts w:ascii="Times New Roman" w:hAnsi="Times New Roman"/>
          <w:sz w:val="22"/>
          <w:szCs w:val="22"/>
        </w:rPr>
        <w:t>Ministère chargé de l’h</w:t>
      </w:r>
      <w:r w:rsidR="00771667" w:rsidRPr="00F12E0C">
        <w:rPr>
          <w:rFonts w:ascii="Times New Roman" w:hAnsi="Times New Roman"/>
          <w:sz w:val="22"/>
          <w:szCs w:val="22"/>
        </w:rPr>
        <w:t>ydraulique</w:t>
      </w:r>
      <w:r w:rsidRPr="00F12E0C">
        <w:rPr>
          <w:rFonts w:ascii="Times New Roman" w:hAnsi="Times New Roman"/>
          <w:sz w:val="22"/>
          <w:szCs w:val="22"/>
        </w:rPr>
        <w:t>) ;</w:t>
      </w:r>
      <w:r w:rsidR="00771667" w:rsidRPr="00F12E0C">
        <w:rPr>
          <w:rFonts w:ascii="Times New Roman" w:hAnsi="Times New Roman"/>
          <w:sz w:val="22"/>
          <w:szCs w:val="22"/>
        </w:rPr>
        <w:t xml:space="preserve"> les partenaires techniques et financiers (UE, FIDA, BM, BAD, ONUDI, PNUD, FAO).</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6</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l'agriculture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Partenaires éventue</w:t>
            </w:r>
            <w:r w:rsidR="00F12E0C">
              <w:rPr>
                <w:rFonts w:ascii="Times New Roman" w:eastAsia="Times New Roman" w:hAnsi="Times New Roman"/>
                <w:b/>
                <w:bCs/>
                <w:color w:val="000000"/>
                <w:szCs w:val="20"/>
              </w:rPr>
              <w:t>ls pour co</w:t>
            </w:r>
            <w:r w:rsidRPr="00771667">
              <w:rPr>
                <w:rFonts w:ascii="Times New Roman" w:eastAsia="Times New Roman" w:hAnsi="Times New Roman"/>
                <w:b/>
                <w:bCs/>
                <w:color w:val="000000"/>
                <w:szCs w:val="20"/>
              </w:rPr>
              <w:t>financements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Achat de coqs raceurs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w:t>
            </w:r>
            <w:r w:rsidR="008712CB">
              <w:rPr>
                <w:rFonts w:ascii="Times New Roman" w:eastAsia="Times New Roman" w:hAnsi="Times New Roman"/>
                <w:color w:val="000000"/>
                <w:szCs w:val="20"/>
              </w:rPr>
              <w:t xml:space="preserve"> </w:t>
            </w:r>
            <w:r w:rsidRPr="00771667">
              <w:rPr>
                <w:rFonts w:ascii="Times New Roman" w:eastAsia="Times New Roman" w:hAnsi="Times New Roman"/>
                <w:color w:val="000000"/>
                <w:szCs w:val="20"/>
              </w:rPr>
              <w:t xml:space="preserve">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Construction poulailler</w:t>
            </w:r>
          </w:p>
        </w:tc>
        <w:tc>
          <w:tcPr>
            <w:tcW w:w="27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1 400 000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Géniteur Ladoum</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Micro-jardinage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60 000 000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Récupération de terres salées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1000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tabs>
          <w:tab w:val="left" w:pos="426"/>
        </w:tabs>
        <w:spacing w:before="120" w:after="120"/>
        <w:rPr>
          <w:rFonts w:ascii="Times New Roman" w:hAnsi="Times New Roman"/>
          <w:sz w:val="22"/>
          <w:u w:val="single"/>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008E7DE9" w:rsidRPr="008E7DE9">
        <w:rPr>
          <w:rFonts w:ascii="Times New Roman" w:hAnsi="Times New Roman"/>
          <w:sz w:val="22"/>
        </w:rPr>
        <w:t xml:space="preserve"> </w:t>
      </w:r>
      <w:r w:rsidRPr="00771667">
        <w:rPr>
          <w:rFonts w:ascii="Times New Roman" w:hAnsi="Times New Roman"/>
          <w:b/>
          <w:sz w:val="22"/>
        </w:rPr>
        <w:t xml:space="preserve">réactualisation du plan d’aménagement (RNC Gandon)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1 RNC, un montant d’environ 6 500 000 FCFA permettra de réactualiser les plans d’aménagement, intégrant l’analyse de la situation de référence et les consultations publiques.</w:t>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7</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8E7DE9">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 forêt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8E7DE9" w:rsidP="00771667">
            <w:pPr>
              <w:spacing w:after="0"/>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rPr>
          <w:color w:val="000000"/>
        </w:rPr>
        <w:sectPr w:rsidR="00771667"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14" w:name="_Toc339209629"/>
      <w:bookmarkStart w:id="115" w:name="_Toc339725243"/>
      <w:bookmarkStart w:id="116" w:name="_Toc496886594"/>
      <w:bookmarkStart w:id="117" w:name="_Toc498638431"/>
      <w:r w:rsidRPr="00771667">
        <w:rPr>
          <w:rFonts w:eastAsia="MS Gothic"/>
          <w:b/>
          <w:bCs/>
          <w:color w:val="4F81BD"/>
          <w:sz w:val="26"/>
          <w:szCs w:val="26"/>
          <w:lang w:eastAsia="fr-FR"/>
        </w:rPr>
        <w:t>B.II. Sit</w:t>
      </w:r>
      <w:r w:rsidR="00E82CB3">
        <w:rPr>
          <w:rFonts w:eastAsia="MS Gothic"/>
          <w:b/>
          <w:bCs/>
          <w:color w:val="4F81BD"/>
          <w:sz w:val="26"/>
          <w:szCs w:val="26"/>
          <w:lang w:eastAsia="fr-FR"/>
        </w:rPr>
        <w:t>e du Parc n</w:t>
      </w:r>
      <w:r w:rsidRPr="00771667">
        <w:rPr>
          <w:rFonts w:eastAsia="MS Gothic"/>
          <w:b/>
          <w:bCs/>
          <w:color w:val="4F81BD"/>
          <w:sz w:val="26"/>
          <w:szCs w:val="26"/>
          <w:lang w:eastAsia="fr-FR"/>
        </w:rPr>
        <w:t>ational du delta du Saloum</w:t>
      </w:r>
      <w:bookmarkEnd w:id="114"/>
      <w:bookmarkEnd w:id="115"/>
      <w:bookmarkEnd w:id="116"/>
      <w:bookmarkEnd w:id="117"/>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29ADDAD9" wp14:editId="0DB174E0">
            <wp:extent cx="5756910" cy="4075928"/>
            <wp:effectExtent l="0" t="0" r="8890" b="0"/>
            <wp:docPr id="1098" name="Image 60" descr="Delta du Saloum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du Saloum_v1"/>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756910" cy="4075928"/>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2</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E82CB3">
        <w:rPr>
          <w:rFonts w:ascii="Times New Roman" w:eastAsia="Times New Roman" w:hAnsi="Times New Roman"/>
          <w:b/>
          <w:bCs/>
          <w:i/>
          <w:sz w:val="22"/>
        </w:rPr>
        <w:t xml:space="preserve"> </w:t>
      </w:r>
      <w:r w:rsidR="00F12E0C">
        <w:rPr>
          <w:rFonts w:ascii="Times New Roman" w:eastAsia="Times New Roman" w:hAnsi="Times New Roman"/>
          <w:b/>
          <w:bCs/>
          <w:i/>
          <w:sz w:val="22"/>
        </w:rPr>
        <w:t>S</w:t>
      </w:r>
      <w:r w:rsidR="00E82CB3">
        <w:rPr>
          <w:rFonts w:ascii="Times New Roman" w:eastAsia="Times New Roman" w:hAnsi="Times New Roman"/>
          <w:b/>
          <w:bCs/>
          <w:i/>
          <w:sz w:val="22"/>
        </w:rPr>
        <w:t>ite du Parc n</w:t>
      </w:r>
      <w:r w:rsidRPr="00771667">
        <w:rPr>
          <w:rFonts w:ascii="Times New Roman" w:eastAsia="Times New Roman" w:hAnsi="Times New Roman"/>
          <w:b/>
          <w:bCs/>
          <w:i/>
          <w:sz w:val="22"/>
        </w:rPr>
        <w:t>ational du delta du Saloum (source</w:t>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2272D3">
        <w:rPr>
          <w:rFonts w:ascii="Times New Roman" w:eastAsia="Times New Roman" w:hAnsi="Times New Roman"/>
          <w:b/>
          <w:bCs/>
          <w:i/>
          <w:sz w:val="22"/>
        </w:rPr>
        <w:t>SPP</w:t>
      </w:r>
      <w:r w:rsidRPr="00771667">
        <w:rPr>
          <w:rFonts w:ascii="Times New Roman" w:eastAsia="Times New Roman" w:hAnsi="Times New Roman"/>
          <w:b/>
          <w:bCs/>
          <w:i/>
          <w:sz w:val="22"/>
        </w:rPr>
        <w:t>)</w:t>
      </w:r>
    </w:p>
    <w:p w:rsidR="00771667" w:rsidRPr="00771667" w:rsidRDefault="00771667" w:rsidP="00771667">
      <w:pPr>
        <w:keepNext/>
        <w:keepLines/>
        <w:spacing w:before="200" w:after="0"/>
        <w:outlineLvl w:val="2"/>
        <w:rPr>
          <w:rFonts w:eastAsia="MS Gothic"/>
          <w:b/>
          <w:bCs/>
          <w:color w:val="4F81BD"/>
        </w:rPr>
      </w:pPr>
      <w:bookmarkStart w:id="118" w:name="_Toc339209630"/>
      <w:bookmarkStart w:id="119" w:name="_Toc339725244"/>
      <w:bookmarkStart w:id="120" w:name="_Toc496886595"/>
      <w:bookmarkStart w:id="121" w:name="_Toc498638432"/>
      <w:r w:rsidRPr="00771667">
        <w:rPr>
          <w:rFonts w:eastAsia="MS Gothic"/>
          <w:b/>
          <w:bCs/>
          <w:color w:val="4F81BD"/>
        </w:rPr>
        <w:t>B.II.1. Constat des experts</w:t>
      </w:r>
      <w:bookmarkEnd w:id="118"/>
      <w:bookmarkEnd w:id="119"/>
      <w:bookmarkEnd w:id="120"/>
      <w:bookmarkEnd w:id="121"/>
    </w:p>
    <w:p w:rsidR="00771667" w:rsidRPr="00771667" w:rsidRDefault="00771667" w:rsidP="00771667">
      <w:pPr>
        <w:numPr>
          <w:ilvl w:val="0"/>
          <w:numId w:val="86"/>
        </w:numPr>
        <w:spacing w:after="0"/>
        <w:contextualSpacing/>
        <w:rPr>
          <w:rFonts w:ascii="Times New Roman" w:hAnsi="Times New Roman"/>
          <w:sz w:val="22"/>
        </w:rPr>
      </w:pPr>
      <w:r w:rsidRPr="00771667">
        <w:rPr>
          <w:rFonts w:ascii="Times New Roman" w:hAnsi="Times New Roman"/>
          <w:sz w:val="22"/>
        </w:rPr>
        <w:t>La zone agricole occupe près de la moitié de la superficie des RNC (48</w:t>
      </w:r>
      <w:r w:rsidR="00A72504">
        <w:rPr>
          <w:rFonts w:ascii="Times New Roman" w:hAnsi="Times New Roman"/>
          <w:sz w:val="22"/>
        </w:rPr>
        <w:t> %</w:t>
      </w:r>
      <w:r w:rsidRPr="00771667">
        <w:rPr>
          <w:rFonts w:ascii="Times New Roman" w:hAnsi="Times New Roman"/>
          <w:sz w:val="22"/>
        </w:rPr>
        <w:t>) lorsque les formations forestières occupent des proportions assez modestes dont</w:t>
      </w:r>
      <w:r w:rsidR="002575A2">
        <w:rPr>
          <w:rFonts w:ascii="Times New Roman" w:hAnsi="Times New Roman"/>
          <w:sz w:val="22"/>
        </w:rPr>
        <w:t> :</w:t>
      </w:r>
      <w:r w:rsidRPr="00771667">
        <w:rPr>
          <w:rFonts w:ascii="Times New Roman" w:hAnsi="Times New Roman"/>
          <w:sz w:val="22"/>
        </w:rPr>
        <w:t xml:space="preserve"> 24</w:t>
      </w:r>
      <w:r w:rsidR="00A72504">
        <w:rPr>
          <w:rFonts w:ascii="Times New Roman" w:hAnsi="Times New Roman"/>
          <w:sz w:val="22"/>
        </w:rPr>
        <w:t> %</w:t>
      </w:r>
      <w:r w:rsidRPr="00771667">
        <w:rPr>
          <w:rFonts w:ascii="Times New Roman" w:hAnsi="Times New Roman"/>
          <w:sz w:val="22"/>
        </w:rPr>
        <w:t xml:space="preserve"> pour la savane arbustive, 11</w:t>
      </w:r>
      <w:r w:rsidR="00A72504">
        <w:rPr>
          <w:rFonts w:ascii="Times New Roman" w:hAnsi="Times New Roman"/>
          <w:sz w:val="22"/>
        </w:rPr>
        <w:t> %</w:t>
      </w:r>
      <w:r w:rsidRPr="00771667">
        <w:rPr>
          <w:rFonts w:ascii="Times New Roman" w:hAnsi="Times New Roman"/>
          <w:sz w:val="22"/>
        </w:rPr>
        <w:t xml:space="preserve"> pour la mangrove, 7</w:t>
      </w:r>
      <w:r w:rsidR="00A72504">
        <w:rPr>
          <w:rFonts w:ascii="Times New Roman" w:hAnsi="Times New Roman"/>
          <w:sz w:val="22"/>
        </w:rPr>
        <w:t> %</w:t>
      </w:r>
      <w:r w:rsidRPr="00771667">
        <w:rPr>
          <w:rFonts w:ascii="Times New Roman" w:hAnsi="Times New Roman"/>
          <w:sz w:val="22"/>
        </w:rPr>
        <w:t xml:space="preserve"> pour la savane arborée et 1</w:t>
      </w:r>
      <w:r w:rsidR="00A72504">
        <w:rPr>
          <w:rFonts w:ascii="Times New Roman" w:hAnsi="Times New Roman"/>
          <w:sz w:val="22"/>
        </w:rPr>
        <w:t> %</w:t>
      </w:r>
      <w:r w:rsidRPr="00771667">
        <w:rPr>
          <w:rFonts w:ascii="Times New Roman" w:hAnsi="Times New Roman"/>
          <w:sz w:val="22"/>
        </w:rPr>
        <w:t xml:space="preserve"> pour les formations de vallée (</w:t>
      </w:r>
      <w:r w:rsidR="00990A25">
        <w:fldChar w:fldCharType="begin"/>
      </w:r>
      <w:r w:rsidR="00990A25">
        <w:instrText xml:space="preserve"> REF _Ref339198637 \h  \* MERGEFORMAT </w:instrText>
      </w:r>
      <w:r w:rsidR="00990A25">
        <w:fldChar w:fldCharType="separate"/>
      </w:r>
      <w:r w:rsidR="009375FA" w:rsidRPr="009375FA">
        <w:rPr>
          <w:rFonts w:ascii="Times New Roman" w:hAnsi="Times New Roman"/>
          <w:sz w:val="22"/>
        </w:rPr>
        <w:t xml:space="preserve">Tableau </w:t>
      </w:r>
      <w:r w:rsidR="009375FA" w:rsidRPr="009375FA">
        <w:rPr>
          <w:rFonts w:ascii="Times New Roman" w:hAnsi="Times New Roman"/>
          <w:noProof/>
          <w:sz w:val="22"/>
        </w:rPr>
        <w:t>8</w:t>
      </w:r>
      <w:r w:rsidR="00990A25">
        <w:fldChar w:fldCharType="end"/>
      </w:r>
      <w:r w:rsidRPr="00771667">
        <w:rPr>
          <w:rFonts w:ascii="Times New Roman" w:hAnsi="Times New Roman"/>
          <w:sz w:val="22"/>
        </w:rPr>
        <w:t xml:space="preserve">). Il faut noter que du point de vue de la production de produits forestiers, la zone du PNDS dispose d’un potentiel fort intéressant. Rien qu’au niveau des massifs forestiers de la région de Fatick, l’inspection régionale, des Eaux et Forêts, enregistre 180 766 quintaux de charbon de bois, 64 478 stères de bois de chauffe et 10 624 stères de bois d’artisanat. A cela s’ajoutent les PFNL (fruits, écorces,…) issus des espèces telles que l’anacardier, le santan, le rônier, etc. et le potentiel en gibier.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bookmarkStart w:id="122" w:name="_Ref339198637"/>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8</w:t>
      </w:r>
      <w:r w:rsidR="00DD457B" w:rsidRPr="00771667">
        <w:rPr>
          <w:rFonts w:ascii="Times New Roman" w:eastAsia="Times New Roman" w:hAnsi="Times New Roman"/>
          <w:b/>
          <w:bCs/>
          <w:i/>
          <w:noProof/>
          <w:sz w:val="22"/>
        </w:rPr>
        <w:fldChar w:fldCharType="end"/>
      </w:r>
      <w:bookmarkEnd w:id="122"/>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tatistique</w:t>
      </w:r>
      <w:r w:rsidR="008E7DE9">
        <w:rPr>
          <w:rFonts w:ascii="Times New Roman" w:eastAsia="Times New Roman" w:hAnsi="Times New Roman"/>
          <w:b/>
          <w:bCs/>
          <w:i/>
          <w:sz w:val="22"/>
        </w:rPr>
        <w:t>s</w:t>
      </w:r>
      <w:r w:rsidRPr="00771667">
        <w:rPr>
          <w:rFonts w:ascii="Times New Roman" w:eastAsia="Times New Roman" w:hAnsi="Times New Roman"/>
          <w:b/>
          <w:bCs/>
          <w:i/>
          <w:sz w:val="22"/>
        </w:rPr>
        <w:t xml:space="preserve"> </w:t>
      </w:r>
      <w:r w:rsidR="008E7DE9">
        <w:rPr>
          <w:rFonts w:ascii="Times New Roman" w:eastAsia="Times New Roman" w:hAnsi="Times New Roman"/>
          <w:b/>
          <w:bCs/>
          <w:i/>
          <w:sz w:val="22"/>
        </w:rPr>
        <w:t xml:space="preserve">relatives à </w:t>
      </w:r>
      <w:r w:rsidRPr="00771667">
        <w:rPr>
          <w:rFonts w:ascii="Times New Roman" w:eastAsia="Times New Roman" w:hAnsi="Times New Roman"/>
          <w:b/>
          <w:bCs/>
          <w:i/>
          <w:sz w:val="22"/>
        </w:rPr>
        <w:t xml:space="preserve">l'occupation des sols des RNC du Parc </w:t>
      </w:r>
      <w:r w:rsidR="00E82CB3">
        <w:rPr>
          <w:rFonts w:ascii="Times New Roman" w:eastAsia="Times New Roman" w:hAnsi="Times New Roman"/>
          <w:b/>
          <w:bCs/>
          <w:i/>
          <w:sz w:val="22"/>
        </w:rPr>
        <w:t xml:space="preserve">national </w:t>
      </w:r>
      <w:r w:rsidRPr="00771667">
        <w:rPr>
          <w:rFonts w:ascii="Times New Roman" w:eastAsia="Times New Roman" w:hAnsi="Times New Roman"/>
          <w:b/>
          <w:bCs/>
          <w:i/>
          <w:sz w:val="22"/>
        </w:rPr>
        <w:t>du delta du Saloum (Dieng, 2009b)</w:t>
      </w:r>
    </w:p>
    <w:tbl>
      <w:tblPr>
        <w:tblStyle w:val="Grilledutableau"/>
        <w:tblW w:w="0" w:type="auto"/>
        <w:jc w:val="center"/>
        <w:tblLook w:val="04A0" w:firstRow="1" w:lastRow="0" w:firstColumn="1" w:lastColumn="0" w:noHBand="0" w:noVBand="1"/>
      </w:tblPr>
      <w:tblGrid>
        <w:gridCol w:w="2410"/>
        <w:gridCol w:w="2047"/>
      </w:tblGrid>
      <w:tr w:rsidR="00771667" w:rsidRPr="00771667" w:rsidTr="00075058">
        <w:trPr>
          <w:tblHeader/>
          <w:jc w:val="center"/>
        </w:trPr>
        <w:tc>
          <w:tcPr>
            <w:tcW w:w="2410" w:type="dxa"/>
          </w:tcPr>
          <w:p w:rsidR="00771667" w:rsidRPr="00771667" w:rsidRDefault="00771667" w:rsidP="00771667">
            <w:pPr>
              <w:keepNext/>
              <w:keepLines/>
              <w:spacing w:after="0" w:line="259" w:lineRule="auto"/>
              <w:rPr>
                <w:rFonts w:ascii="Times New Roman" w:hAnsi="Times New Roman"/>
                <w:b/>
              </w:rPr>
            </w:pPr>
            <w:r w:rsidRPr="00771667">
              <w:rPr>
                <w:rFonts w:ascii="Times New Roman" w:hAnsi="Times New Roman"/>
                <w:b/>
              </w:rPr>
              <w:t xml:space="preserve">Strate </w:t>
            </w:r>
          </w:p>
        </w:tc>
        <w:tc>
          <w:tcPr>
            <w:tcW w:w="2047" w:type="dxa"/>
          </w:tcPr>
          <w:p w:rsidR="00771667" w:rsidRPr="00771667" w:rsidRDefault="00771667" w:rsidP="00771667">
            <w:pPr>
              <w:keepNext/>
              <w:keepLines/>
              <w:spacing w:after="0" w:line="259" w:lineRule="auto"/>
              <w:rPr>
                <w:rFonts w:ascii="Times New Roman" w:hAnsi="Times New Roman"/>
                <w:b/>
              </w:rPr>
            </w:pPr>
            <w:r w:rsidRPr="00771667">
              <w:rPr>
                <w:rFonts w:ascii="Times New Roman" w:hAnsi="Times New Roman"/>
                <w:b/>
              </w:rPr>
              <w:t>Superficie (ha)</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Carrière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6,80</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Eau</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35,00</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Jachère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138,24</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Sols nus</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24,84</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Zone agricole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1 099,68</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Mangrove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261,61</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Formation de vallée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32,03</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Savane arborée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155,73</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Savane arbustive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548,86</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b/>
              </w:rPr>
            </w:pPr>
            <w:r w:rsidRPr="00771667">
              <w:rPr>
                <w:rFonts w:ascii="Times New Roman" w:hAnsi="Times New Roman"/>
                <w:b/>
              </w:rPr>
              <w:t>Total</w:t>
            </w:r>
          </w:p>
        </w:tc>
        <w:tc>
          <w:tcPr>
            <w:tcW w:w="2047" w:type="dxa"/>
          </w:tcPr>
          <w:p w:rsidR="00771667" w:rsidRPr="00771667" w:rsidRDefault="00771667" w:rsidP="00771667">
            <w:pPr>
              <w:spacing w:after="0" w:line="259" w:lineRule="auto"/>
              <w:jc w:val="right"/>
              <w:rPr>
                <w:rFonts w:ascii="Times New Roman" w:hAnsi="Times New Roman"/>
                <w:b/>
              </w:rPr>
            </w:pPr>
            <w:r w:rsidRPr="00771667">
              <w:rPr>
                <w:rFonts w:ascii="Times New Roman" w:hAnsi="Times New Roman"/>
                <w:b/>
              </w:rPr>
              <w:t>2 302,79</w:t>
            </w:r>
          </w:p>
        </w:tc>
      </w:tr>
    </w:tbl>
    <w:p w:rsidR="00771667" w:rsidRPr="00771667" w:rsidRDefault="00771667" w:rsidP="00771667"/>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La région de Fatick présente un taux de pauvreté de 67,8</w:t>
      </w:r>
      <w:r w:rsidR="00A72504">
        <w:rPr>
          <w:rFonts w:ascii="Times New Roman" w:hAnsi="Times New Roman"/>
          <w:sz w:val="22"/>
          <w:szCs w:val="22"/>
        </w:rPr>
        <w:t> %</w:t>
      </w:r>
      <w:r w:rsidRPr="00771667">
        <w:rPr>
          <w:rFonts w:ascii="Times New Roman" w:hAnsi="Times New Roman"/>
          <w:sz w:val="22"/>
          <w:szCs w:val="22"/>
        </w:rPr>
        <w:t xml:space="preserve"> en 2010 (PRDI, 2013)</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ressources naturelles sont très affectées par les changements climatiques. Les changements liés au climat observés dans cette zone peuvent être classés comme suit</w:t>
      </w:r>
      <w:r w:rsidR="002575A2">
        <w:rPr>
          <w:rFonts w:ascii="Times New Roman" w:hAnsi="Times New Roman"/>
          <w:sz w:val="22"/>
          <w:szCs w:val="22"/>
        </w:rPr>
        <w:t> :</w:t>
      </w:r>
    </w:p>
    <w:p w:rsidR="00771667" w:rsidRPr="00771667" w:rsidRDefault="008E7DE9"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szCs w:val="22"/>
        </w:rPr>
      </w:pPr>
      <w:r>
        <w:rPr>
          <w:rFonts w:ascii="Times New Roman" w:hAnsi="Times New Roman"/>
          <w:sz w:val="22"/>
          <w:szCs w:val="22"/>
        </w:rPr>
        <w:t>c</w:t>
      </w:r>
      <w:r w:rsidR="00771667" w:rsidRPr="00771667">
        <w:rPr>
          <w:rFonts w:ascii="Times New Roman" w:hAnsi="Times New Roman"/>
          <w:sz w:val="22"/>
          <w:szCs w:val="22"/>
        </w:rPr>
        <w:t>hangements liés à la baisse et l’irrégularité de la pluviométrie Diminution de 30</w:t>
      </w:r>
      <w:r w:rsidR="00A72504">
        <w:rPr>
          <w:rFonts w:ascii="Times New Roman" w:hAnsi="Times New Roman"/>
          <w:sz w:val="22"/>
          <w:szCs w:val="22"/>
        </w:rPr>
        <w:t> %</w:t>
      </w:r>
      <w:r w:rsidR="00771667" w:rsidRPr="00771667">
        <w:rPr>
          <w:rFonts w:ascii="Times New Roman" w:hAnsi="Times New Roman"/>
          <w:sz w:val="22"/>
          <w:szCs w:val="22"/>
        </w:rPr>
        <w:t xml:space="preserve"> de la pluviométrie sur près de 40 ans (depuis 1971)</w:t>
      </w:r>
    </w:p>
    <w:p w:rsidR="00771667" w:rsidRPr="00771667" w:rsidRDefault="008E7DE9"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szCs w:val="22"/>
        </w:rPr>
      </w:pPr>
      <w:r>
        <w:rPr>
          <w:rFonts w:ascii="Times New Roman" w:hAnsi="Times New Roman"/>
          <w:sz w:val="22"/>
          <w:szCs w:val="22"/>
        </w:rPr>
        <w:t>c</w:t>
      </w:r>
      <w:r w:rsidR="00771667" w:rsidRPr="00771667">
        <w:rPr>
          <w:rFonts w:ascii="Times New Roman" w:hAnsi="Times New Roman"/>
          <w:sz w:val="22"/>
          <w:szCs w:val="22"/>
        </w:rPr>
        <w:t xml:space="preserve">hangements liés à la remontée du niveau de la mer. </w:t>
      </w:r>
    </w:p>
    <w:p w:rsidR="00771667" w:rsidRPr="00771667" w:rsidRDefault="00771667" w:rsidP="00771667">
      <w:pPr>
        <w:ind w:left="360"/>
        <w:rPr>
          <w:rFonts w:ascii="Times New Roman" w:hAnsi="Times New Roman"/>
          <w:sz w:val="22"/>
          <w:szCs w:val="22"/>
        </w:rPr>
      </w:pPr>
      <w:r w:rsidRPr="00771667">
        <w:rPr>
          <w:rFonts w:ascii="Times New Roman" w:hAnsi="Times New Roman"/>
          <w:sz w:val="22"/>
          <w:szCs w:val="22"/>
        </w:rPr>
        <w:t>L’ensemble des aléas agit sur les ressources en eau, les ressources végétales, les ressources pédologiques et les ressources fauniques. Les enjeux à prendre en compte sont</w:t>
      </w:r>
      <w:r w:rsidR="002575A2">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la réduction des services des écosystèmes liée à une érosion de la biodiversité de près de  40</w:t>
      </w:r>
      <w:r w:rsidR="00A72504">
        <w:rPr>
          <w:rFonts w:ascii="Times New Roman" w:hAnsi="Times New Roman"/>
          <w:sz w:val="22"/>
          <w:szCs w:val="22"/>
        </w:rPr>
        <w:t> %</w:t>
      </w:r>
      <w:r w:rsidRPr="00771667">
        <w:rPr>
          <w:rFonts w:ascii="Times New Roman" w:hAnsi="Times New Roman"/>
          <w:sz w:val="22"/>
          <w:szCs w:val="22"/>
        </w:rPr>
        <w:t xml:space="preserve"> entre 1</w:t>
      </w:r>
      <w:r w:rsidR="00D2405E">
        <w:rPr>
          <w:rFonts w:ascii="Times New Roman" w:hAnsi="Times New Roman"/>
          <w:sz w:val="22"/>
          <w:szCs w:val="22"/>
        </w:rPr>
        <w:t>971 et 1996 (Diouck, 1995, 1999 ; Galat-Luong et al, 1999 </w:t>
      </w:r>
      <w:r w:rsidRPr="00771667">
        <w:rPr>
          <w:rFonts w:ascii="Times New Roman" w:hAnsi="Times New Roman"/>
          <w:sz w:val="22"/>
          <w:szCs w:val="22"/>
        </w:rPr>
        <w:t>; Lykke, 1996)</w:t>
      </w:r>
      <w:r w:rsidR="00D2405E">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la diminution du couvert végétal, la baisse de la production végétale</w:t>
      </w:r>
      <w:r w:rsidR="008E7DE9">
        <w:rPr>
          <w:rFonts w:ascii="Times New Roman" w:hAnsi="Times New Roman"/>
          <w:sz w:val="22"/>
          <w:szCs w:val="22"/>
        </w:rPr>
        <w:t> et la destruction des arbres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le rabattement des nappes phréatiques et leur salinisation</w:t>
      </w:r>
      <w:r w:rsidR="00D2405E">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la </w:t>
      </w:r>
      <w:r w:rsidR="008E7DE9">
        <w:rPr>
          <w:rFonts w:ascii="Times New Roman" w:hAnsi="Times New Roman"/>
          <w:sz w:val="22"/>
          <w:szCs w:val="22"/>
        </w:rPr>
        <w:t>baisse de la qualité des eaux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l’ensablement et la dégradation de la mangrove et des vasières. Le </w:t>
      </w:r>
      <w:r w:rsidR="00E82CB3">
        <w:rPr>
          <w:rFonts w:ascii="Times New Roman" w:hAnsi="Times New Roman"/>
          <w:sz w:val="22"/>
          <w:szCs w:val="22"/>
        </w:rPr>
        <w:t>delta du Saloum</w:t>
      </w:r>
      <w:r w:rsidRPr="00771667">
        <w:rPr>
          <w:rFonts w:ascii="Times New Roman" w:hAnsi="Times New Roman"/>
          <w:sz w:val="22"/>
          <w:szCs w:val="22"/>
        </w:rPr>
        <w:t xml:space="preserve"> où l'on rencontre l'une des forêts de mangrove les plus importantes du pays était une zone très poissonneuse à cause de son potentiel en zone de frayère. L'écosystème de mangrove occupe environ 80 000 hectares dans les estuaires du Saloum (DEEC). La réduction remarquable de la superficie de mangrove du pays, passée de 440 000 ha en 1983 à 185 000 ha en 1997 (PAGEMAS, 2006), a créé de nombreuses perturbations dans la</w:t>
      </w:r>
      <w:r w:rsidR="008E7DE9">
        <w:rPr>
          <w:rFonts w:ascii="Times New Roman" w:hAnsi="Times New Roman"/>
          <w:sz w:val="22"/>
          <w:szCs w:val="22"/>
        </w:rPr>
        <w:t xml:space="preserve"> vie des populations riveraines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l’érosion (Pointe</w:t>
      </w:r>
      <w:r w:rsidR="008E7DE9">
        <w:rPr>
          <w:rFonts w:ascii="Times New Roman" w:hAnsi="Times New Roman"/>
          <w:sz w:val="22"/>
          <w:szCs w:val="22"/>
        </w:rPr>
        <w:t xml:space="preserve"> de Sangomar jusqu’à Djinack)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les maladies animales</w:t>
      </w:r>
      <w:r w:rsidR="008E7DE9">
        <w:rPr>
          <w:rFonts w:ascii="Times New Roman" w:hAnsi="Times New Roman"/>
          <w:sz w:val="22"/>
          <w:szCs w:val="22"/>
        </w:rPr>
        <w:t>.</w:t>
      </w:r>
    </w:p>
    <w:p w:rsidR="00771667" w:rsidRPr="00771667" w:rsidRDefault="00771667" w:rsidP="00771667">
      <w:pPr>
        <w:ind w:left="360"/>
        <w:rPr>
          <w:rFonts w:ascii="Times New Roman" w:hAnsi="Times New Roman"/>
          <w:sz w:val="22"/>
          <w:szCs w:val="22"/>
        </w:rPr>
      </w:pPr>
      <w:r w:rsidRPr="00771667">
        <w:rPr>
          <w:rFonts w:ascii="Times New Roman" w:hAnsi="Times New Roman"/>
          <w:sz w:val="22"/>
          <w:szCs w:val="22"/>
        </w:rPr>
        <w:t>Le tourisme dépend principalement des ressources naturelles et de l’accès aux services sociaux de base. Ces deux secteurs sont affectées par l‘ensemble des aléas climatiques identifiés dans la région (TACC-PNUD, 2014 (Fatick)). En définitif, ce sont les RNC de Missarah, Néma Bah et Massarinko qui présentent les forts niveaux de vulnérabilité par rapport aux changements climatiques.</w:t>
      </w:r>
    </w:p>
    <w:p w:rsidR="00771667" w:rsidRPr="00771667" w:rsidRDefault="00771667" w:rsidP="00771667">
      <w:pPr>
        <w:spacing w:line="276" w:lineRule="auto"/>
        <w:rPr>
          <w:rFonts w:ascii="Times New Roman" w:hAnsi="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9"/>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4"/>
                <w:szCs w:val="20"/>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Niveau d’accès à l’eau potable dans la commune de Sokone satisfaisant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 niveau d’accès à l’eau potable dans les communes de Toubacouta et Keur Samba Gueye par rapport aux objectifs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Mauvaise qualité d’eau consommée dans certains villages situés à l’ouest</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Fortes potentialités en eau de surface en particulier dans la vallée de Ndéderling</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Invasion des eaux de surface et des terres par les eaux salées marines (perte de terres agricoles et de zones de pâturage, conflits potentiels entre usagers) dans la partie ouest de la zone (Missirah, Néma Bah, Toubacouta, Massirinko, Sokone)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Présence de quelques barrages et digues anti sel (mobilisation et protection des eaux de surface) </w:t>
            </w:r>
          </w:p>
        </w:tc>
        <w:tc>
          <w:tcPr>
            <w:tcW w:w="4603" w:type="dxa"/>
          </w:tcPr>
          <w:p w:rsidR="00771667" w:rsidRPr="00771667" w:rsidRDefault="0083108F" w:rsidP="00771667">
            <w:pPr>
              <w:spacing w:after="0"/>
              <w:jc w:val="left"/>
              <w:rPr>
                <w:rFonts w:ascii="Times New Roman" w:eastAsia="Times" w:hAnsi="Times New Roman"/>
                <w:szCs w:val="20"/>
              </w:rPr>
            </w:pPr>
            <w:r>
              <w:rPr>
                <w:rFonts w:ascii="Times New Roman" w:eastAsia="Times" w:hAnsi="Times New Roman"/>
                <w:noProof/>
                <w:szCs w:val="20"/>
                <w:lang w:eastAsia="fr-FR"/>
              </w:rPr>
              <mc:AlternateContent>
                <mc:Choice Requires="wps">
                  <w:drawing>
                    <wp:anchor distT="4294967295" distB="4294967295" distL="114300" distR="114300" simplePos="0" relativeHeight="251695104" behindDoc="0" locked="0" layoutInCell="1" allowOverlap="1" wp14:anchorId="6BDD7822" wp14:editId="2A56AA7D">
                      <wp:simplePos x="0" y="0"/>
                      <wp:positionH relativeFrom="column">
                        <wp:posOffset>765810</wp:posOffset>
                      </wp:positionH>
                      <wp:positionV relativeFrom="paragraph">
                        <wp:posOffset>553719</wp:posOffset>
                      </wp:positionV>
                      <wp:extent cx="209550" cy="0"/>
                      <wp:effectExtent l="0" t="76200" r="0" b="76200"/>
                      <wp:wrapNone/>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A7A3D9B" id="AutoShape 2" o:spid="_x0000_s1026" type="#_x0000_t32" style="position:absolute;margin-left:60.3pt;margin-top:43.6pt;width:16.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">
                      <v:stroke endarrow="block"/>
                    </v:shape>
                  </w:pict>
                </mc:Fallback>
              </mc:AlternateContent>
            </w:r>
            <w:r w:rsidR="00771667" w:rsidRPr="00771667">
              <w:rPr>
                <w:rFonts w:ascii="Times New Roman" w:eastAsia="Times" w:hAnsi="Times New Roman"/>
                <w:szCs w:val="20"/>
              </w:rPr>
              <w:t>Salinisation des eaux de la nappe phréatique dans la partie ouest de la zone (Toubacouta, Missirah, Néma Bah, Massirinko)        puits impropre à la consommation</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Nombre relativement important de puits et forages dans la partie Est de la zone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Puisage manuel de l’eau dans les puits pénible pour les femmes et les enfants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périmètres maraichers exploités par les femmes dans beaucoup de villages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Ruissellement et ravinement important pendant la saison des pluies (dégradation des sols et des équipements)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Maladies animales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Diminution du couvert forestier</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Dégradation des mangroves menaçant les espèces associées dont l’exploitation constitue une source de revenus et d’autoconsommation pour les populations locales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6602F7" w:rsidP="006602F7">
            <w:pPr>
              <w:spacing w:after="0"/>
              <w:ind w:firstLine="708"/>
              <w:jc w:val="left"/>
              <w:rPr>
                <w:rFonts w:ascii="Times New Roman" w:eastAsia="Times" w:hAnsi="Times New Roman"/>
                <w:szCs w:val="20"/>
              </w:rPr>
            </w:pPr>
            <w:r>
              <w:rPr>
                <w:rFonts w:ascii="Times New Roman" w:eastAsia="Times" w:hAnsi="Times New Roman"/>
                <w:szCs w:val="20"/>
              </w:rPr>
              <w:t>É</w:t>
            </w:r>
            <w:r w:rsidR="00771667" w:rsidRPr="00771667">
              <w:rPr>
                <w:rFonts w:ascii="Times New Roman" w:eastAsia="Times" w:hAnsi="Times New Roman"/>
                <w:szCs w:val="20"/>
              </w:rPr>
              <w:t>rosion côtière</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projets d’amélioration du système d’alimentation en eau potable nouvellement terminés (Keur Samba Gueye) et en cours (Toubacouta, Sokone)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Pluviométrie relativement forte et bonne potentialités en ressources en eau de surface </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Tarissement précoce des mares et des puits suite à la baisse de la pluviométrie </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Bonne capacité de recharge des nappes d’eau souterraine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Existence de plan de développement au niveau des deux communes et d’initiatives de mobilisation en particulier à Sokone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Lutte contre les maladies animales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Organisation des populations (mutuelle, CIV, Groupements de producteurs, ASUFOR) fonctionnelles</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 partenariat avec P2RS,BARVAFOR</w:t>
            </w:r>
          </w:p>
        </w:tc>
        <w:tc>
          <w:tcPr>
            <w:tcW w:w="4603" w:type="dxa"/>
          </w:tcPr>
          <w:p w:rsidR="00771667" w:rsidRPr="00771667" w:rsidRDefault="00771667" w:rsidP="00771667">
            <w:pPr>
              <w:spacing w:after="0"/>
              <w:jc w:val="left"/>
              <w:rPr>
                <w:rFonts w:ascii="Times New Roman" w:eastAsia="Times" w:hAnsi="Times New Roman"/>
                <w:szCs w:val="20"/>
              </w:rPr>
            </w:pP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23" w:name="_Toc339209631"/>
      <w:bookmarkStart w:id="124" w:name="_Toc339725245"/>
      <w:bookmarkStart w:id="125" w:name="_Toc496886596"/>
      <w:bookmarkStart w:id="126" w:name="_Toc498638433"/>
      <w:r w:rsidRPr="00771667">
        <w:rPr>
          <w:rFonts w:eastAsia="MS Gothic"/>
          <w:b/>
          <w:bCs/>
          <w:color w:val="4F81BD"/>
        </w:rPr>
        <w:t>B.II.2. Actions proposées dans le cadre du projet</w:t>
      </w:r>
      <w:bookmarkEnd w:id="123"/>
      <w:bookmarkEnd w:id="124"/>
      <w:bookmarkEnd w:id="125"/>
      <w:bookmarkEnd w:id="126"/>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18"/>
        </w:rPr>
      </w:pP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Aménagement de bassins versant</w:t>
      </w:r>
      <w:r w:rsidRPr="00771667">
        <w:rPr>
          <w:rFonts w:ascii="Times New Roman" w:eastAsia="Times" w:hAnsi="Times New Roman"/>
          <w:sz w:val="22"/>
        </w:rPr>
        <w:t xml:space="preserve"> (en vue de lutter contre le fort ruissellement, le ravinement, la dégradation des sols et des équipements). Les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rPr>
        <w:t>création du Centre de Protection de la Nature</w:t>
      </w:r>
      <w:r w:rsidRPr="00771667">
        <w:rPr>
          <w:rFonts w:ascii="Times New Roman" w:eastAsia="Times" w:hAnsi="Times New Roman"/>
          <w:sz w:val="22"/>
        </w:rPr>
        <w:t xml:space="preserve">) et de dotation de ressources financières pour appuyer les populations à réaliser elles même les aménagements à faire sont suggérées. 100 ha sont à aménager pour le delta du Saloum. </w:t>
      </w: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Aménagement de bas fonds (promotion de la riziculture)</w:t>
      </w:r>
      <w:r w:rsidR="002575A2">
        <w:rPr>
          <w:rFonts w:ascii="Times New Roman" w:eastAsia="Times" w:hAnsi="Times New Roman"/>
          <w:sz w:val="22"/>
          <w:u w:val="single"/>
        </w:rPr>
        <w:t> :</w:t>
      </w:r>
      <w:r w:rsidR="008E7DE9">
        <w:rPr>
          <w:rFonts w:ascii="Times New Roman" w:eastAsia="Times" w:hAnsi="Times New Roman"/>
          <w:sz w:val="22"/>
        </w:rPr>
        <w:t xml:space="preserve"> c</w:t>
      </w:r>
      <w:r w:rsidRPr="00771667">
        <w:rPr>
          <w:rFonts w:ascii="Times New Roman" w:eastAsia="Times" w:hAnsi="Times New Roman"/>
          <w:sz w:val="22"/>
        </w:rPr>
        <w:t xml:space="preserve">ette problématique concerne les zones qui ont un fort potentiel en cette matière et une forte demande, soit 50 ha. </w:t>
      </w: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Amélioration de la disponibilité de l’eau pour les activités génératrices de revenus</w:t>
      </w:r>
      <w:r w:rsidRPr="00771667">
        <w:rPr>
          <w:rFonts w:ascii="Times New Roman" w:eastAsia="Times" w:hAnsi="Times New Roman"/>
          <w:sz w:val="22"/>
        </w:rPr>
        <w:t xml:space="preserve"> (</w:t>
      </w:r>
      <w:r w:rsidR="00F06548">
        <w:rPr>
          <w:rFonts w:ascii="Times New Roman" w:eastAsia="Times" w:hAnsi="Times New Roman"/>
          <w:sz w:val="22"/>
        </w:rPr>
        <w:t>maraîchage</w:t>
      </w:r>
      <w:r w:rsidRPr="00771667">
        <w:rPr>
          <w:rFonts w:ascii="Times New Roman" w:eastAsia="Times" w:hAnsi="Times New Roman"/>
          <w:sz w:val="22"/>
        </w:rPr>
        <w:t xml:space="preserve"> en particulier)</w:t>
      </w:r>
      <w:r w:rsidR="002575A2">
        <w:rPr>
          <w:rFonts w:ascii="Times New Roman" w:eastAsia="Times" w:hAnsi="Times New Roman"/>
          <w:sz w:val="22"/>
        </w:rPr>
        <w:t> :</w:t>
      </w:r>
      <w:r w:rsidRPr="00771667">
        <w:rPr>
          <w:rFonts w:ascii="Times New Roman" w:eastAsia="Times" w:hAnsi="Times New Roman"/>
          <w:sz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rPr>
        <w:t>à partir de puits maraichers existants</w:t>
      </w:r>
      <w:r w:rsidRPr="00771667">
        <w:rPr>
          <w:rFonts w:ascii="Times New Roman" w:eastAsia="Times" w:hAnsi="Times New Roman"/>
          <w:sz w:val="22"/>
        </w:rPr>
        <w:t xml:space="preserve"> (et qui pourront dans certains cas fa</w:t>
      </w:r>
      <w:r w:rsidR="008E7DE9">
        <w:rPr>
          <w:rFonts w:ascii="Times New Roman" w:eastAsia="Times" w:hAnsi="Times New Roman"/>
          <w:sz w:val="22"/>
        </w:rPr>
        <w:t>ire l’objet de réhabilitation).</w:t>
      </w:r>
    </w:p>
    <w:p w:rsidR="00771667" w:rsidRPr="00771667" w:rsidRDefault="00771667" w:rsidP="00771667">
      <w:pPr>
        <w:spacing w:after="0"/>
        <w:ind w:left="360"/>
        <w:rPr>
          <w:rFonts w:ascii="Times" w:eastAsia="Times" w:hAnsi="Times"/>
          <w:sz w:val="24"/>
          <w:u w:val="single"/>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9</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 l'eau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6602F7">
              <w:rPr>
                <w:rFonts w:ascii="Times New Roman" w:eastAsia="Times New Roman" w:hAnsi="Times New Roman"/>
                <w:b/>
                <w:bCs/>
                <w:color w:val="000000"/>
                <w:szCs w:val="18"/>
              </w:rPr>
              <w:t>co</w:t>
            </w:r>
            <w:r w:rsidRPr="00771667">
              <w:rPr>
                <w:rFonts w:ascii="Times New Roman" w:eastAsia="Times New Roman" w:hAnsi="Times New Roman"/>
                <w:b/>
                <w:bCs/>
                <w:color w:val="000000"/>
                <w:szCs w:val="18"/>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7 500 000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 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100 000 000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Pr>
        <w:spacing w:after="0"/>
        <w:ind w:left="360"/>
        <w:rPr>
          <w:rFonts w:ascii="Times" w:eastAsia="Times" w:hAnsi="Times"/>
          <w:sz w:val="24"/>
        </w:rPr>
      </w:pPr>
    </w:p>
    <w:p w:rsidR="00771667" w:rsidRPr="00771667" w:rsidRDefault="00771667" w:rsidP="00771667">
      <w:pPr>
        <w:spacing w:after="0"/>
        <w:ind w:left="720"/>
        <w:rPr>
          <w:rFonts w:ascii="Times" w:eastAsia="Times" w:hAnsi="Times"/>
          <w:sz w:val="24"/>
        </w:rPr>
      </w:pPr>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rPr>
          <w:sz w:val="18"/>
        </w:rPr>
      </w:pPr>
    </w:p>
    <w:p w:rsidR="00771667" w:rsidRPr="00771667" w:rsidRDefault="00771667" w:rsidP="00771667">
      <w:pPr>
        <w:numPr>
          <w:ilvl w:val="0"/>
          <w:numId w:val="86"/>
        </w:numPr>
        <w:spacing w:after="0"/>
        <w:contextualSpacing/>
        <w:rPr>
          <w:rFonts w:ascii="Times New Roman" w:hAnsi="Times New Roman"/>
          <w:sz w:val="22"/>
          <w:u w:val="single"/>
        </w:rPr>
      </w:pPr>
      <w:r w:rsidRPr="00771667">
        <w:rPr>
          <w:rFonts w:ascii="Times New Roman" w:hAnsi="Times New Roman"/>
          <w:sz w:val="22"/>
          <w:u w:val="single"/>
        </w:rPr>
        <w:t>Développement de filières</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filière anacarde. Selon les estimations des entreprises Works (2002) puis par Sagic (2006), la production moyenne noix d’anacarde est de 15 000 tonnes (région de Kolda et Sédhiou 9 000 tonnes soit 60</w:t>
      </w:r>
      <w:r w:rsidR="00A72504">
        <w:rPr>
          <w:rFonts w:ascii="Times New Roman" w:hAnsi="Times New Roman"/>
          <w:sz w:val="22"/>
        </w:rPr>
        <w:t> %</w:t>
      </w:r>
      <w:r w:rsidRPr="00771667">
        <w:rPr>
          <w:rFonts w:ascii="Times New Roman" w:hAnsi="Times New Roman"/>
          <w:sz w:val="22"/>
        </w:rPr>
        <w:t>, région de Ziguinchor 5.000 tonnes soit 30</w:t>
      </w:r>
      <w:r w:rsidR="00A72504">
        <w:rPr>
          <w:rFonts w:ascii="Times New Roman" w:hAnsi="Times New Roman"/>
          <w:sz w:val="22"/>
        </w:rPr>
        <w:t> %</w:t>
      </w:r>
      <w:r w:rsidRPr="00771667">
        <w:rPr>
          <w:rFonts w:ascii="Times New Roman" w:hAnsi="Times New Roman"/>
          <w:sz w:val="22"/>
        </w:rPr>
        <w:t xml:space="preserve"> et région de Fatick 1 500 tonnes soit 10</w:t>
      </w:r>
      <w:r w:rsidR="00A72504">
        <w:rPr>
          <w:rFonts w:ascii="Times New Roman" w:hAnsi="Times New Roman"/>
          <w:sz w:val="22"/>
        </w:rPr>
        <w:t> %</w:t>
      </w:r>
      <w:r w:rsidRPr="00771667">
        <w:rPr>
          <w:rFonts w:ascii="Times New Roman" w:hAnsi="Times New Roman"/>
          <w:sz w:val="22"/>
        </w:rPr>
        <w:t xml:space="preserve">). Le rendement des plantations d’anacarde est très variable selon la zone de production. Selon le ministère de l’agriculture, il se situe en moyenne à 550 kg/ha. Le projet pourra contribuer au renforcement de la filière par la promotion et l’installation d’une </w:t>
      </w:r>
      <w:r w:rsidRPr="00771667">
        <w:rPr>
          <w:rFonts w:ascii="Times New Roman" w:hAnsi="Times New Roman"/>
          <w:b/>
          <w:sz w:val="22"/>
        </w:rPr>
        <w:t>unité de transformation</w:t>
      </w:r>
      <w:r w:rsidRPr="00771667">
        <w:rPr>
          <w:rFonts w:ascii="Times New Roman" w:hAnsi="Times New Roman"/>
          <w:sz w:val="22"/>
        </w:rPr>
        <w:t xml:space="preserve">. En réalité, il existe plusieurs unités de transformation dans la zone du </w:t>
      </w:r>
      <w:r w:rsidR="00E82CB3">
        <w:rPr>
          <w:rFonts w:ascii="Times New Roman" w:hAnsi="Times New Roman"/>
          <w:sz w:val="22"/>
        </w:rPr>
        <w:t>d</w:t>
      </w:r>
      <w:r w:rsidRPr="00771667">
        <w:rPr>
          <w:rFonts w:ascii="Times New Roman" w:hAnsi="Times New Roman"/>
          <w:sz w:val="22"/>
        </w:rPr>
        <w:t xml:space="preserve">elta du Saloum. Cependant, il y a trois groupements de femmes à Sokone dont les unités qui répondent plus aux normes nationales voir même internationales. Ces groupements sont habitués à participer à des expositions (foires) et dans des grandes surfaces. Cependant, le reste des groupements ont besoin d’appui pour mettre leurs unités aux normes. La plupart manquent de machine de décorticage de qualité et de conservation pour garder le produit frais. Certains groupements comme celui de celui de Dassilamé Socé (financé par le PGIES) souffrent d’un problème d’organisation et de leadership. Des sessions de sensibilisation seront menées par l’équipe du projet sur la nécessité d’une meilleure organisation des différents acteurs dans les différents segments de la filière. L’appui du projet consistera à faciliter et à encadrer les groupements pour un meilleur fonctionnement. Le problème de rentabilité de la filière ne se pose pas dans la zone. Le projet facilitera l’acquisition de matériel plus moderne par le biais d’un crédit revolving. Les groupements qui le souhaiteraient feront financer leurs activités par la maison de microfinance de Toubacouta. Le projet s’emploiera à faciliter l’implication de différents acteurs. Il contribuera à la mise en relation avec le secteur privé pour faciliter l’écoulement des produits. L’un des aspects les plus déplorables dans la zone du delta du Saloum est le gâchis constaté sur la pomme d’anacarde. Les pommes tombent et pourrissent par quantités impressionnantes sous les arbres. Le projet devra s’investir en appuyant le renforcement de certaines unités de transformation en </w:t>
      </w:r>
      <w:r w:rsidRPr="00771667">
        <w:rPr>
          <w:rFonts w:ascii="Times New Roman" w:hAnsi="Times New Roman"/>
          <w:b/>
          <w:sz w:val="22"/>
        </w:rPr>
        <w:t>matériel de séchage et de transformation</w:t>
      </w:r>
      <w:r w:rsidRPr="00771667">
        <w:rPr>
          <w:rFonts w:ascii="Times New Roman" w:hAnsi="Times New Roman"/>
          <w:sz w:val="22"/>
        </w:rPr>
        <w:t xml:space="preserve"> de la pomme d’anacarde. Un montant forfaitaire de 50 000 000 FCFA sera réservé pour appuyer un certain nombre de groupements méritants. Il apparaît également nécessaire de mettre en place un magasin de stockage et de conditionnement.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Produits halieutiques. Les activités de pêche et d’ostréiculture sont dominantes à Missirah, la RNC est contiguë </w:t>
      </w:r>
      <w:r w:rsidRPr="00F12E0C">
        <w:rPr>
          <w:rFonts w:ascii="Times New Roman" w:hAnsi="Times New Roman"/>
          <w:sz w:val="22"/>
        </w:rPr>
        <w:t xml:space="preserve">au Parc National du </w:t>
      </w:r>
      <w:r w:rsidR="008712CB">
        <w:rPr>
          <w:rFonts w:ascii="Times New Roman" w:hAnsi="Times New Roman"/>
          <w:sz w:val="22"/>
        </w:rPr>
        <w:t>Bas delta du</w:t>
      </w:r>
      <w:r w:rsidR="00E404FB">
        <w:rPr>
          <w:rFonts w:ascii="Times New Roman" w:hAnsi="Times New Roman"/>
          <w:sz w:val="22"/>
        </w:rPr>
        <w:t xml:space="preserve"> </w:t>
      </w:r>
      <w:r w:rsidR="00E82CB3" w:rsidRPr="00F12E0C">
        <w:rPr>
          <w:rFonts w:ascii="Times New Roman" w:hAnsi="Times New Roman"/>
          <w:sz w:val="22"/>
        </w:rPr>
        <w:t>Saloum</w:t>
      </w:r>
      <w:r w:rsidRPr="00F12E0C">
        <w:rPr>
          <w:rFonts w:ascii="Times New Roman" w:hAnsi="Times New Roman"/>
          <w:sz w:val="22"/>
        </w:rPr>
        <w:t>. Du fait de la surexploitation des ressources halieutiques, des stratégies d’adaptation sont développées par les populations organisées autour de comités pour gérer de façon rationnelle les ressources. Par le passé, un renforcement de la résilience des populations, particulièrement les groupements féminins pour une sécurité alimentaire a été opéré par des</w:t>
      </w:r>
      <w:r w:rsidRPr="00771667">
        <w:rPr>
          <w:rFonts w:ascii="Times New Roman" w:hAnsi="Times New Roman"/>
          <w:sz w:val="22"/>
        </w:rPr>
        <w:t xml:space="preserve"> projets dont le Projet italien de sécurité alimentaire qui a permis de construire une unité de transformation des produits halieutiques et appuyés les groupements en matériel de pêche. Ce projet étant clôturé depuis 2012, il s’avère nécessaire d’appuyer les membres du CIV dans les activités de pêche et d’ostréiculture. Cet </w:t>
      </w:r>
      <w:r w:rsidRPr="00771667">
        <w:rPr>
          <w:rFonts w:ascii="Times New Roman" w:hAnsi="Times New Roman"/>
          <w:b/>
          <w:sz w:val="22"/>
        </w:rPr>
        <w:t>appui sera accordé aux femmes transformatrices pour faire du commerce et la transformation des produits halieutiques</w:t>
      </w:r>
      <w:r w:rsidRPr="00771667">
        <w:rPr>
          <w:rFonts w:ascii="Times New Roman" w:hAnsi="Times New Roman"/>
          <w:sz w:val="22"/>
        </w:rPr>
        <w:t xml:space="preserve">. A Nemabah, il est envisagé de consolider les activités entamées avec le PGIES, aviculture et ostréiculture et renforcer les CIV. Le groupement de femmes avait pu disposer d’une délibération d’1 ha de terre pour y mener de l’arboriculture notamment des eucalyptus dont les perches sont utilisées dans l’ostréiculture. La Mairie de Toubacouta a eu à délibérer récemment 5 ha au profit des femmes. Des </w:t>
      </w:r>
      <w:r w:rsidRPr="00771667">
        <w:rPr>
          <w:rFonts w:ascii="Times New Roman" w:hAnsi="Times New Roman"/>
          <w:b/>
          <w:sz w:val="22"/>
        </w:rPr>
        <w:t xml:space="preserve">pirogues et des équipements d’ostréiculture </w:t>
      </w:r>
      <w:r w:rsidRPr="00771667">
        <w:rPr>
          <w:rFonts w:ascii="Times New Roman" w:hAnsi="Times New Roman"/>
          <w:sz w:val="22"/>
        </w:rPr>
        <w:t xml:space="preserve">seront également mis à la disposition des populations cibles. Le </w:t>
      </w:r>
      <w:r w:rsidRPr="00771667">
        <w:rPr>
          <w:rFonts w:ascii="Times New Roman" w:hAnsi="Times New Roman"/>
          <w:b/>
          <w:sz w:val="22"/>
        </w:rPr>
        <w:t xml:space="preserve">bassin piscicole </w:t>
      </w:r>
      <w:r w:rsidRPr="00771667">
        <w:rPr>
          <w:rFonts w:ascii="Times New Roman" w:hAnsi="Times New Roman"/>
          <w:sz w:val="22"/>
        </w:rPr>
        <w:t xml:space="preserve">sera réhabilité.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Appui au maraîchage. En collaboration avec l’ANEV, il est prévu l’installation d’un </w:t>
      </w:r>
      <w:r w:rsidRPr="00771667">
        <w:rPr>
          <w:rFonts w:ascii="Times New Roman" w:hAnsi="Times New Roman"/>
          <w:b/>
          <w:sz w:val="22"/>
        </w:rPr>
        <w:t>périmètre maraicher de 2 ha</w:t>
      </w:r>
      <w:r w:rsidRPr="00771667">
        <w:rPr>
          <w:rFonts w:ascii="Times New Roman" w:hAnsi="Times New Roman"/>
          <w:sz w:val="22"/>
        </w:rPr>
        <w:t xml:space="preserve">, le creusement d’un </w:t>
      </w:r>
      <w:r w:rsidRPr="00771667">
        <w:rPr>
          <w:rFonts w:ascii="Times New Roman" w:hAnsi="Times New Roman"/>
          <w:b/>
          <w:sz w:val="22"/>
        </w:rPr>
        <w:t>puits maraicher</w:t>
      </w:r>
      <w:r w:rsidRPr="00771667">
        <w:rPr>
          <w:rFonts w:ascii="Times New Roman" w:hAnsi="Times New Roman"/>
          <w:sz w:val="22"/>
        </w:rPr>
        <w:t xml:space="preserve"> et </w:t>
      </w:r>
      <w:r w:rsidRPr="00771667">
        <w:rPr>
          <w:rFonts w:ascii="Times New Roman" w:hAnsi="Times New Roman"/>
          <w:b/>
          <w:sz w:val="22"/>
        </w:rPr>
        <w:t>l’aménagement de vallée rizicole sur 5 ha</w:t>
      </w:r>
      <w:r w:rsidRPr="00771667">
        <w:rPr>
          <w:rFonts w:ascii="Times New Roman" w:hAnsi="Times New Roman"/>
          <w:sz w:val="22"/>
        </w:rPr>
        <w:t xml:space="preserve">. Pour réduire la vulnérabilité des cultures vivrières, base de la sécurité alimentaire, un appui sera octroyé aux producteurs membres du CIV en crédit intrants (semences, engrais, biopesticides) sous forme de crédit revolving. Il est également prévu de </w:t>
      </w:r>
      <w:r w:rsidRPr="00771667">
        <w:rPr>
          <w:rFonts w:ascii="Times New Roman" w:hAnsi="Times New Roman"/>
          <w:b/>
          <w:sz w:val="22"/>
        </w:rPr>
        <w:t xml:space="preserve">réhabiliter la pépinière fruitière </w:t>
      </w:r>
      <w:r w:rsidRPr="00771667">
        <w:rPr>
          <w:rFonts w:ascii="Times New Roman" w:hAnsi="Times New Roman"/>
          <w:sz w:val="22"/>
        </w:rPr>
        <w:t>existante</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Filière apiculture. Une dizaine de villages répartis principalement dans les Communes de Dialakoto est concerné par la production de miel. Le coût des </w:t>
      </w:r>
      <w:r w:rsidRPr="00771667">
        <w:rPr>
          <w:rFonts w:ascii="Times New Roman" w:hAnsi="Times New Roman"/>
          <w:b/>
          <w:sz w:val="22"/>
        </w:rPr>
        <w:t>ruches Kenyanes</w:t>
      </w:r>
      <w:r w:rsidRPr="00771667">
        <w:rPr>
          <w:rFonts w:ascii="Times New Roman" w:hAnsi="Times New Roman"/>
          <w:sz w:val="22"/>
        </w:rPr>
        <w:t xml:space="preserve"> considérant 04 par village est de 1 200 000 FCFA. Une seule unité de transformation pourra suffire dans un premier temps pour l’ensemble des villages. En plus </w:t>
      </w:r>
      <w:r w:rsidRPr="00771667">
        <w:rPr>
          <w:rFonts w:ascii="Times New Roman" w:hAnsi="Times New Roman"/>
          <w:b/>
          <w:sz w:val="22"/>
        </w:rPr>
        <w:t>des équipements divers</w:t>
      </w:r>
      <w:r w:rsidRPr="00771667">
        <w:rPr>
          <w:rFonts w:ascii="Times New Roman" w:hAnsi="Times New Roman"/>
          <w:sz w:val="22"/>
        </w:rPr>
        <w:t xml:space="preserve">, le coût de revient de l’activité peut être estimé à environ à 35 000 000 FCFA. La gestion de l’unité sera assurée par une entité fédératrice des différents groupements concernés. La filière s’appuiera sur les groupements et organisations faitières mis en place pour la filière apiculture. Le projet aidera dans l’organisation de la collecte, du regroupement de la production, du conditionnement et de la commercialisation au niveau local et national. Le projet aidera dans les premières années à des mises en relations avec des acteurs privés. Des activités de sensibilisation seront menées par les membres de l’équipe de projet pour développer les différents segments de la filière dans la zone du </w:t>
      </w:r>
      <w:r w:rsidR="00E82CB3">
        <w:rPr>
          <w:rFonts w:ascii="Times New Roman" w:hAnsi="Times New Roman"/>
          <w:sz w:val="22"/>
        </w:rPr>
        <w:t>delta du Saloum</w:t>
      </w:r>
      <w:r w:rsidRPr="00771667">
        <w:rPr>
          <w:rFonts w:ascii="Times New Roman" w:hAnsi="Times New Roman"/>
          <w:sz w:val="22"/>
        </w:rPr>
        <w:t xml:space="preserve"> (opportunités d’amélioration des revenus, contribution à la lutte contre les feux de brousse, etc.). </w:t>
      </w:r>
    </w:p>
    <w:p w:rsidR="00771667" w:rsidRPr="00771667" w:rsidRDefault="00771667" w:rsidP="00771667">
      <w:pPr>
        <w:spacing w:after="0"/>
        <w:ind w:left="1080"/>
        <w:jc w:val="left"/>
        <w:rPr>
          <w:rFonts w:ascii="Times New Roman" w:hAnsi="Times New Roman"/>
          <w:i/>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074"/>
      </w:tblGrid>
      <w:tr w:rsidR="00771667" w:rsidRPr="00771667" w:rsidTr="00771667">
        <w:trPr>
          <w:tblHeader/>
        </w:trPr>
        <w:tc>
          <w:tcPr>
            <w:tcW w:w="9464" w:type="dxa"/>
            <w:gridSpan w:val="2"/>
            <w:tcBorders>
              <w:top w:val="single" w:sz="4" w:space="0" w:color="auto"/>
              <w:left w:val="single" w:sz="4" w:space="0" w:color="auto"/>
              <w:bottom w:val="single" w:sz="4" w:space="0" w:color="auto"/>
              <w:right w:val="single" w:sz="4" w:space="0" w:color="auto"/>
            </w:tcBorders>
            <w:shd w:val="clear" w:color="auto" w:fill="E5B8B7"/>
          </w:tcPr>
          <w:p w:rsidR="00771667" w:rsidRPr="00771667" w:rsidRDefault="00771667" w:rsidP="00771667">
            <w:pPr>
              <w:spacing w:after="0"/>
              <w:ind w:left="1080"/>
              <w:jc w:val="center"/>
              <w:rPr>
                <w:rFonts w:ascii="Times New Roman" w:hAnsi="Times New Roman"/>
                <w:b/>
                <w:bCs/>
                <w:sz w:val="22"/>
              </w:rPr>
            </w:pPr>
            <w:r w:rsidRPr="00771667">
              <w:rPr>
                <w:rFonts w:ascii="Times New Roman" w:hAnsi="Times New Roman"/>
                <w:b/>
                <w:bCs/>
                <w:sz w:val="22"/>
                <w:szCs w:val="22"/>
              </w:rPr>
              <w:t>Analyse SWOT de la filière miel</w:t>
            </w:r>
          </w:p>
        </w:tc>
      </w:tr>
      <w:tr w:rsidR="00771667" w:rsidRPr="00771667" w:rsidTr="00771667">
        <w:trPr>
          <w:tblHeader/>
        </w:trPr>
        <w:tc>
          <w:tcPr>
            <w:tcW w:w="4390"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
                <w:bCs/>
              </w:rPr>
            </w:pPr>
            <w:r w:rsidRPr="00771667">
              <w:rPr>
                <w:rFonts w:ascii="Times New Roman" w:hAnsi="Times New Roman"/>
                <w:b/>
                <w:bCs/>
                <w:szCs w:val="22"/>
              </w:rPr>
              <w:t>FORCES / SUCCES</w:t>
            </w:r>
          </w:p>
        </w:tc>
        <w:tc>
          <w:tcPr>
            <w:tcW w:w="5074"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
                <w:bCs/>
              </w:rPr>
            </w:pPr>
            <w:r w:rsidRPr="00771667">
              <w:rPr>
                <w:rFonts w:ascii="Times New Roman" w:hAnsi="Times New Roman"/>
                <w:b/>
                <w:bCs/>
                <w:szCs w:val="22"/>
              </w:rPr>
              <w:t>FAIBLESSES</w:t>
            </w:r>
          </w:p>
        </w:tc>
      </w:tr>
      <w:tr w:rsidR="00771667" w:rsidRPr="00771667" w:rsidTr="00075058">
        <w:tc>
          <w:tcPr>
            <w:tcW w:w="4390"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l’apiculture est en train de devenir une véritable filière génératrice de revenus et d’emploi dans la zone</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l’implantation d’unités de production Modernes</w:t>
            </w:r>
          </w:p>
        </w:tc>
        <w:tc>
          <w:tcPr>
            <w:tcW w:w="5074"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6" w:hanging="146"/>
              <w:contextualSpacing/>
              <w:rPr>
                <w:rFonts w:ascii="Times New Roman" w:hAnsi="Times New Roman"/>
              </w:rPr>
            </w:pPr>
            <w:r w:rsidRPr="00771667">
              <w:rPr>
                <w:rFonts w:ascii="Times New Roman" w:hAnsi="Times New Roman"/>
                <w:szCs w:val="22"/>
              </w:rPr>
              <w:t>Manque d’organisations d’apiculteurs (il n’existe pas de répertoire qui récence de manière exhaustive les acteurs</w:t>
            </w:r>
          </w:p>
          <w:p w:rsidR="00771667" w:rsidRPr="00771667" w:rsidRDefault="00771667" w:rsidP="00771667">
            <w:pPr>
              <w:numPr>
                <w:ilvl w:val="0"/>
                <w:numId w:val="89"/>
              </w:numPr>
              <w:spacing w:after="0"/>
              <w:ind w:left="146" w:hanging="146"/>
              <w:contextualSpacing/>
              <w:rPr>
                <w:rFonts w:ascii="Times New Roman" w:hAnsi="Times New Roman"/>
              </w:rPr>
            </w:pPr>
            <w:r w:rsidRPr="00771667">
              <w:rPr>
                <w:rFonts w:ascii="Times New Roman" w:hAnsi="Times New Roman"/>
                <w:szCs w:val="22"/>
              </w:rPr>
              <w:t>Difficulté d’obtention de ruches dans les délais souhaités</w:t>
            </w:r>
          </w:p>
        </w:tc>
      </w:tr>
      <w:tr w:rsidR="00771667" w:rsidRPr="00771667" w:rsidTr="00771667">
        <w:tc>
          <w:tcPr>
            <w:tcW w:w="4390"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Cs/>
              </w:rPr>
            </w:pPr>
            <w:r w:rsidRPr="00771667">
              <w:rPr>
                <w:rFonts w:ascii="Times New Roman" w:hAnsi="Times New Roman"/>
                <w:b/>
                <w:bCs/>
                <w:szCs w:val="22"/>
              </w:rPr>
              <w:t>OPPORTUNITES</w:t>
            </w:r>
          </w:p>
        </w:tc>
        <w:tc>
          <w:tcPr>
            <w:tcW w:w="5074"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Cs/>
              </w:rPr>
            </w:pPr>
            <w:r w:rsidRPr="00771667">
              <w:rPr>
                <w:rFonts w:ascii="Times New Roman" w:hAnsi="Times New Roman"/>
                <w:b/>
                <w:bCs/>
                <w:szCs w:val="22"/>
              </w:rPr>
              <w:t>MENACES / CONTRAINTES</w:t>
            </w:r>
          </w:p>
        </w:tc>
      </w:tr>
      <w:tr w:rsidR="00771667" w:rsidRPr="00771667" w:rsidTr="00075058">
        <w:tc>
          <w:tcPr>
            <w:tcW w:w="4390"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l’implantation d’unités de production Modernes</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 xml:space="preserve">existence du Réseau des Apiculteurs du </w:t>
            </w:r>
            <w:r w:rsidR="00E82CB3">
              <w:rPr>
                <w:rFonts w:ascii="Times New Roman" w:hAnsi="Times New Roman"/>
                <w:szCs w:val="22"/>
              </w:rPr>
              <w:t>delta du Saloum</w:t>
            </w:r>
            <w:r w:rsidRPr="00771667">
              <w:rPr>
                <w:rFonts w:ascii="Times New Roman" w:hAnsi="Times New Roman"/>
                <w:szCs w:val="22"/>
              </w:rPr>
              <w:t xml:space="preserve"> (RADES)</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l’apiculture malgré le fait qu’il soit plus ressent bénéficie d’un appui de</w:t>
            </w:r>
          </w:p>
          <w:p w:rsidR="00771667" w:rsidRPr="00771667" w:rsidRDefault="00771667" w:rsidP="00771667">
            <w:pPr>
              <w:numPr>
                <w:ilvl w:val="0"/>
                <w:numId w:val="89"/>
              </w:numPr>
              <w:spacing w:after="0"/>
              <w:ind w:left="142" w:hanging="142"/>
              <w:contextualSpacing/>
              <w:rPr>
                <w:rFonts w:ascii="Times New Roman" w:hAnsi="Times New Roman"/>
                <w:bCs/>
              </w:rPr>
            </w:pPr>
            <w:r w:rsidRPr="00771667">
              <w:rPr>
                <w:rFonts w:ascii="Times New Roman" w:hAnsi="Times New Roman"/>
                <w:szCs w:val="22"/>
              </w:rPr>
              <w:t>la part des partenaires au développement comme l’UICN, le PAPIL et la coopération japonaise</w:t>
            </w:r>
          </w:p>
        </w:tc>
        <w:tc>
          <w:tcPr>
            <w:tcW w:w="5074"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6" w:hanging="141"/>
              <w:contextualSpacing/>
              <w:rPr>
                <w:rFonts w:ascii="Times New Roman" w:hAnsi="Times New Roman"/>
              </w:rPr>
            </w:pPr>
            <w:r w:rsidRPr="00771667">
              <w:rPr>
                <w:rFonts w:ascii="Times New Roman" w:hAnsi="Times New Roman"/>
                <w:szCs w:val="22"/>
              </w:rPr>
              <w:t>Manque d’implication des Services techniques, de l’administration territoriale, des maires dans la filière</w:t>
            </w:r>
          </w:p>
          <w:p w:rsidR="00771667" w:rsidRPr="00771667" w:rsidRDefault="00771667" w:rsidP="00771667">
            <w:pPr>
              <w:numPr>
                <w:ilvl w:val="0"/>
                <w:numId w:val="89"/>
              </w:numPr>
              <w:spacing w:after="0"/>
              <w:ind w:left="146" w:hanging="141"/>
              <w:contextualSpacing/>
              <w:rPr>
                <w:rFonts w:ascii="Times New Roman" w:hAnsi="Times New Roman"/>
              </w:rPr>
            </w:pPr>
            <w:r w:rsidRPr="00771667">
              <w:rPr>
                <w:rFonts w:ascii="Times New Roman" w:hAnsi="Times New Roman"/>
                <w:szCs w:val="22"/>
              </w:rPr>
              <w:t>Manque de ressources humaines bien formées dans l’installation des ruches</w:t>
            </w:r>
          </w:p>
        </w:tc>
      </w:tr>
    </w:tbl>
    <w:p w:rsidR="00771667" w:rsidRPr="00771667" w:rsidRDefault="00771667" w:rsidP="00771667">
      <w:pPr>
        <w:contextualSpacing/>
        <w:rPr>
          <w:sz w:val="18"/>
        </w:rPr>
      </w:pPr>
    </w:p>
    <w:p w:rsidR="00771667" w:rsidRPr="00771667" w:rsidRDefault="00771667" w:rsidP="00771667">
      <w:pPr>
        <w:numPr>
          <w:ilvl w:val="0"/>
          <w:numId w:val="86"/>
        </w:numPr>
        <w:spacing w:after="0"/>
        <w:contextualSpacing/>
        <w:rPr>
          <w:rFonts w:ascii="Times New Roman" w:hAnsi="Times New Roman"/>
          <w:sz w:val="22"/>
        </w:rPr>
      </w:pPr>
      <w:r w:rsidRPr="00771667">
        <w:rPr>
          <w:rFonts w:ascii="Times New Roman" w:hAnsi="Times New Roman"/>
          <w:sz w:val="22"/>
          <w:u w:val="single"/>
        </w:rPr>
        <w:t>Lutte contre les feux de brousse.</w:t>
      </w:r>
      <w:r w:rsidRPr="00771667">
        <w:rPr>
          <w:rFonts w:ascii="Times New Roman" w:hAnsi="Times New Roman"/>
          <w:sz w:val="22"/>
        </w:rPr>
        <w:t xml:space="preserve"> Pour parer aux effets néfastes des feux de brousse fréquents, il est proposé l’ouverture de </w:t>
      </w:r>
      <w:r w:rsidRPr="00771667">
        <w:rPr>
          <w:rFonts w:ascii="Times New Roman" w:hAnsi="Times New Roman"/>
          <w:b/>
          <w:sz w:val="22"/>
        </w:rPr>
        <w:t>50 km de pare-feu</w:t>
      </w:r>
      <w:r w:rsidRPr="00771667">
        <w:rPr>
          <w:rFonts w:ascii="Times New Roman" w:hAnsi="Times New Roman"/>
          <w:sz w:val="22"/>
        </w:rPr>
        <w:t>.</w:t>
      </w:r>
    </w:p>
    <w:p w:rsidR="00771667" w:rsidRPr="00771667" w:rsidRDefault="00771667" w:rsidP="00771667">
      <w:pPr>
        <w:numPr>
          <w:ilvl w:val="0"/>
          <w:numId w:val="86"/>
        </w:numPr>
        <w:spacing w:after="0"/>
        <w:contextualSpacing/>
        <w:rPr>
          <w:rFonts w:ascii="Times New Roman" w:hAnsi="Times New Roman"/>
          <w:sz w:val="22"/>
          <w:u w:val="single"/>
        </w:rPr>
      </w:pPr>
      <w:r w:rsidRPr="00771667">
        <w:rPr>
          <w:rFonts w:ascii="Times New Roman" w:hAnsi="Times New Roman"/>
          <w:sz w:val="22"/>
          <w:u w:val="single"/>
        </w:rPr>
        <w:t xml:space="preserve">Sessions de formation.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rPr>
      </w:pPr>
      <w:r w:rsidRPr="00771667">
        <w:rPr>
          <w:rFonts w:ascii="Times New Roman" w:hAnsi="Times New Roman"/>
          <w:sz w:val="22"/>
        </w:rPr>
        <w:t xml:space="preserve">Deux sessions </w:t>
      </w:r>
      <w:r w:rsidRPr="00771667">
        <w:rPr>
          <w:rFonts w:ascii="Times New Roman" w:hAnsi="Times New Roman"/>
          <w:b/>
          <w:sz w:val="22"/>
        </w:rPr>
        <w:t>d’alphabétisation fonctionnelle</w:t>
      </w:r>
      <w:r w:rsidRPr="00771667">
        <w:rPr>
          <w:rFonts w:ascii="Times New Roman" w:hAnsi="Times New Roman"/>
          <w:sz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une à Toubacouta et une à Sokone.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u w:val="single"/>
        </w:rPr>
      </w:pPr>
      <w:r w:rsidRPr="00771667">
        <w:rPr>
          <w:rFonts w:ascii="Times New Roman" w:hAnsi="Times New Roman"/>
          <w:sz w:val="22"/>
          <w:u w:val="single"/>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615"/>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330"/>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406"/>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500</w:t>
            </w:r>
            <w:r w:rsidR="00F12E0C">
              <w:rPr>
                <w:rFonts w:ascii="Times New Roman" w:eastAsia="Times New Roman" w:hAnsi="Times New Roman"/>
                <w:color w:val="000000"/>
              </w:rPr>
              <w:t> </w:t>
            </w:r>
            <w:r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397"/>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transformation de la noix et de la pomme d’anacarde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bl>
    <w:p w:rsidR="00771667" w:rsidRPr="00771667" w:rsidRDefault="00771667" w:rsidP="00771667">
      <w:pPr>
        <w:widowControl w:val="0"/>
        <w:autoSpaceDE w:val="0"/>
        <w:autoSpaceDN w:val="0"/>
        <w:adjustRightInd w:val="0"/>
        <w:spacing w:after="0"/>
        <w:jc w:val="left"/>
        <w:rPr>
          <w:rFonts w:ascii="Times New Roman" w:eastAsia="Cambria" w:hAnsi="Times New Roman"/>
          <w:color w:val="000000"/>
          <w:sz w:val="22"/>
        </w:rPr>
      </w:pPr>
    </w:p>
    <w:p w:rsidR="00771667" w:rsidRPr="00771667" w:rsidRDefault="00771667" w:rsidP="00771667">
      <w:pPr>
        <w:widowControl w:val="0"/>
        <w:autoSpaceDE w:val="0"/>
        <w:autoSpaceDN w:val="0"/>
        <w:adjustRightInd w:val="0"/>
        <w:spacing w:after="0"/>
        <w:rPr>
          <w:rFonts w:ascii="Times New Roman" w:eastAsia="Times New Roman" w:hAnsi="Times New Roman"/>
          <w:sz w:val="22"/>
        </w:rPr>
      </w:pPr>
      <w:r w:rsidRPr="00771667">
        <w:rPr>
          <w:rFonts w:ascii="Times New Roman" w:eastAsia="Times New Roman" w:hAnsi="Times New Roman"/>
          <w:sz w:val="22"/>
        </w:rPr>
        <w:t xml:space="preserve">Des formateurs-relais procéderont à la démultiplication de la formation dans leurs villages respectifs. En considérant que les relais pourront organiser au moins une formation par village, 30 sessions de formation au niveau des villages à raison de 75 000 FCFA, l’unité, le coût total des formations décentralisées dans les villages est d’environ 2 250 000 FCFA. Le coût global de la formation pour la filière gomme est de 11 250 000 FCFA. </w:t>
      </w:r>
    </w:p>
    <w:p w:rsidR="00771667" w:rsidRPr="00771667" w:rsidRDefault="00771667" w:rsidP="00771667">
      <w:pPr>
        <w:widowControl w:val="0"/>
        <w:autoSpaceDE w:val="0"/>
        <w:autoSpaceDN w:val="0"/>
        <w:adjustRightInd w:val="0"/>
        <w:spacing w:after="0"/>
        <w:rPr>
          <w:rFonts w:ascii="Times New Roman" w:eastAsia="Cambria" w:hAnsi="Times New Roman"/>
          <w:sz w:val="22"/>
        </w:rPr>
      </w:pPr>
      <w:r w:rsidRPr="00771667">
        <w:rPr>
          <w:rFonts w:ascii="Times New Roman" w:eastAsia="Cambria" w:hAnsi="Times New Roman"/>
          <w:sz w:val="22"/>
        </w:rPr>
        <w:t xml:space="preserve">Ces formations vont toucher </w:t>
      </w:r>
      <w:r w:rsidRPr="00771667">
        <w:rPr>
          <w:rFonts w:ascii="Times New Roman" w:eastAsia="Times New Roman" w:hAnsi="Times New Roman"/>
          <w:sz w:val="22"/>
        </w:rPr>
        <w:t>25 à 30 personnes par session. Avec la démultiplication par les relais,</w:t>
      </w:r>
      <w:r w:rsidRPr="00771667">
        <w:rPr>
          <w:rFonts w:ascii="Times New Roman" w:eastAsia="Cambria" w:hAnsi="Times New Roman"/>
          <w:sz w:val="22"/>
        </w:rPr>
        <w:t xml:space="preserve"> au moins 1 000 personnes dont au moins 70</w:t>
      </w:r>
      <w:r w:rsidR="00A72504">
        <w:rPr>
          <w:rFonts w:ascii="Times New Roman" w:eastAsia="Cambria" w:hAnsi="Times New Roman"/>
          <w:sz w:val="22"/>
        </w:rPr>
        <w:t> %</w:t>
      </w:r>
      <w:r w:rsidRPr="00771667">
        <w:rPr>
          <w:rFonts w:ascii="Times New Roman" w:eastAsia="Cambria" w:hAnsi="Times New Roman"/>
          <w:sz w:val="22"/>
        </w:rPr>
        <w:t xml:space="preserve"> de femmes dans la zone du </w:t>
      </w:r>
      <w:r w:rsidR="00E82CB3">
        <w:rPr>
          <w:rFonts w:ascii="Times New Roman" w:eastAsia="Cambria" w:hAnsi="Times New Roman"/>
          <w:sz w:val="22"/>
        </w:rPr>
        <w:t>delta du Saloum</w:t>
      </w:r>
      <w:r w:rsidRPr="00771667">
        <w:rPr>
          <w:rFonts w:ascii="Times New Roman" w:eastAsia="Cambria" w:hAnsi="Times New Roman"/>
          <w:sz w:val="22"/>
        </w:rPr>
        <w:t>.</w:t>
      </w:r>
    </w:p>
    <w:p w:rsidR="00771667" w:rsidRPr="00771667" w:rsidRDefault="00771667" w:rsidP="00771667">
      <w:pPr>
        <w:ind w:left="360"/>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10</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des propositions liées à l'agriculture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 xml:space="preserve">Partenaires éventuels pour </w:t>
            </w:r>
            <w:r w:rsidR="00384043">
              <w:rPr>
                <w:rFonts w:ascii="Times New Roman" w:eastAsia="Times New Roman" w:hAnsi="Times New Roman"/>
                <w:b/>
                <w:bCs/>
                <w:color w:val="000000"/>
                <w:szCs w:val="20"/>
              </w:rPr>
              <w:t>cofinancement</w:t>
            </w:r>
            <w:r w:rsidRPr="00771667">
              <w:rPr>
                <w:rFonts w:ascii="Times New Roman" w:eastAsia="Times New Roman" w:hAnsi="Times New Roman"/>
                <w:b/>
                <w:bCs/>
                <w:color w:val="000000"/>
                <w:szCs w:val="20"/>
              </w:rPr>
              <w:t>s</w:t>
            </w:r>
          </w:p>
        </w:tc>
      </w:tr>
      <w:tr w:rsidR="00771667" w:rsidRPr="00771667"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Appui aux femmes pour le commerce. Transformation, produits halieutiques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FAO</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bassin aquacole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Achat de coqs raceurs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Pirogue et équipements pour ostréiculture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16 000 000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es-ES"/>
              </w:rPr>
            </w:pPr>
            <w:r w:rsidRPr="00771667">
              <w:rPr>
                <w:rFonts w:ascii="Times New Roman" w:eastAsia="Times New Roman" w:hAnsi="Times New Roman"/>
                <w:color w:val="000000"/>
                <w:szCs w:val="20"/>
                <w:lang w:val="es-ES"/>
              </w:rPr>
              <w:t>ANEV, PAPIL, PAFA- PAFA-E, Wula Nafa,P2RS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Pare-feu</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50 </w:t>
            </w:r>
            <w:r w:rsidR="00771667" w:rsidRPr="00771667">
              <w:rPr>
                <w:rFonts w:ascii="Times New Roman" w:eastAsia="Times New Roman" w:hAnsi="Times New Roman"/>
                <w:color w:val="000000"/>
                <w:szCs w:val="20"/>
              </w:rPr>
              <w:t>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311A1A"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6,4 </w:t>
            </w:r>
            <w:r w:rsidR="00771667" w:rsidRPr="00771667">
              <w:rPr>
                <w:rFonts w:ascii="Times New Roman" w:eastAsia="Times New Roman" w:hAnsi="Times New Roman"/>
                <w:color w:val="000000"/>
                <w:szCs w:val="20"/>
              </w:rPr>
              <w:t>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es-ES"/>
              </w:rPr>
            </w:pPr>
            <w:r w:rsidRPr="00771667">
              <w:rPr>
                <w:rFonts w:ascii="Times New Roman" w:eastAsia="Times New Roman" w:hAnsi="Times New Roman"/>
                <w:color w:val="000000"/>
                <w:szCs w:val="20"/>
                <w:lang w:val="es-ES"/>
              </w:rPr>
              <w:t>ANEV, PAPIL, PAFA- PAFA-E, Wula Nafa,P2RS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 rizicoles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12 500 000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pépiniètre et jardin fruitier</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311A1A"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Acquisition d’intrants  (semences, engrais, produits phytosanitaires) </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PAPIL, PAFA- PAFA-E, Wula Nafa,P2RS, (Fonds revolving?)</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20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Mesures CES/DES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Diffusion de foyers améliorés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Plateforme multifonctionnelle et séchoir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d'unités de transformation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Magasin de stockage et conditionnement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Ruches et équipements pour l'apiculture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40 villages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35 000 000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30 jours et 6 sessions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8 RNC et UP, un montant d’environ 52 000 000 FCFA (6 500 000 FCFA x 8) permettra de réactualiser les plans d’aménagement, intégrant l’analyse de la situation de référence et les consultations publiques.</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Pour lutter contre les feux de brousse</w:t>
      </w:r>
      <w:r w:rsidRPr="00771667">
        <w:rPr>
          <w:rFonts w:ascii="Times New Roman" w:hAnsi="Times New Roman"/>
          <w:sz w:val="22"/>
        </w:rPr>
        <w:t xml:space="preserve">, il est proposé l’ouverture de </w:t>
      </w:r>
      <w:r w:rsidRPr="00771667">
        <w:rPr>
          <w:rFonts w:ascii="Times New Roman" w:hAnsi="Times New Roman"/>
          <w:b/>
          <w:sz w:val="22"/>
        </w:rPr>
        <w:t>50 km de pare-feu</w:t>
      </w:r>
      <w:r w:rsidRPr="00771667">
        <w:rPr>
          <w:rFonts w:ascii="Times New Roman" w:hAnsi="Times New Roman"/>
          <w:sz w:val="22"/>
        </w:rPr>
        <w:t xml:space="preserve">. </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 xml:space="preserve">Sessions de formation </w:t>
      </w:r>
      <w:r w:rsidRPr="00771667">
        <w:rPr>
          <w:rFonts w:ascii="Times New Roman" w:hAnsi="Times New Roman"/>
          <w:sz w:val="22"/>
        </w:rPr>
        <w:t xml:space="preserve">sur les techniques de lutte contre les feux de brousse (2 sessions pour 1 000 000 FCFA) et sur les techniques de transformation des produits forestiers non ligneux (2 sessions pour 1 000 000 FCFA). </w:t>
      </w:r>
    </w:p>
    <w:p w:rsidR="00771667" w:rsidRPr="00771667" w:rsidRDefault="00771667" w:rsidP="00771667">
      <w:pPr>
        <w:tabs>
          <w:tab w:val="left" w:pos="426"/>
        </w:tabs>
        <w:spacing w:before="120" w:after="120"/>
        <w:rPr>
          <w:u w:val="single"/>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11</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l'agriculture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384043">
              <w:rPr>
                <w:rFonts w:ascii="Times New Roman" w:eastAsia="Times New Roman" w:hAnsi="Times New Roman"/>
                <w:b/>
                <w:bCs/>
                <w:color w:val="000000"/>
                <w:szCs w:val="18"/>
              </w:rPr>
              <w:t>cofinancement</w:t>
            </w:r>
            <w:r w:rsidRPr="00771667">
              <w:rPr>
                <w:rFonts w:ascii="Times New Roman" w:eastAsia="Times New Roman" w:hAnsi="Times New Roman"/>
                <w:b/>
                <w:bCs/>
                <w:color w:val="000000"/>
                <w:szCs w:val="18"/>
              </w:rPr>
              <w: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8</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52 000 000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ANEV</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 sessions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 w:rsidR="00771667" w:rsidRPr="00771667" w:rsidRDefault="00771667" w:rsidP="00771667">
      <w:pPr>
        <w:spacing w:after="0"/>
        <w:ind w:left="720"/>
        <w:rPr>
          <w:rFonts w:ascii="Times" w:eastAsia="Times" w:hAnsi="Times"/>
          <w:sz w:val="24"/>
        </w:rPr>
      </w:pPr>
    </w:p>
    <w:p w:rsidR="00771667" w:rsidRPr="00771667" w:rsidRDefault="00771667" w:rsidP="00771667"/>
    <w:p w:rsidR="00771667" w:rsidRPr="00771667" w:rsidRDefault="00771667" w:rsidP="00771667">
      <w:pPr>
        <w:jc w:val="center"/>
        <w:rPr>
          <w:rFonts w:ascii="Arial" w:hAnsi="Arial" w:cs="Arial"/>
          <w:color w:val="000066"/>
          <w:sz w:val="22"/>
          <w:szCs w:val="22"/>
        </w:rPr>
      </w:pPr>
    </w:p>
    <w:p w:rsidR="00771667" w:rsidRPr="00771667" w:rsidRDefault="00771667" w:rsidP="00771667"/>
    <w:p w:rsidR="00771667" w:rsidRPr="00771667" w:rsidRDefault="00771667" w:rsidP="00771667"/>
    <w:p w:rsidR="00771667" w:rsidRPr="00771667" w:rsidRDefault="00771667" w:rsidP="00771667">
      <w:pPr>
        <w:rPr>
          <w:b/>
          <w:u w:val="single"/>
        </w:rPr>
      </w:pPr>
    </w:p>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27" w:name="_Toc339209632"/>
      <w:bookmarkStart w:id="128" w:name="_Toc339725246"/>
      <w:bookmarkStart w:id="129" w:name="_Toc496886597"/>
      <w:bookmarkStart w:id="130" w:name="_Toc498638434"/>
      <w:r w:rsidRPr="00771667">
        <w:rPr>
          <w:rFonts w:eastAsia="MS Gothic"/>
          <w:b/>
          <w:bCs/>
          <w:color w:val="4F81BD"/>
          <w:sz w:val="26"/>
          <w:szCs w:val="26"/>
          <w:lang w:eastAsia="fr-FR"/>
        </w:rPr>
        <w:t>B.III. Site du Ferlo</w:t>
      </w:r>
      <w:bookmarkEnd w:id="127"/>
      <w:bookmarkEnd w:id="128"/>
      <w:bookmarkEnd w:id="129"/>
      <w:bookmarkEnd w:id="130"/>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59D733E2" wp14:editId="2FEE40F7">
            <wp:extent cx="5756910" cy="4457545"/>
            <wp:effectExtent l="0" t="0" r="8890" b="0"/>
            <wp:docPr id="1099" name="Image 61" descr="Ferl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lo_v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756910" cy="4457545"/>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3</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ite du Ferlo (source</w:t>
      </w:r>
      <w:r w:rsidR="002575A2">
        <w:rPr>
          <w:rFonts w:ascii="Times New Roman" w:eastAsia="Times New Roman" w:hAnsi="Times New Roman"/>
          <w:b/>
          <w:bCs/>
          <w:i/>
          <w:sz w:val="22"/>
        </w:rPr>
        <w:t> :</w:t>
      </w:r>
      <w:r w:rsidR="00A72504">
        <w:rPr>
          <w:rFonts w:ascii="Times New Roman" w:eastAsia="Times New Roman" w:hAnsi="Times New Roman"/>
          <w:b/>
          <w:bCs/>
          <w:i/>
          <w:sz w:val="22"/>
        </w:rPr>
        <w:t> </w:t>
      </w:r>
      <w:r w:rsidRPr="00771667">
        <w:rPr>
          <w:rFonts w:ascii="Times New Roman" w:eastAsia="Times New Roman" w:hAnsi="Times New Roman"/>
          <w:b/>
          <w:bCs/>
          <w:i/>
          <w:sz w:val="22"/>
        </w:rPr>
        <w:t>?)</w:t>
      </w:r>
    </w:p>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31" w:name="_Toc339209633"/>
      <w:bookmarkStart w:id="132" w:name="_Toc339725247"/>
      <w:bookmarkStart w:id="133" w:name="_Toc496886598"/>
      <w:bookmarkStart w:id="134" w:name="_Toc498638435"/>
      <w:r w:rsidRPr="00771667">
        <w:rPr>
          <w:rFonts w:eastAsia="MS Gothic"/>
          <w:b/>
          <w:bCs/>
          <w:color w:val="4F81BD"/>
        </w:rPr>
        <w:t>B.III.1. Constat des experts</w:t>
      </w:r>
      <w:bookmarkEnd w:id="131"/>
      <w:bookmarkEnd w:id="132"/>
      <w:bookmarkEnd w:id="133"/>
      <w:bookmarkEnd w:id="134"/>
    </w:p>
    <w:p w:rsidR="00771667" w:rsidRPr="00771667" w:rsidRDefault="00771667" w:rsidP="00771667"/>
    <w:p w:rsidR="00771667" w:rsidRPr="00771667" w:rsidRDefault="00771667" w:rsidP="00771667">
      <w:pPr>
        <w:numPr>
          <w:ilvl w:val="0"/>
          <w:numId w:val="86"/>
        </w:numPr>
        <w:spacing w:after="0"/>
        <w:contextualSpacing/>
        <w:rPr>
          <w:sz w:val="22"/>
        </w:rPr>
      </w:pPr>
      <w:r w:rsidRPr="00771667">
        <w:rPr>
          <w:rFonts w:ascii="Times New Roman" w:hAnsi="Times New Roman"/>
          <w:sz w:val="22"/>
        </w:rPr>
        <w:t>Dans la zone du Ferlo, six strates sont présentes, à savoir</w:t>
      </w:r>
      <w:r w:rsidR="006602F7">
        <w:rPr>
          <w:rFonts w:ascii="Times New Roman" w:hAnsi="Times New Roman"/>
          <w:sz w:val="22"/>
        </w:rPr>
        <w:t> :</w:t>
      </w:r>
      <w:r w:rsidRPr="00771667">
        <w:rPr>
          <w:rFonts w:ascii="Times New Roman" w:hAnsi="Times New Roman"/>
          <w:sz w:val="22"/>
        </w:rPr>
        <w:t xml:space="preserve"> la savane boisée, la savane arborée, la savane arbustive, les formations de vallée, les sols nus et la zone agricole. A ces strates s’ajoutent le réseau hydrographique et les mares. On observe ainsi que la savane arbustive occupe plus de la moitié du territoire (52</w:t>
      </w:r>
      <w:r w:rsidR="00A72504">
        <w:rPr>
          <w:rFonts w:ascii="Times New Roman" w:hAnsi="Times New Roman"/>
          <w:sz w:val="22"/>
        </w:rPr>
        <w:t> %</w:t>
      </w:r>
      <w:r w:rsidRPr="00771667">
        <w:rPr>
          <w:rFonts w:ascii="Times New Roman" w:hAnsi="Times New Roman"/>
          <w:sz w:val="22"/>
        </w:rPr>
        <w:t>) alors que les savanes arborées et boisées occupent des proportions assez modestes</w:t>
      </w:r>
      <w:r w:rsidR="002575A2">
        <w:rPr>
          <w:rFonts w:ascii="Times New Roman" w:hAnsi="Times New Roman"/>
          <w:sz w:val="22"/>
        </w:rPr>
        <w:t> :</w:t>
      </w:r>
      <w:r w:rsidRPr="00771667">
        <w:rPr>
          <w:rFonts w:ascii="Times New Roman" w:hAnsi="Times New Roman"/>
          <w:sz w:val="22"/>
        </w:rPr>
        <w:t xml:space="preserve"> 20</w:t>
      </w:r>
      <w:r w:rsidR="00A72504">
        <w:rPr>
          <w:rFonts w:ascii="Times New Roman" w:hAnsi="Times New Roman"/>
          <w:sz w:val="22"/>
        </w:rPr>
        <w:t> %</w:t>
      </w:r>
      <w:r w:rsidRPr="00771667">
        <w:rPr>
          <w:rFonts w:ascii="Times New Roman" w:hAnsi="Times New Roman"/>
          <w:sz w:val="22"/>
        </w:rPr>
        <w:t xml:space="preserve"> et 6</w:t>
      </w:r>
      <w:r w:rsidR="00A72504">
        <w:rPr>
          <w:rFonts w:ascii="Times New Roman" w:hAnsi="Times New Roman"/>
          <w:sz w:val="22"/>
        </w:rPr>
        <w:t> %</w:t>
      </w:r>
      <w:r w:rsidRPr="00771667">
        <w:rPr>
          <w:rFonts w:ascii="Times New Roman" w:hAnsi="Times New Roman"/>
          <w:sz w:val="22"/>
        </w:rPr>
        <w:t xml:space="preserve"> respectivement. Les sols nus occupent une portion de 14</w:t>
      </w:r>
      <w:r w:rsidR="00A72504">
        <w:rPr>
          <w:rFonts w:ascii="Times New Roman" w:hAnsi="Times New Roman"/>
          <w:sz w:val="22"/>
        </w:rPr>
        <w:t> %</w:t>
      </w:r>
      <w:r w:rsidRPr="00771667">
        <w:rPr>
          <w:rFonts w:ascii="Times New Roman" w:hAnsi="Times New Roman"/>
          <w:sz w:val="22"/>
        </w:rPr>
        <w:t xml:space="preserve"> des terroirs (</w:t>
      </w:r>
      <w:r w:rsidR="00990A25">
        <w:fldChar w:fldCharType="begin"/>
      </w:r>
      <w:r w:rsidR="00990A25">
        <w:instrText xml:space="preserve"> REF _Ref339198840 \h  \* MERGEFORMAT </w:instrText>
      </w:r>
      <w:r w:rsidR="00990A25">
        <w:fldChar w:fldCharType="separate"/>
      </w:r>
      <w:r w:rsidR="009375FA" w:rsidRPr="009375FA">
        <w:rPr>
          <w:rFonts w:ascii="Times New Roman" w:hAnsi="Times New Roman"/>
          <w:sz w:val="22"/>
        </w:rPr>
        <w:t>Tableau 12</w:t>
      </w:r>
      <w:r w:rsidR="00990A25">
        <w:fldChar w:fldCharType="end"/>
      </w:r>
      <w:r w:rsidRPr="00771667">
        <w:rPr>
          <w:rFonts w:ascii="Times New Roman" w:hAnsi="Times New Roman"/>
          <w:sz w:val="22"/>
        </w:rPr>
        <w:t>).</w:t>
      </w:r>
      <w:r w:rsidRPr="00771667">
        <w:rPr>
          <w:sz w:val="22"/>
        </w:rPr>
        <w:t xml:space="preserve"> </w:t>
      </w:r>
    </w:p>
    <w:p w:rsidR="00771667" w:rsidRPr="00771667" w:rsidRDefault="00771667" w:rsidP="00771667">
      <w:pPr>
        <w:spacing w:after="0"/>
        <w:ind w:left="720"/>
        <w:jc w:val="left"/>
        <w:rPr>
          <w:sz w:val="24"/>
        </w:rPr>
      </w:pPr>
    </w:p>
    <w:p w:rsidR="00771667" w:rsidRPr="00771667" w:rsidRDefault="006602F7" w:rsidP="00771667">
      <w:pPr>
        <w:keepNext/>
        <w:spacing w:after="100"/>
        <w:jc w:val="center"/>
        <w:rPr>
          <w:rFonts w:ascii="Times New Roman" w:eastAsia="Times New Roman" w:hAnsi="Times New Roman"/>
          <w:b/>
          <w:bCs/>
          <w:i/>
          <w:sz w:val="22"/>
        </w:rPr>
      </w:pPr>
      <w:bookmarkStart w:id="135" w:name="_Ref339198840"/>
      <w:r>
        <w:rPr>
          <w:rFonts w:ascii="Times New Roman" w:eastAsia="Times New Roman" w:hAnsi="Times New Roman"/>
          <w:b/>
          <w:bCs/>
          <w:i/>
          <w:sz w:val="22"/>
        </w:rPr>
        <w:t>Tableau </w:t>
      </w:r>
      <w:r w:rsidR="00DD457B" w:rsidRPr="00771667">
        <w:rPr>
          <w:rFonts w:ascii="Times New Roman" w:eastAsia="Times New Roman" w:hAnsi="Times New Roman"/>
          <w:b/>
          <w:bCs/>
          <w:i/>
          <w:sz w:val="22"/>
        </w:rPr>
        <w:fldChar w:fldCharType="begin"/>
      </w:r>
      <w:r w:rsidR="00771667"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12</w:t>
      </w:r>
      <w:r w:rsidR="00DD457B" w:rsidRPr="00771667">
        <w:rPr>
          <w:rFonts w:ascii="Times New Roman" w:eastAsia="Times New Roman" w:hAnsi="Times New Roman"/>
          <w:b/>
          <w:bCs/>
          <w:i/>
          <w:noProof/>
          <w:sz w:val="22"/>
        </w:rPr>
        <w:fldChar w:fldCharType="end"/>
      </w:r>
      <w:bookmarkEnd w:id="135"/>
      <w:r w:rsidR="002575A2">
        <w:rPr>
          <w:rFonts w:ascii="Times New Roman" w:eastAsia="Times New Roman" w:hAnsi="Times New Roman"/>
          <w:b/>
          <w:bCs/>
          <w:i/>
          <w:sz w:val="22"/>
        </w:rPr>
        <w:t> :</w:t>
      </w:r>
      <w:r w:rsidR="00771667"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S</w:t>
      </w:r>
      <w:r w:rsidR="00771667" w:rsidRPr="00771667">
        <w:rPr>
          <w:rFonts w:ascii="Times New Roman" w:eastAsia="Times New Roman" w:hAnsi="Times New Roman"/>
          <w:b/>
          <w:bCs/>
          <w:i/>
          <w:sz w:val="22"/>
        </w:rPr>
        <w:t>tatistiques de l'occupation des sols du site du Ferlo (Dieng, 2009a)</w:t>
      </w:r>
    </w:p>
    <w:tbl>
      <w:tblPr>
        <w:tblStyle w:val="Grilledutableau"/>
        <w:tblW w:w="0" w:type="auto"/>
        <w:tblInd w:w="817" w:type="dxa"/>
        <w:tblLook w:val="04A0" w:firstRow="1" w:lastRow="0" w:firstColumn="1" w:lastColumn="0" w:noHBand="0" w:noVBand="1"/>
      </w:tblPr>
      <w:tblGrid>
        <w:gridCol w:w="2552"/>
        <w:gridCol w:w="2772"/>
        <w:gridCol w:w="1905"/>
      </w:tblGrid>
      <w:tr w:rsidR="00771667" w:rsidRPr="00771667" w:rsidTr="00075058">
        <w:trPr>
          <w:tblHeader/>
        </w:trPr>
        <w:tc>
          <w:tcPr>
            <w:tcW w:w="2552" w:type="dxa"/>
          </w:tcPr>
          <w:p w:rsidR="00771667" w:rsidRPr="00771667" w:rsidRDefault="00771667" w:rsidP="00771667">
            <w:pPr>
              <w:spacing w:after="0"/>
              <w:rPr>
                <w:rFonts w:ascii="Times New Roman" w:hAnsi="Times New Roman"/>
                <w:b/>
              </w:rPr>
            </w:pPr>
            <w:r w:rsidRPr="00771667">
              <w:rPr>
                <w:rFonts w:ascii="Times New Roman" w:hAnsi="Times New Roman"/>
                <w:b/>
              </w:rPr>
              <w:t>Strate</w:t>
            </w:r>
          </w:p>
        </w:tc>
        <w:tc>
          <w:tcPr>
            <w:tcW w:w="2772"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Nombre de «fragments »</w:t>
            </w:r>
          </w:p>
        </w:tc>
        <w:tc>
          <w:tcPr>
            <w:tcW w:w="1905"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Superficie (ha)</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Formation de vallée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70</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9 634,71</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boisée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29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11 050,96</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arborée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79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38 929,30</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arbustive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89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104 256,15</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Sols nus</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145</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28 456,79</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Zone agricole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42</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5 846,35</w:t>
            </w:r>
          </w:p>
        </w:tc>
      </w:tr>
      <w:tr w:rsidR="00771667" w:rsidRPr="00771667" w:rsidTr="00075058">
        <w:tc>
          <w:tcPr>
            <w:tcW w:w="2552" w:type="dxa"/>
          </w:tcPr>
          <w:p w:rsidR="00771667" w:rsidRPr="00771667" w:rsidRDefault="00771667" w:rsidP="00771667">
            <w:pPr>
              <w:spacing w:after="0"/>
              <w:rPr>
                <w:rFonts w:ascii="Times New Roman" w:hAnsi="Times New Roman"/>
                <w:b/>
              </w:rPr>
            </w:pPr>
            <w:r w:rsidRPr="00771667">
              <w:rPr>
                <w:rFonts w:ascii="Times New Roman" w:hAnsi="Times New Roman"/>
                <w:b/>
              </w:rPr>
              <w:t>Total</w:t>
            </w:r>
          </w:p>
        </w:tc>
        <w:tc>
          <w:tcPr>
            <w:tcW w:w="2772"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454</w:t>
            </w:r>
          </w:p>
        </w:tc>
        <w:tc>
          <w:tcPr>
            <w:tcW w:w="1905"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198 174,26</w:t>
            </w:r>
          </w:p>
        </w:tc>
      </w:tr>
    </w:tbl>
    <w:p w:rsidR="00771667" w:rsidRPr="00771667" w:rsidRDefault="00771667" w:rsidP="00771667">
      <w:pPr>
        <w:rPr>
          <w:rFonts w:ascii="Times New Roman" w:hAnsi="Times New Roman"/>
          <w:b/>
          <w:sz w:val="22"/>
          <w:szCs w:val="22"/>
          <w:u w:val="single"/>
        </w:rPr>
      </w:pPr>
    </w:p>
    <w:p w:rsidR="00771667" w:rsidRPr="00771667" w:rsidRDefault="00771667" w:rsidP="00771667">
      <w:pPr>
        <w:spacing w:after="0"/>
        <w:ind w:left="720"/>
        <w:jc w:val="left"/>
        <w:rPr>
          <w:rFonts w:ascii="Times New Roman" w:hAnsi="Times New Roman"/>
          <w:sz w:val="22"/>
          <w:szCs w:val="22"/>
        </w:rPr>
      </w:pPr>
    </w:p>
    <w:p w:rsidR="00771667" w:rsidRPr="00771667" w:rsidRDefault="00771667" w:rsidP="00771667">
      <w:pPr>
        <w:numPr>
          <w:ilvl w:val="0"/>
          <w:numId w:val="90"/>
        </w:numPr>
        <w:spacing w:after="0"/>
        <w:ind w:left="567" w:hanging="283"/>
        <w:contextualSpacing/>
        <w:rPr>
          <w:rFonts w:ascii="Times New Roman" w:hAnsi="Times New Roman"/>
          <w:sz w:val="22"/>
          <w:szCs w:val="22"/>
        </w:rPr>
      </w:pPr>
      <w:r w:rsidRPr="00771667">
        <w:rPr>
          <w:rFonts w:ascii="Times New Roman" w:hAnsi="Times New Roman"/>
          <w:sz w:val="22"/>
          <w:szCs w:val="22"/>
        </w:rPr>
        <w:t xml:space="preserve">Des facteurs climatiques tels que la longue saison sèche, les tourbillons de vent, les tempêtes de sable etc. réduisent, respectivement par l’érosion et par l’ensablement des dépressions inter-dunaires, la fertilité des sols de la partie aride et semi-aride du Sénégal. Les conséquences du changement climatique sont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déficit hydrique chez les plantes,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multiplication des incendies de forêts,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extension des espèces sahéliennes et réduction de la richesse spécifique,</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dégradation des sols,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dépérissement des peuplements forestiers et augmentation des risques biotiques (affaiblissement de l’arbre, effet sur les bio-agresseurs)</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avancée de la désertification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maladies des animaux constituent un problème majeur. Les maladies prioritaires surveillées dans le cadre du Système national de Surveillance épidémiologique (SNSE) sont la péripneumonie contagieuse bovine, la peste des petits ruminants, la fièvre aphteuse, la dermatose nodulaire contagieuse, la peste équine, la rage, la fièvre de la vallée du Rift, la peste porcine africaine, les pasteurelloses bovine, ovine et caprine le charbon bactéridien, le charbon symptomatique et les maladies aviaires (Direction de la Protection zoosanitaire, MEPA, 2016). Les quatre maladies prioritaires suivantes avaient été ciblées pour la vaccination de masse</w:t>
      </w:r>
      <w:r w:rsidR="002575A2">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peste des petits ruminants (PPR)</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peste équine (PE)</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maladie de Newcastle (MN)</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dermatose nodulaire contagieuse bovine (DNCB).</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Hormis ces quatre maladies, d’autres vaccinations ont concerné entre autres, la septicémie hémorragique, la pasteurellose des petits ruminants, le botulisme, le charbon symptomatique, la fièvre charbonneuse, la fièvre aphteuse, l'entérotoxémie, la pasteurellose porcine et la rage pour améliorer la couverture sanitaire du cheptel. La vaccination contre la fièvre de la vallée du Rift a été également entreprise. Cette initiative, une première en Afrique de l’Ouest, est une réponse à l’évolution enzootique de la maladie dans notre sous-région. La Campagne nationale de vaccination du cheptel 2014-2015 s’est déroulée de juin 2014 au 31 mars 2015.</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pâturages sont surexploités.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9"/>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4"/>
                <w:szCs w:val="20"/>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Amélioration en cours du niveau d’accès à l’eau potable dans les communes </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Disparités dans le niveau d’accès à l’eau potable et niveau d’accès relativement faible dans les 2 communes concernées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Présence d’un important réseau hydrographique et donc de fortes potentialités en eau de surface (mares) pour l’abreuvement du cheptel</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Tarissement rapide des cours d’eau de surface et des mares (fossilisation du réseau hydrographique)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 potentialité de la nappe profonde du Maastrichtien</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Profondeur importante de l’eau de la nappe phréatique (70m et plus) et tarissement du niveau en cours de saison sèche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Augmentation du nombre de forages dans la zone et présence de quelques puits en bordure des vallées </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Coût de réalisation des forages dans la nappe profonde élevé</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périmètres maraichers exploités par les femmes dans quelques villages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Difficulté de mobilisation des ressources en eau pour l’alimentation en eau) et les activités économiques (élevage et agriculture irriguée)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Campagnes de vaccination</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Grande étendue de la zone, habitat dispersé et faible niveau d’infrastructures de base et de voie de communication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Puisage manuel de l’eau dans les puits pénible pour les femmes et les enfants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Ruissellement et ravinement important pendant la saison des pluies (dégradation des sols)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Maladies animales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Incendies de forêt, désertification et perte des espèces endémiques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Perte de terres arables</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projets avec volet hydraulique (ADOS, PASA, PADAER, PUDC) et de possibilités de partenariat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Faible capacité des communes (manque de ressources humaines et financières)</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Tarissement précoce des mares et des puits suite à la baisse de la pluviométrie </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quelques organisations de populations (Groupements de producteurs, ASUFOR)</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Surpâturage</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Vaccination des animaux</w:t>
            </w: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36" w:name="_Toc339209634"/>
      <w:bookmarkStart w:id="137" w:name="_Toc339725248"/>
      <w:bookmarkStart w:id="138" w:name="_Toc496886599"/>
      <w:bookmarkStart w:id="139" w:name="_Toc498638436"/>
      <w:r w:rsidRPr="00771667">
        <w:rPr>
          <w:rFonts w:eastAsia="MS Gothic"/>
          <w:b/>
          <w:bCs/>
          <w:color w:val="4F81BD"/>
        </w:rPr>
        <w:t>B.III.2. Actions proposées dans le cadre du projet</w:t>
      </w:r>
      <w:bookmarkEnd w:id="136"/>
      <w:bookmarkEnd w:id="137"/>
      <w:bookmarkEnd w:id="138"/>
      <w:bookmarkEnd w:id="139"/>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22"/>
          <w:szCs w:val="22"/>
        </w:rPr>
      </w:pP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bassins versant</w:t>
      </w:r>
      <w:r w:rsidRPr="00771667">
        <w:rPr>
          <w:rFonts w:ascii="Times New Roman" w:eastAsia="Times" w:hAnsi="Times New Roman"/>
          <w:sz w:val="22"/>
          <w:szCs w:val="22"/>
        </w:rPr>
        <w:t xml:space="preserve"> (en vue de lutter contre le fort ruissellement, le ravinement, la dégradati</w:t>
      </w:r>
      <w:r w:rsidR="006602F7">
        <w:rPr>
          <w:rFonts w:ascii="Times New Roman" w:eastAsia="Times" w:hAnsi="Times New Roman"/>
          <w:sz w:val="22"/>
          <w:szCs w:val="22"/>
        </w:rPr>
        <w:t>on des sols et des équipements) : l</w:t>
      </w:r>
      <w:r w:rsidRPr="00771667">
        <w:rPr>
          <w:rFonts w:ascii="Times New Roman" w:eastAsia="Times" w:hAnsi="Times New Roman"/>
          <w:sz w:val="22"/>
          <w:szCs w:val="22"/>
        </w:rPr>
        <w:t>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szCs w:val="22"/>
        </w:rPr>
        <w:t>création du Centre de Protection de la Nature</w:t>
      </w:r>
      <w:r w:rsidRPr="00771667">
        <w:rPr>
          <w:rFonts w:ascii="Times New Roman" w:eastAsia="Times" w:hAnsi="Times New Roman"/>
          <w:sz w:val="22"/>
          <w:szCs w:val="22"/>
        </w:rPr>
        <w:t xml:space="preserve">) et de dotation de ressources financières pour appuyer les populations à réaliser elles même les aménagements à faire sont suggérées. </w:t>
      </w:r>
      <w:r w:rsidRPr="00771667">
        <w:rPr>
          <w:rFonts w:ascii="Times New Roman" w:eastAsia="Times" w:hAnsi="Times New Roman"/>
          <w:b/>
          <w:sz w:val="22"/>
          <w:szCs w:val="22"/>
        </w:rPr>
        <w:t>400 ha</w:t>
      </w:r>
      <w:r w:rsidRPr="00771667">
        <w:rPr>
          <w:rFonts w:ascii="Times New Roman" w:eastAsia="Times" w:hAnsi="Times New Roman"/>
          <w:sz w:val="22"/>
          <w:szCs w:val="22"/>
        </w:rPr>
        <w:t xml:space="preserve"> sont à aménager pour la zone du Ferlo. </w:t>
      </w: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mares</w:t>
      </w:r>
      <w:r w:rsidR="002575A2">
        <w:rPr>
          <w:rFonts w:ascii="Times New Roman" w:eastAsia="Times" w:hAnsi="Times New Roman"/>
          <w:sz w:val="22"/>
          <w:szCs w:val="22"/>
          <w:u w:val="single"/>
        </w:rPr>
        <w:t> :</w:t>
      </w:r>
      <w:r w:rsidRPr="00771667">
        <w:rPr>
          <w:rFonts w:ascii="Times New Roman" w:eastAsia="Times" w:hAnsi="Times New Roman"/>
          <w:sz w:val="22"/>
          <w:szCs w:val="22"/>
        </w:rPr>
        <w:t xml:space="preserve"> </w:t>
      </w:r>
      <w:r w:rsidR="006602F7">
        <w:rPr>
          <w:rFonts w:ascii="Times New Roman" w:eastAsia="Times" w:hAnsi="Times New Roman"/>
          <w:sz w:val="22"/>
          <w:szCs w:val="22"/>
        </w:rPr>
        <w:t>c</w:t>
      </w:r>
      <w:r w:rsidRPr="00771667">
        <w:rPr>
          <w:rFonts w:ascii="Times New Roman" w:eastAsia="Times" w:hAnsi="Times New Roman"/>
          <w:sz w:val="22"/>
          <w:szCs w:val="22"/>
        </w:rPr>
        <w:t>ette problématique concerne les zones qui ont un fort potentiel en cette matière et une forte demande ; nous retenons la possibilité d’aménager 3 mares.</w:t>
      </w:r>
    </w:p>
    <w:p w:rsidR="00771667" w:rsidRPr="00771667" w:rsidRDefault="00771667" w:rsidP="00771667">
      <w:pPr>
        <w:numPr>
          <w:ilvl w:val="0"/>
          <w:numId w:val="86"/>
        </w:numPr>
        <w:spacing w:after="0"/>
        <w:rPr>
          <w:rFonts w:ascii="Times" w:eastAsia="Times" w:hAnsi="Times"/>
          <w:sz w:val="22"/>
          <w:szCs w:val="22"/>
        </w:rPr>
      </w:pPr>
      <w:r w:rsidRPr="00771667">
        <w:rPr>
          <w:rFonts w:ascii="Times New Roman" w:eastAsia="Times" w:hAnsi="Times New Roman"/>
          <w:sz w:val="22"/>
          <w:szCs w:val="22"/>
          <w:u w:val="single"/>
        </w:rPr>
        <w:t>Amélioration de la disponibilité de l’eau pour les activités génératrices de revenus</w:t>
      </w:r>
      <w:r w:rsidRPr="00771667">
        <w:rPr>
          <w:rFonts w:ascii="Times New Roman" w:eastAsia="Times" w:hAnsi="Times New Roman"/>
          <w:sz w:val="22"/>
          <w:szCs w:val="22"/>
        </w:rPr>
        <w:t xml:space="preserve"> (</w:t>
      </w:r>
      <w:r w:rsidR="00F06548">
        <w:rPr>
          <w:rFonts w:ascii="Times New Roman" w:eastAsia="Times" w:hAnsi="Times New Roman"/>
          <w:sz w:val="22"/>
          <w:szCs w:val="22"/>
        </w:rPr>
        <w:t>maraîchage</w:t>
      </w:r>
      <w:r w:rsidRPr="00771667">
        <w:rPr>
          <w:rFonts w:ascii="Times New Roman" w:eastAsia="Times" w:hAnsi="Times New Roman"/>
          <w:sz w:val="22"/>
          <w:szCs w:val="22"/>
        </w:rPr>
        <w:t xml:space="preserve"> en particulier)</w:t>
      </w:r>
      <w:r w:rsidR="002575A2">
        <w:rPr>
          <w:rFonts w:ascii="Times New Roman" w:eastAsia="Times" w:hAnsi="Times New Roman"/>
          <w:sz w:val="22"/>
          <w:szCs w:val="22"/>
        </w:rPr>
        <w:t> :</w:t>
      </w:r>
      <w:r w:rsidRPr="00771667">
        <w:rPr>
          <w:rFonts w:ascii="Times New Roman" w:eastAsia="Times" w:hAnsi="Times New Roman"/>
          <w:sz w:val="22"/>
          <w:szCs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szCs w:val="22"/>
        </w:rPr>
        <w:t>à partir de forages existants qui offrent des excédents de débit permettant l’aménagement de 2 à 5ha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13</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 gestion de l'eau pour le site du Ferlo</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400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mares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Disponibilité en eau pour le maraîchage (forages)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numPr>
          <w:ilvl w:val="0"/>
          <w:numId w:val="86"/>
        </w:numPr>
        <w:spacing w:after="0"/>
        <w:contextualSpacing/>
        <w:rPr>
          <w:rFonts w:ascii="Times New Roman" w:hAnsi="Times New Roman"/>
          <w:sz w:val="22"/>
          <w:szCs w:val="22"/>
          <w:u w:val="single"/>
        </w:rPr>
      </w:pPr>
      <w:r w:rsidRPr="00771667">
        <w:rPr>
          <w:rFonts w:ascii="Times New Roman" w:hAnsi="Times New Roman"/>
          <w:sz w:val="22"/>
          <w:szCs w:val="22"/>
          <w:u w:val="single"/>
        </w:rPr>
        <w:t>Développement de filières</w:t>
      </w:r>
    </w:p>
    <w:p w:rsidR="00771667" w:rsidRPr="00771667" w:rsidRDefault="00771667" w:rsidP="00771667">
      <w:pPr>
        <w:numPr>
          <w:ilvl w:val="0"/>
          <w:numId w:val="89"/>
        </w:numPr>
        <w:spacing w:after="0"/>
        <w:contextualSpacing/>
        <w:rPr>
          <w:rFonts w:ascii="Times New Roman" w:hAnsi="Times New Roman"/>
          <w:sz w:val="22"/>
          <w:szCs w:val="22"/>
          <w:u w:val="single"/>
        </w:rPr>
      </w:pPr>
      <w:r w:rsidRPr="00771667">
        <w:rPr>
          <w:rFonts w:ascii="Times New Roman" w:hAnsi="Times New Roman"/>
          <w:sz w:val="22"/>
          <w:szCs w:val="22"/>
        </w:rPr>
        <w:t xml:space="preserve">Le projet va appuyer la </w:t>
      </w:r>
      <w:r w:rsidRPr="00771667">
        <w:rPr>
          <w:rFonts w:ascii="Times New Roman" w:hAnsi="Times New Roman"/>
          <w:b/>
          <w:sz w:val="22"/>
          <w:szCs w:val="22"/>
        </w:rPr>
        <w:t>réhabilitation du bloc de périmètre maraicher, pépinière, verger, et de réserves d’espèces forestières</w:t>
      </w:r>
      <w:r w:rsidRPr="00771667">
        <w:rPr>
          <w:rFonts w:ascii="Times New Roman" w:hAnsi="Times New Roman"/>
          <w:sz w:val="22"/>
          <w:szCs w:val="22"/>
        </w:rPr>
        <w:t xml:space="preserve">. Maintenant que la question de l’eau est en passe d’être réglée, un </w:t>
      </w:r>
      <w:r w:rsidRPr="00771667">
        <w:rPr>
          <w:rFonts w:ascii="Times New Roman" w:hAnsi="Times New Roman"/>
          <w:b/>
          <w:sz w:val="22"/>
          <w:szCs w:val="22"/>
        </w:rPr>
        <w:t>appui en intrants</w:t>
      </w:r>
      <w:r w:rsidRPr="00771667">
        <w:rPr>
          <w:rFonts w:ascii="Times New Roman" w:hAnsi="Times New Roman"/>
          <w:sz w:val="22"/>
          <w:szCs w:val="22"/>
        </w:rPr>
        <w:t xml:space="preserve"> sera octroyé aux groupements de femmes qui s’occupent du </w:t>
      </w:r>
      <w:r w:rsidR="00F06548">
        <w:rPr>
          <w:rFonts w:ascii="Times New Roman" w:hAnsi="Times New Roman"/>
          <w:sz w:val="22"/>
          <w:szCs w:val="22"/>
        </w:rPr>
        <w:t>maraîchage</w:t>
      </w:r>
      <w:r w:rsidRPr="00771667">
        <w:rPr>
          <w:rFonts w:ascii="Times New Roman" w:hAnsi="Times New Roman"/>
          <w:sz w:val="22"/>
          <w:szCs w:val="22"/>
        </w:rPr>
        <w:t xml:space="preserve">. Afin de renforcer la sécurité alimentaire et la résilience des populations face aux changements climatiques, les agropasteurs qui comptent sur les cultures vivrières pour leur alimentation seront appuyés en </w:t>
      </w:r>
      <w:r w:rsidRPr="00771667">
        <w:rPr>
          <w:rFonts w:ascii="Times New Roman" w:hAnsi="Times New Roman"/>
          <w:b/>
          <w:sz w:val="22"/>
          <w:szCs w:val="22"/>
        </w:rPr>
        <w:t>semences de variétés hâtives de mil, sorgho et maïs</w:t>
      </w:r>
      <w:r w:rsidRPr="00771667">
        <w:rPr>
          <w:rFonts w:ascii="Times New Roman" w:hAnsi="Times New Roman"/>
          <w:sz w:val="22"/>
          <w:szCs w:val="22"/>
        </w:rPr>
        <w:t>. Cette intervention du projet pourra être délivrée à travers un crédit révolving octroyé aux membres du CIV qui s’adonnent à l’agriculture.</w:t>
      </w:r>
      <w:r w:rsidRPr="00771667">
        <w:rPr>
          <w:rFonts w:ascii="Times New Roman" w:hAnsi="Times New Roman"/>
          <w:sz w:val="22"/>
          <w:szCs w:val="22"/>
          <w:u w:val="single"/>
        </w:rPr>
        <w:t xml:space="preserve">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Elevage. Des mares pastorales seront mises en place.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Développement de la filière gomme arabique. Il existe présentement 1850 ha de superficie clôturée sur toute l’étendue de la réserve de biosphère du Ferlo dont 550ha pour le PGIES. Pour le </w:t>
      </w:r>
      <w:r w:rsidR="00E80173">
        <w:rPr>
          <w:rFonts w:ascii="Times New Roman" w:hAnsi="Times New Roman"/>
          <w:sz w:val="22"/>
          <w:szCs w:val="22"/>
        </w:rPr>
        <w:t>PFNAC</w:t>
      </w:r>
      <w:r w:rsidRPr="00771667">
        <w:rPr>
          <w:rFonts w:ascii="Times New Roman" w:hAnsi="Times New Roman"/>
          <w:sz w:val="22"/>
          <w:szCs w:val="22"/>
        </w:rPr>
        <w:t xml:space="preserve">, les 44 villages répartis dans les Commune de Oudalaye (27), Ouro Sidy (11), Ndendory (1), Vélingara Ferlo (5) peuvent avoir chacun un </w:t>
      </w:r>
      <w:r w:rsidRPr="00771667">
        <w:rPr>
          <w:rFonts w:ascii="Times New Roman" w:hAnsi="Times New Roman"/>
          <w:b/>
          <w:sz w:val="22"/>
          <w:szCs w:val="22"/>
        </w:rPr>
        <w:t>périmètre de 5 ha en moyenne</w:t>
      </w:r>
      <w:r w:rsidRPr="00771667">
        <w:rPr>
          <w:rFonts w:ascii="Times New Roman" w:hAnsi="Times New Roman"/>
          <w:sz w:val="22"/>
          <w:szCs w:val="22"/>
        </w:rPr>
        <w:t xml:space="preserve">. La superficie totale des périmètres sera de 220 ha. Considérant le coût à l’ha, le montant total destiné à cette activité est d’environ 550 000 000 FCFA. La filière gomme arabique est bien lancée dans la zone du Ferlo. Cependant, les populations se confinent dans le rôle de producteur et de vendeur du produit à l’état brut. Des </w:t>
      </w:r>
      <w:r w:rsidRPr="00771667">
        <w:rPr>
          <w:rFonts w:ascii="Times New Roman" w:hAnsi="Times New Roman"/>
          <w:b/>
          <w:sz w:val="22"/>
          <w:szCs w:val="22"/>
        </w:rPr>
        <w:t>sessions de sensibilisation</w:t>
      </w:r>
      <w:r w:rsidRPr="00771667">
        <w:rPr>
          <w:rFonts w:ascii="Times New Roman" w:hAnsi="Times New Roman"/>
          <w:sz w:val="22"/>
          <w:szCs w:val="22"/>
        </w:rPr>
        <w:t xml:space="preserve"> sur l’importance des périmètres de gomme du point de vue écologique (par rapport aux changements climatiques) et socio-économique (opportunités d’amélioration des revenus, mise en place d’organisme faitière de producteurs avec des entités (groupements, petites et moyennes entreprises, etc.), officiellement reconnues seront tenues par l’équipe du projet. Au moins 1 000 personnes (dont au moins 50</w:t>
      </w:r>
      <w:r w:rsidR="00A72504">
        <w:rPr>
          <w:rFonts w:ascii="Times New Roman" w:hAnsi="Times New Roman"/>
          <w:sz w:val="22"/>
          <w:szCs w:val="22"/>
        </w:rPr>
        <w:t> %</w:t>
      </w:r>
      <w:r w:rsidRPr="00771667">
        <w:rPr>
          <w:rFonts w:ascii="Times New Roman" w:hAnsi="Times New Roman"/>
          <w:sz w:val="22"/>
          <w:szCs w:val="22"/>
        </w:rPr>
        <w:t xml:space="preserve"> de femmes) seront directement bénéficiaires de ces sessions pour une meilleure implication des populations.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Filière apiculture. Une dizaine de villages répartis principalement dans les Communes de Dialakoto est concerné par la production de miel. Le coût des </w:t>
      </w:r>
      <w:r w:rsidRPr="00771667">
        <w:rPr>
          <w:rFonts w:ascii="Times New Roman" w:hAnsi="Times New Roman"/>
          <w:b/>
          <w:sz w:val="22"/>
          <w:szCs w:val="22"/>
        </w:rPr>
        <w:t>ruches Kenyanes</w:t>
      </w:r>
      <w:r w:rsidRPr="00771667">
        <w:rPr>
          <w:rFonts w:ascii="Times New Roman" w:hAnsi="Times New Roman"/>
          <w:sz w:val="22"/>
          <w:szCs w:val="22"/>
        </w:rPr>
        <w:t xml:space="preserve"> considérant 04 par village est de 1 200 000 FCFA. Une seule unité de transformation pourra suffire dans un premier temps pour l’ensemble des villages. En plus </w:t>
      </w:r>
      <w:r w:rsidRPr="00771667">
        <w:rPr>
          <w:rFonts w:ascii="Times New Roman" w:hAnsi="Times New Roman"/>
          <w:b/>
          <w:sz w:val="22"/>
          <w:szCs w:val="22"/>
        </w:rPr>
        <w:t>des équipements divers</w:t>
      </w:r>
      <w:r w:rsidRPr="00771667">
        <w:rPr>
          <w:rFonts w:ascii="Times New Roman" w:hAnsi="Times New Roman"/>
          <w:sz w:val="22"/>
          <w:szCs w:val="22"/>
        </w:rPr>
        <w:t>, le coût de revient de l’activité peut être estimé à environ à 35 000 000 FCFA pour les 26 villages concernés. La gestion de l’unité sera assurée par une entité fédératrice des différents groupements concernés. La filière s’appuiera sur les groupements et organisations faitières mis en place pour la filière apiculture. Le projet aidera dans l’organisation de la collecte, du regroupement de la production, du conditionnement et de la commercialisation au niveau local et national. Le projet aidera dans les premières années à des mises en relations avec des acteurs privés. Des activités de sensibilisation seront menées par les membres de l’équipe de projet pour développer les différents segments</w:t>
      </w:r>
      <w:r w:rsidR="00E82CB3">
        <w:rPr>
          <w:rFonts w:ascii="Times New Roman" w:hAnsi="Times New Roman"/>
          <w:sz w:val="22"/>
          <w:szCs w:val="22"/>
        </w:rPr>
        <w:t xml:space="preserve"> de la filière dans la zone du d</w:t>
      </w:r>
      <w:r w:rsidRPr="00771667">
        <w:rPr>
          <w:rFonts w:ascii="Times New Roman" w:hAnsi="Times New Roman"/>
          <w:sz w:val="22"/>
          <w:szCs w:val="22"/>
        </w:rPr>
        <w:t xml:space="preserve">elta du Saloum (opportunités d’amélioration des revenus, contribution à la lutte contre les feux de brousse, etc.).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Développement d’autres filières. Les </w:t>
      </w:r>
      <w:r w:rsidRPr="00771667">
        <w:rPr>
          <w:rFonts w:ascii="Times New Roman" w:hAnsi="Times New Roman"/>
          <w:b/>
          <w:sz w:val="22"/>
          <w:szCs w:val="22"/>
        </w:rPr>
        <w:t>études de filières</w:t>
      </w:r>
      <w:r w:rsidRPr="00771667">
        <w:rPr>
          <w:rFonts w:ascii="Times New Roman" w:hAnsi="Times New Roman"/>
          <w:sz w:val="22"/>
          <w:szCs w:val="22"/>
        </w:rPr>
        <w:t xml:space="preserve"> doivent être considérées comme des sources d’informations et d’analyse de base pouvant alimenter les planifications du développement local. Dans une perspective d’identification et de mobilisation de toutes les sources de revenus endogènes possibles pour les communes, il est important que les différentes ressources naturelles (du point de vue des produits qu’elles procurent) dont ces dernières disposent soient connues et développées. Plusieurs produits existent dans la zone du Ferlo. Il s’agit du fruit de </w:t>
      </w:r>
      <w:r w:rsidRPr="00771667">
        <w:rPr>
          <w:rFonts w:ascii="Times New Roman" w:hAnsi="Times New Roman"/>
          <w:i/>
          <w:sz w:val="22"/>
          <w:szCs w:val="22"/>
        </w:rPr>
        <w:t>Adansonia digitata</w:t>
      </w:r>
      <w:r w:rsidRPr="00771667">
        <w:rPr>
          <w:rFonts w:ascii="Times New Roman" w:hAnsi="Times New Roman"/>
          <w:sz w:val="22"/>
          <w:szCs w:val="22"/>
        </w:rPr>
        <w:t xml:space="preserve"> (baobab), du </w:t>
      </w:r>
      <w:r w:rsidRPr="00771667">
        <w:rPr>
          <w:rFonts w:ascii="Times New Roman" w:hAnsi="Times New Roman"/>
          <w:i/>
          <w:sz w:val="22"/>
          <w:szCs w:val="22"/>
        </w:rPr>
        <w:t>Balanites agyptiaca</w:t>
      </w:r>
      <w:r w:rsidRPr="00771667">
        <w:rPr>
          <w:rFonts w:ascii="Times New Roman" w:hAnsi="Times New Roman"/>
          <w:sz w:val="22"/>
          <w:szCs w:val="22"/>
        </w:rPr>
        <w:t xml:space="preserve">, de </w:t>
      </w:r>
      <w:r w:rsidRPr="00771667">
        <w:rPr>
          <w:rFonts w:ascii="Times New Roman" w:hAnsi="Times New Roman"/>
          <w:i/>
          <w:sz w:val="22"/>
          <w:szCs w:val="22"/>
        </w:rPr>
        <w:t>Zizyphys mauritiana</w:t>
      </w:r>
      <w:r w:rsidRPr="00771667">
        <w:rPr>
          <w:rFonts w:ascii="Times New Roman" w:hAnsi="Times New Roman"/>
          <w:sz w:val="22"/>
          <w:szCs w:val="22"/>
        </w:rPr>
        <w:t xml:space="preserve"> et de </w:t>
      </w:r>
      <w:r w:rsidRPr="00771667">
        <w:rPr>
          <w:rFonts w:ascii="Times New Roman" w:hAnsi="Times New Roman"/>
          <w:i/>
          <w:sz w:val="22"/>
          <w:szCs w:val="22"/>
        </w:rPr>
        <w:t>Boscia senegalensis</w:t>
      </w:r>
      <w:r w:rsidRPr="00771667">
        <w:rPr>
          <w:rFonts w:ascii="Times New Roman" w:hAnsi="Times New Roman"/>
          <w:sz w:val="22"/>
          <w:szCs w:val="22"/>
        </w:rPr>
        <w:t xml:space="preserve">. Cependant, la collecte et la commercialisation se fait de manière anarchique. L’estimation des revenus que les populations en tire est difficile à évaluer. Il s’agira de mettre en place tout un dispositif de sensibilisation et de formation pour montrer l’importance de ces produits qui, au-delà des aspects nutritionnels important, peuvent contribuer à l’amélioration sensible des revenus des populations et ainsi, contribuer au développement économique de la zone.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 xml:space="preserve">Campagne de vaccinations animales. </w:t>
      </w:r>
      <w:r w:rsidRPr="00771667">
        <w:rPr>
          <w:rFonts w:ascii="Times New Roman" w:hAnsi="Times New Roman"/>
          <w:sz w:val="22"/>
          <w:szCs w:val="22"/>
        </w:rPr>
        <w:t>L’appui en vaccins se fera à travers un crédit révolving.</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Peste des petits ruminants</w:t>
      </w:r>
      <w:r w:rsidR="002575A2">
        <w:rPr>
          <w:rFonts w:ascii="Times New Roman" w:hAnsi="Times New Roman"/>
          <w:sz w:val="22"/>
          <w:szCs w:val="22"/>
        </w:rPr>
        <w:t> :</w:t>
      </w:r>
      <w:r w:rsidRPr="00771667">
        <w:rPr>
          <w:rFonts w:ascii="Times New Roman" w:hAnsi="Times New Roman"/>
          <w:sz w:val="22"/>
          <w:szCs w:val="22"/>
        </w:rPr>
        <w:t xml:space="preserve"> 106 francs par tête vaccinée dont 56 </w:t>
      </w:r>
      <w:r w:rsidR="00DA7D20">
        <w:rPr>
          <w:rFonts w:ascii="Times New Roman" w:hAnsi="Times New Roman"/>
          <w:sz w:val="22"/>
          <w:szCs w:val="22"/>
        </w:rPr>
        <w:t>FCFA</w:t>
      </w:r>
      <w:r w:rsidRPr="00771667">
        <w:rPr>
          <w:rFonts w:ascii="Times New Roman" w:hAnsi="Times New Roman"/>
          <w:sz w:val="22"/>
          <w:szCs w:val="22"/>
        </w:rPr>
        <w:t xml:space="preserve"> payés par l’Etat (vaccin 30 FCFA et 26 </w:t>
      </w:r>
      <w:r w:rsidR="00DA7D20">
        <w:rPr>
          <w:rFonts w:ascii="Times New Roman" w:hAnsi="Times New Roman"/>
          <w:sz w:val="22"/>
          <w:szCs w:val="22"/>
        </w:rPr>
        <w:t>FCFA</w:t>
      </w:r>
      <w:r w:rsidRPr="00771667">
        <w:rPr>
          <w:rFonts w:ascii="Times New Roman" w:hAnsi="Times New Roman"/>
          <w:sz w:val="22"/>
          <w:szCs w:val="22"/>
        </w:rPr>
        <w:t xml:space="preserve"> pour le mandat) et 50 </w:t>
      </w:r>
      <w:r w:rsidR="00DA7D20">
        <w:rPr>
          <w:rFonts w:ascii="Times New Roman" w:hAnsi="Times New Roman"/>
          <w:sz w:val="22"/>
          <w:szCs w:val="22"/>
        </w:rPr>
        <w:t>FCFA</w:t>
      </w:r>
      <w:r w:rsidRPr="00771667">
        <w:rPr>
          <w:rFonts w:ascii="Times New Roman" w:hAnsi="Times New Roman"/>
          <w:sz w:val="22"/>
          <w:szCs w:val="22"/>
        </w:rPr>
        <w:t xml:space="preserve"> par l’éleveur</w:t>
      </w:r>
      <w:r w:rsidR="00D2405E">
        <w:rPr>
          <w:rFonts w:ascii="Times New Roman" w:hAnsi="Times New Roman"/>
          <w:sz w:val="22"/>
          <w:szCs w:val="22"/>
        </w:rPr>
        <w:t> ;</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Peste équine</w:t>
      </w:r>
      <w:r w:rsidR="002575A2">
        <w:rPr>
          <w:rFonts w:ascii="Times New Roman" w:hAnsi="Times New Roman"/>
          <w:sz w:val="22"/>
          <w:szCs w:val="22"/>
        </w:rPr>
        <w:t> :</w:t>
      </w:r>
      <w:r w:rsidRPr="00771667">
        <w:rPr>
          <w:rFonts w:ascii="Times New Roman" w:hAnsi="Times New Roman"/>
          <w:sz w:val="22"/>
          <w:szCs w:val="22"/>
        </w:rPr>
        <w:t xml:space="preserve"> 1000 </w:t>
      </w:r>
      <w:r w:rsidR="00DA7D20">
        <w:rPr>
          <w:rFonts w:ascii="Times New Roman" w:hAnsi="Times New Roman"/>
          <w:sz w:val="22"/>
          <w:szCs w:val="22"/>
        </w:rPr>
        <w:t>FCFA</w:t>
      </w:r>
      <w:r w:rsidRPr="00771667">
        <w:rPr>
          <w:rFonts w:ascii="Times New Roman" w:hAnsi="Times New Roman"/>
          <w:sz w:val="22"/>
          <w:szCs w:val="22"/>
        </w:rPr>
        <w:t xml:space="preserve"> dont 700 </w:t>
      </w:r>
      <w:r w:rsidR="00DA7D20">
        <w:rPr>
          <w:rFonts w:ascii="Times New Roman" w:hAnsi="Times New Roman"/>
          <w:sz w:val="22"/>
          <w:szCs w:val="22"/>
        </w:rPr>
        <w:t>FCFA</w:t>
      </w:r>
      <w:r w:rsidRPr="00771667">
        <w:rPr>
          <w:rFonts w:ascii="Times New Roman" w:hAnsi="Times New Roman"/>
          <w:sz w:val="22"/>
          <w:szCs w:val="22"/>
        </w:rPr>
        <w:t xml:space="preserve"> représentant le coût du vaccin fourni par l’Etat e</w:t>
      </w:r>
      <w:r w:rsidR="00D2405E">
        <w:rPr>
          <w:rFonts w:ascii="Times New Roman" w:hAnsi="Times New Roman"/>
          <w:sz w:val="22"/>
          <w:szCs w:val="22"/>
        </w:rPr>
        <w:t xml:space="preserve">t 300 </w:t>
      </w:r>
      <w:r w:rsidR="00DA7D20">
        <w:rPr>
          <w:rFonts w:ascii="Times New Roman" w:hAnsi="Times New Roman"/>
          <w:sz w:val="22"/>
          <w:szCs w:val="22"/>
        </w:rPr>
        <w:t>FCFA</w:t>
      </w:r>
      <w:r w:rsidR="00D2405E">
        <w:rPr>
          <w:rFonts w:ascii="Times New Roman" w:hAnsi="Times New Roman"/>
          <w:sz w:val="22"/>
          <w:szCs w:val="22"/>
        </w:rPr>
        <w:t xml:space="preserve"> payés par l’éleveur ;</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Maladie de Newcastle</w:t>
      </w:r>
      <w:r w:rsidR="002575A2">
        <w:rPr>
          <w:rFonts w:ascii="Times New Roman" w:hAnsi="Times New Roman"/>
          <w:sz w:val="22"/>
          <w:szCs w:val="22"/>
        </w:rPr>
        <w:t> :</w:t>
      </w:r>
      <w:r w:rsidRPr="00771667">
        <w:rPr>
          <w:rFonts w:ascii="Times New Roman" w:hAnsi="Times New Roman"/>
          <w:sz w:val="22"/>
          <w:szCs w:val="22"/>
        </w:rPr>
        <w:t xml:space="preserve"> 92 </w:t>
      </w:r>
      <w:r w:rsidR="00DA7D20">
        <w:rPr>
          <w:rFonts w:ascii="Times New Roman" w:hAnsi="Times New Roman"/>
          <w:sz w:val="22"/>
          <w:szCs w:val="22"/>
        </w:rPr>
        <w:t>FCFA</w:t>
      </w:r>
      <w:r w:rsidRPr="00771667">
        <w:rPr>
          <w:rFonts w:ascii="Times New Roman" w:hAnsi="Times New Roman"/>
          <w:sz w:val="22"/>
          <w:szCs w:val="22"/>
        </w:rPr>
        <w:t xml:space="preserve"> dont 12 </w:t>
      </w:r>
      <w:r w:rsidR="00DA7D20">
        <w:rPr>
          <w:rFonts w:ascii="Times New Roman" w:hAnsi="Times New Roman"/>
          <w:sz w:val="22"/>
          <w:szCs w:val="22"/>
        </w:rPr>
        <w:t>FCFA</w:t>
      </w:r>
      <w:r w:rsidRPr="00771667">
        <w:rPr>
          <w:rFonts w:ascii="Times New Roman" w:hAnsi="Times New Roman"/>
          <w:sz w:val="22"/>
          <w:szCs w:val="22"/>
        </w:rPr>
        <w:t xml:space="preserve"> représentant le coût du vaccin fourni gratuitement par l’</w:t>
      </w:r>
      <w:r w:rsidR="002575A2" w:rsidRPr="00771667">
        <w:rPr>
          <w:rFonts w:ascii="Times New Roman" w:hAnsi="Times New Roman"/>
          <w:sz w:val="22"/>
          <w:szCs w:val="22"/>
        </w:rPr>
        <w:t>État</w:t>
      </w:r>
      <w:r w:rsidRPr="00771667">
        <w:rPr>
          <w:rFonts w:ascii="Times New Roman" w:hAnsi="Times New Roman"/>
          <w:sz w:val="22"/>
          <w:szCs w:val="22"/>
        </w:rPr>
        <w:t xml:space="preserve">, 30 </w:t>
      </w:r>
      <w:r w:rsidR="00DA7D20">
        <w:rPr>
          <w:rFonts w:ascii="Times New Roman" w:hAnsi="Times New Roman"/>
          <w:sz w:val="22"/>
          <w:szCs w:val="22"/>
        </w:rPr>
        <w:t>FCFA</w:t>
      </w:r>
      <w:r w:rsidRPr="00771667">
        <w:rPr>
          <w:rFonts w:ascii="Times New Roman" w:hAnsi="Times New Roman"/>
          <w:sz w:val="22"/>
          <w:szCs w:val="22"/>
        </w:rPr>
        <w:t xml:space="preserve"> payés par l’éleveur et 50 </w:t>
      </w:r>
      <w:r w:rsidR="00DA7D20">
        <w:rPr>
          <w:rFonts w:ascii="Times New Roman" w:hAnsi="Times New Roman"/>
          <w:sz w:val="22"/>
          <w:szCs w:val="22"/>
        </w:rPr>
        <w:t>FCFA</w:t>
      </w:r>
      <w:r w:rsidRPr="00771667">
        <w:rPr>
          <w:rFonts w:ascii="Times New Roman" w:hAnsi="Times New Roman"/>
          <w:sz w:val="22"/>
          <w:szCs w:val="22"/>
        </w:rPr>
        <w:t xml:space="preserve"> </w:t>
      </w:r>
      <w:r w:rsidR="00D2405E">
        <w:rPr>
          <w:rFonts w:ascii="Times New Roman" w:hAnsi="Times New Roman"/>
          <w:sz w:val="22"/>
          <w:szCs w:val="22"/>
        </w:rPr>
        <w:t>payés par l’Etat pour le mandat </w:t>
      </w:r>
      <w:r w:rsidRPr="00771667">
        <w:rPr>
          <w:rFonts w:ascii="Times New Roman" w:hAnsi="Times New Roman"/>
          <w:sz w:val="22"/>
          <w:szCs w:val="22"/>
        </w:rPr>
        <w:t>;</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Dermatose nodulaire contagieuse bovine</w:t>
      </w:r>
      <w:r w:rsidR="002575A2">
        <w:rPr>
          <w:rFonts w:ascii="Times New Roman" w:hAnsi="Times New Roman"/>
          <w:sz w:val="22"/>
          <w:szCs w:val="22"/>
        </w:rPr>
        <w:t> :</w:t>
      </w:r>
      <w:r w:rsidRPr="00771667">
        <w:rPr>
          <w:rFonts w:ascii="Times New Roman" w:hAnsi="Times New Roman"/>
          <w:sz w:val="22"/>
          <w:szCs w:val="22"/>
        </w:rPr>
        <w:t xml:space="preserve"> 105 </w:t>
      </w:r>
      <w:r w:rsidR="00DA7D20">
        <w:rPr>
          <w:rFonts w:ascii="Times New Roman" w:hAnsi="Times New Roman"/>
          <w:sz w:val="22"/>
          <w:szCs w:val="22"/>
        </w:rPr>
        <w:t>FCFA</w:t>
      </w:r>
      <w:r w:rsidRPr="00771667">
        <w:rPr>
          <w:rFonts w:ascii="Times New Roman" w:hAnsi="Times New Roman"/>
          <w:sz w:val="22"/>
          <w:szCs w:val="22"/>
        </w:rPr>
        <w:t xml:space="preserve"> dont 25 </w:t>
      </w:r>
      <w:r w:rsidR="00DA7D20">
        <w:rPr>
          <w:rFonts w:ascii="Times New Roman" w:hAnsi="Times New Roman"/>
          <w:sz w:val="22"/>
          <w:szCs w:val="22"/>
        </w:rPr>
        <w:t>FCFA</w:t>
      </w:r>
      <w:r w:rsidRPr="00771667">
        <w:rPr>
          <w:rFonts w:ascii="Times New Roman" w:hAnsi="Times New Roman"/>
          <w:sz w:val="22"/>
          <w:szCs w:val="22"/>
        </w:rPr>
        <w:t xml:space="preserve"> représentant le coût</w:t>
      </w:r>
      <w:r w:rsidR="00E404FB">
        <w:rPr>
          <w:rFonts w:ascii="Times New Roman" w:hAnsi="Times New Roman"/>
          <w:sz w:val="22"/>
          <w:szCs w:val="22"/>
        </w:rPr>
        <w:t xml:space="preserve"> </w:t>
      </w:r>
      <w:r w:rsidRPr="00771667">
        <w:rPr>
          <w:rFonts w:ascii="Times New Roman" w:hAnsi="Times New Roman"/>
          <w:sz w:val="22"/>
          <w:szCs w:val="22"/>
        </w:rPr>
        <w:t>du vaccin fourni par l’</w:t>
      </w:r>
      <w:r w:rsidR="002575A2" w:rsidRPr="00771667">
        <w:rPr>
          <w:rFonts w:ascii="Times New Roman" w:hAnsi="Times New Roman"/>
          <w:sz w:val="22"/>
          <w:szCs w:val="22"/>
        </w:rPr>
        <w:t>État</w:t>
      </w:r>
      <w:r w:rsidRPr="00771667">
        <w:rPr>
          <w:rFonts w:ascii="Times New Roman" w:hAnsi="Times New Roman"/>
          <w:sz w:val="22"/>
          <w:szCs w:val="22"/>
        </w:rPr>
        <w:t xml:space="preserve">, 50 </w:t>
      </w:r>
      <w:r w:rsidR="00DA7D20">
        <w:rPr>
          <w:rFonts w:ascii="Times New Roman" w:hAnsi="Times New Roman"/>
          <w:sz w:val="22"/>
          <w:szCs w:val="22"/>
        </w:rPr>
        <w:t>FCFA</w:t>
      </w:r>
      <w:r w:rsidRPr="00771667">
        <w:rPr>
          <w:rFonts w:ascii="Times New Roman" w:hAnsi="Times New Roman"/>
          <w:sz w:val="22"/>
          <w:szCs w:val="22"/>
        </w:rPr>
        <w:t xml:space="preserve"> payés par l’éleveur et 30 </w:t>
      </w:r>
      <w:r w:rsidR="00DA7D20">
        <w:rPr>
          <w:rFonts w:ascii="Times New Roman" w:hAnsi="Times New Roman"/>
          <w:sz w:val="22"/>
          <w:szCs w:val="22"/>
        </w:rPr>
        <w:t>FCFA</w:t>
      </w:r>
      <w:r w:rsidRPr="00771667">
        <w:rPr>
          <w:rFonts w:ascii="Times New Roman" w:hAnsi="Times New Roman"/>
          <w:sz w:val="22"/>
          <w:szCs w:val="22"/>
        </w:rPr>
        <w:t xml:space="preserve"> payés par l’Etat</w:t>
      </w:r>
      <w:r w:rsidR="00E404FB">
        <w:rPr>
          <w:rFonts w:ascii="Times New Roman" w:hAnsi="Times New Roman"/>
          <w:sz w:val="22"/>
          <w:szCs w:val="22"/>
        </w:rPr>
        <w:t xml:space="preserve"> </w:t>
      </w:r>
      <w:r w:rsidRPr="00771667">
        <w:rPr>
          <w:rFonts w:ascii="Times New Roman" w:hAnsi="Times New Roman"/>
          <w:sz w:val="22"/>
          <w:szCs w:val="22"/>
        </w:rPr>
        <w:t>pour le mandat.</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Lutte contre l’émission de gaz à effet de serre</w:t>
      </w:r>
      <w:r w:rsidRPr="00771667">
        <w:rPr>
          <w:rFonts w:ascii="Times New Roman" w:hAnsi="Times New Roman"/>
          <w:sz w:val="22"/>
          <w:szCs w:val="22"/>
        </w:rPr>
        <w:t xml:space="preserve">. Pour parer aux effets néfastes des émissions des gaz à effets de serre, une valorisation des bouses de vache est prévue à travers l’installation de </w:t>
      </w:r>
      <w:r w:rsidRPr="00771667">
        <w:rPr>
          <w:rFonts w:ascii="Times New Roman" w:hAnsi="Times New Roman"/>
          <w:b/>
          <w:sz w:val="22"/>
          <w:szCs w:val="22"/>
        </w:rPr>
        <w:t>10 unités de biogaz</w:t>
      </w:r>
      <w:r w:rsidRPr="00771667">
        <w:rPr>
          <w:rFonts w:ascii="Times New Roman" w:hAnsi="Times New Roman"/>
          <w:sz w:val="22"/>
          <w:szCs w:val="22"/>
        </w:rPr>
        <w:t xml:space="preserve"> et de l’équipement connexes pour la cuisson et l’éclairage au profit de ménages cibles. La mise en œuvre de cette activité sera confiée à l’ONG AVSF qui dispose d’une expérience en la matière et est choisie comme agence d’exécution par des projets tels que le PAFA-E et le PARFA, de même que </w:t>
      </w:r>
      <w:r w:rsidRPr="00771667">
        <w:rPr>
          <w:rFonts w:ascii="Times New Roman" w:hAnsi="Times New Roman"/>
          <w:b/>
          <w:sz w:val="22"/>
          <w:szCs w:val="22"/>
        </w:rPr>
        <w:t xml:space="preserve">100 fourneaux diambar </w:t>
      </w:r>
      <w:r w:rsidRPr="00771667">
        <w:rPr>
          <w:rFonts w:ascii="Times New Roman" w:hAnsi="Times New Roman"/>
          <w:sz w:val="22"/>
          <w:szCs w:val="22"/>
        </w:rPr>
        <w:t>assurant une meilleure efficacité énergétique.</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Lutte contre les feux de brousse.</w:t>
      </w:r>
      <w:r w:rsidRPr="00771667">
        <w:rPr>
          <w:rFonts w:ascii="Times New Roman" w:hAnsi="Times New Roman"/>
          <w:b/>
          <w:sz w:val="22"/>
          <w:szCs w:val="22"/>
        </w:rPr>
        <w:t xml:space="preserve"> Acquisition de matériel de lutte contre les feux de brousse. </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Sessions de formation.</w:t>
      </w:r>
      <w:r w:rsidRPr="00771667">
        <w:rPr>
          <w:rFonts w:ascii="Times New Roman" w:hAnsi="Times New Roman"/>
          <w:b/>
          <w:sz w:val="22"/>
          <w:szCs w:val="22"/>
        </w:rPr>
        <w:t xml:space="preserve">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 xml:space="preserve">Deux sessions </w:t>
      </w:r>
      <w:r w:rsidRPr="00771667">
        <w:rPr>
          <w:rFonts w:ascii="Times New Roman" w:hAnsi="Times New Roman"/>
          <w:b/>
          <w:sz w:val="22"/>
          <w:szCs w:val="22"/>
        </w:rPr>
        <w:t>d’alphabétisation fonctionnelle</w:t>
      </w:r>
      <w:r w:rsidRPr="00771667">
        <w:rPr>
          <w:rFonts w:ascii="Times New Roman" w:hAnsi="Times New Roman"/>
          <w:sz w:val="22"/>
          <w:szCs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à Ranérou.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148"/>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64"/>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contextualSpacing/>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contextualSpacing/>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388"/>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32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greffage (agrumes, ziziphys Gola)</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272"/>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135"/>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mise en place d’ouvrage de DRS/CRS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saignée de gomme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d’exploitation durable d’un peuplement naturel ou artificiel de gommeraie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bl>
    <w:p w:rsidR="00771667" w:rsidRPr="00771667" w:rsidRDefault="00771667" w:rsidP="00771667">
      <w:pPr>
        <w:rPr>
          <w:b/>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14</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l'agriculture pour le site du Ferlo</w:t>
      </w:r>
    </w:p>
    <w:tbl>
      <w:tblPr>
        <w:tblW w:w="9513" w:type="dxa"/>
        <w:tblInd w:w="55" w:type="dxa"/>
        <w:tblLayout w:type="fixed"/>
        <w:tblCellMar>
          <w:left w:w="70" w:type="dxa"/>
          <w:right w:w="70" w:type="dxa"/>
        </w:tblCellMar>
        <w:tblLook w:val="04A0" w:firstRow="1" w:lastRow="0" w:firstColumn="1" w:lastColumn="0" w:noHBand="0" w:noVBand="1"/>
      </w:tblPr>
      <w:tblGrid>
        <w:gridCol w:w="3276"/>
        <w:gridCol w:w="850"/>
        <w:gridCol w:w="1418"/>
        <w:gridCol w:w="3969"/>
      </w:tblGrid>
      <w:tr w:rsidR="00771667" w:rsidRPr="00771667" w:rsidTr="00075058">
        <w:trPr>
          <w:trHeight w:val="440"/>
        </w:trPr>
        <w:tc>
          <w:tcPr>
            <w:tcW w:w="327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85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18"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3969"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17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Puits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PADAER, CECI, PRODAM</w:t>
            </w:r>
          </w:p>
        </w:tc>
      </w:tr>
      <w:tr w:rsidR="00771667" w:rsidRPr="00311A1A"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16 000 000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PADAER, ANEV, PRODAM, ADOS</w:t>
            </w:r>
          </w:p>
        </w:tc>
      </w:tr>
      <w:tr w:rsidR="00771667" w:rsidRPr="009375FA" w:rsidTr="00075058">
        <w:trPr>
          <w:trHeight w:val="19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E404FB"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Acquisition d’</w:t>
            </w:r>
            <w:r w:rsidR="00771667" w:rsidRPr="00771667">
              <w:rPr>
                <w:rFonts w:ascii="Times New Roman" w:eastAsia="Times New Roman" w:hAnsi="Times New Roman"/>
                <w:color w:val="000000"/>
                <w:szCs w:val="20"/>
              </w:rPr>
              <w:t xml:space="preserve">intrants  (semences, engrais, produits phytosanitaires) </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9 800 000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PRODAM, ADOS, ANEV, (Fonds revolving</w:t>
            </w:r>
            <w:r w:rsidR="00A72504">
              <w:rPr>
                <w:rFonts w:ascii="Times New Roman" w:eastAsia="Times New Roman" w:hAnsi="Times New Roman"/>
                <w:color w:val="000000"/>
                <w:szCs w:val="20"/>
                <w:lang w:val="pt-BR"/>
              </w:rPr>
              <w:t> ?</w:t>
            </w:r>
            <w:r w:rsidRPr="00771667">
              <w:rPr>
                <w:rFonts w:ascii="Times New Roman" w:eastAsia="Times New Roman" w:hAnsi="Times New Roman"/>
                <w:color w:val="000000"/>
                <w:szCs w:val="20"/>
                <w:lang w:val="pt-BR"/>
              </w:rPr>
              <w:t>)</w:t>
            </w:r>
          </w:p>
        </w:tc>
      </w:tr>
      <w:tr w:rsidR="00771667" w:rsidRPr="00311A1A" w:rsidTr="00075058">
        <w:trPr>
          <w:trHeight w:val="15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mares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180 000 000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CECI, ANCAR, FAO, PADAER, CECI, PRODAM</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Fourneaux diambar</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CECI, ANCAR, FAO</w:t>
            </w:r>
          </w:p>
        </w:tc>
      </w:tr>
      <w:tr w:rsidR="00771667" w:rsidRPr="00311A1A" w:rsidTr="00075058">
        <w:trPr>
          <w:trHeight w:val="16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Biogaz</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17 600 000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CECI, ANCAR, FAO, PADAER, CECI, PRODAM</w:t>
            </w:r>
          </w:p>
        </w:tc>
      </w:tr>
      <w:tr w:rsidR="00771667" w:rsidRPr="00311A1A"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Acquisition de vaccins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ADOS, ANEV</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Unité de fabrication d'aliments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PADAER, CECI, PRODAM</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Matériel de lutte contre les feux de brousse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PRODAM</w:t>
            </w:r>
          </w:p>
        </w:tc>
      </w:tr>
      <w:tr w:rsidR="00771667" w:rsidRPr="00771667" w:rsidTr="00075058">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Parc à vaccination et appui</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ADOS, CECI, ANEV</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Etudes de filières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Installation de périmètres de gomme arabique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5ha pour chacun des 44 villages</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550 000 000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Ruches et équipements pour l'apiculture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44 villages</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35 000 000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14</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91"/>
        </w:numPr>
        <w:spacing w:after="0"/>
        <w:contextualSpacing/>
        <w:rPr>
          <w:rFonts w:ascii="Times New Roman" w:hAnsi="Times New Roman"/>
          <w:sz w:val="22"/>
          <w:u w:val="single"/>
        </w:rPr>
      </w:pPr>
      <w:r w:rsidRPr="00771667">
        <w:rPr>
          <w:rFonts w:ascii="Times New Roman" w:hAnsi="Times New Roman"/>
          <w:sz w:val="22"/>
          <w:u w:val="single"/>
        </w:rPr>
        <w:t xml:space="preserve">Création d’un centre de formation polyvalent. </w:t>
      </w:r>
      <w:r w:rsidRPr="00771667">
        <w:rPr>
          <w:rFonts w:ascii="Times New Roman" w:hAnsi="Times New Roman"/>
          <w:sz w:val="22"/>
        </w:rPr>
        <w:t>Le Centre de formation polyvalent comportera une salle de réunion/formation d’une capacité de d’environ 30 personnes, un garage pour plusieurs véhicules (lourds et légers), des magasins pour le stockage de produits et différents matériels de lutte contre les feux de brousse, etc. Le coût d’un centre du genre est estimé à environ 100 000 000 FCFA (pris en charge par la Direction des Eaux et Forêts dans le cadre de sa mission de lutte contre les feux de brousses).</w:t>
      </w:r>
      <w:r w:rsidRPr="00771667">
        <w:rPr>
          <w:rFonts w:ascii="Times New Roman" w:hAnsi="Times New Roman"/>
          <w:sz w:val="22"/>
          <w:u w:val="single"/>
        </w:rPr>
        <w:t xml:space="preserve"> </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 xml:space="preserve">Lutte contre les feux de brousse. </w:t>
      </w:r>
      <w:r w:rsidRPr="00771667">
        <w:rPr>
          <w:rFonts w:ascii="Times New Roman" w:eastAsia="Times New Roman" w:hAnsi="Times New Roman"/>
          <w:sz w:val="22"/>
        </w:rPr>
        <w:t xml:space="preserve">Un montant de 150 000 000 FCFA sera dégagé pour </w:t>
      </w:r>
      <w:r w:rsidRPr="00771667">
        <w:rPr>
          <w:rFonts w:ascii="Times New Roman" w:eastAsia="Times New Roman" w:hAnsi="Times New Roman"/>
          <w:b/>
          <w:sz w:val="22"/>
        </w:rPr>
        <w:t>l’achat d’un gradeur et d’un tracteur pour l’ouverture et l’entretien de pare feu</w:t>
      </w:r>
      <w:r w:rsidRPr="00771667">
        <w:rPr>
          <w:rFonts w:ascii="Times New Roman" w:eastAsia="Times New Roman" w:hAnsi="Times New Roman"/>
          <w:sz w:val="22"/>
        </w:rPr>
        <w:t xml:space="preserve">, de </w:t>
      </w:r>
      <w:r w:rsidRPr="00771667">
        <w:rPr>
          <w:rFonts w:ascii="Times New Roman" w:eastAsia="Times New Roman" w:hAnsi="Times New Roman"/>
          <w:b/>
          <w:sz w:val="22"/>
        </w:rPr>
        <w:t>camions citernes et de matériel de lutte contre les feux de brousse</w:t>
      </w:r>
      <w:r w:rsidRPr="00771667">
        <w:rPr>
          <w:rFonts w:ascii="Times New Roman" w:eastAsia="Times New Roman" w:hAnsi="Times New Roman"/>
          <w:sz w:val="22"/>
        </w:rPr>
        <w:t xml:space="preserve">. qui sera pris en charge par le projet. Le projet procédera à </w:t>
      </w:r>
      <w:r w:rsidRPr="00771667">
        <w:rPr>
          <w:rFonts w:ascii="Times New Roman" w:eastAsia="Times New Roman" w:hAnsi="Times New Roman"/>
          <w:b/>
          <w:sz w:val="22"/>
        </w:rPr>
        <w:t>l’ouverture d’au moins 500 km de pare feu</w:t>
      </w:r>
      <w:r w:rsidRPr="00771667">
        <w:rPr>
          <w:rFonts w:ascii="Times New Roman" w:eastAsia="Times New Roman" w:hAnsi="Times New Roman"/>
          <w:sz w:val="22"/>
        </w:rPr>
        <w:t xml:space="preserve">. A raison de 75 000 FCFA le coût du km, le coût global de l’opération est pour un montant d’au moins 37 500 000 FCFA. Le coût de </w:t>
      </w:r>
      <w:r w:rsidRPr="00771667">
        <w:rPr>
          <w:rFonts w:ascii="Times New Roman" w:eastAsia="Times New Roman" w:hAnsi="Times New Roman"/>
          <w:b/>
          <w:sz w:val="22"/>
        </w:rPr>
        <w:t>l’équipement des comités de lutte contre les feux de brousse</w:t>
      </w:r>
      <w:r w:rsidRPr="00771667">
        <w:rPr>
          <w:rFonts w:ascii="Times New Roman" w:eastAsia="Times New Roman" w:hAnsi="Times New Roman"/>
          <w:sz w:val="22"/>
        </w:rPr>
        <w:t xml:space="preserve"> peut être estimé</w:t>
      </w:r>
      <w:r w:rsidR="00E404FB">
        <w:rPr>
          <w:rFonts w:ascii="Times New Roman" w:eastAsia="Times New Roman" w:hAnsi="Times New Roman"/>
          <w:sz w:val="22"/>
        </w:rPr>
        <w:t xml:space="preserve"> à</w:t>
      </w:r>
      <w:r w:rsidRPr="00771667">
        <w:rPr>
          <w:rFonts w:ascii="Times New Roman" w:eastAsia="Times New Roman" w:hAnsi="Times New Roman"/>
          <w:sz w:val="22"/>
        </w:rPr>
        <w:t xml:space="preserve">  environ 3 000 000 FCFA.</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3 RNC et UP, un montant d’environ 19 500 000 FCFA (6 500 000 FCFA x 3) permettra de réactualiser les plans d’aménagement, intégrant l’analyse de la situation de référence et les consultations publiques.</w:t>
      </w:r>
    </w:p>
    <w:p w:rsidR="00771667" w:rsidRPr="00771667" w:rsidRDefault="00771667" w:rsidP="00771667">
      <w:pPr>
        <w:numPr>
          <w:ilvl w:val="0"/>
          <w:numId w:val="91"/>
        </w:numPr>
        <w:tabs>
          <w:tab w:val="left" w:pos="426"/>
        </w:tabs>
        <w:spacing w:before="120" w:after="120"/>
        <w:contextualSpacing/>
        <w:rPr>
          <w:rFonts w:ascii="Times New Roman" w:hAnsi="Times New Roman"/>
          <w:sz w:val="22"/>
        </w:rPr>
      </w:pPr>
      <w:r w:rsidRPr="00771667">
        <w:rPr>
          <w:rFonts w:ascii="Times New Roman" w:hAnsi="Times New Roman"/>
          <w:sz w:val="22"/>
        </w:rPr>
        <w:t xml:space="preserve">Des </w:t>
      </w:r>
      <w:r w:rsidRPr="00771667">
        <w:rPr>
          <w:rFonts w:ascii="Times New Roman" w:hAnsi="Times New Roman"/>
          <w:sz w:val="22"/>
          <w:u w:val="single"/>
        </w:rPr>
        <w:t>études de filières sur quatre espèces forestières</w:t>
      </w:r>
      <w:r w:rsidRPr="00771667">
        <w:rPr>
          <w:rFonts w:ascii="Times New Roman" w:hAnsi="Times New Roman"/>
          <w:sz w:val="22"/>
        </w:rPr>
        <w:t xml:space="preserve"> (</w:t>
      </w:r>
      <w:r w:rsidRPr="00771667">
        <w:rPr>
          <w:rFonts w:ascii="Times New Roman" w:hAnsi="Times New Roman"/>
          <w:i/>
          <w:sz w:val="22"/>
        </w:rPr>
        <w:t>Balanites aegyptiaca</w:t>
      </w:r>
      <w:r w:rsidRPr="00771667">
        <w:rPr>
          <w:rFonts w:ascii="Times New Roman" w:hAnsi="Times New Roman"/>
          <w:sz w:val="22"/>
        </w:rPr>
        <w:t xml:space="preserve">, </w:t>
      </w:r>
      <w:r w:rsidRPr="00771667">
        <w:rPr>
          <w:rFonts w:ascii="Times New Roman" w:hAnsi="Times New Roman"/>
          <w:i/>
          <w:sz w:val="22"/>
        </w:rPr>
        <w:t xml:space="preserve">et Ziziphus mauritiana </w:t>
      </w:r>
      <w:r w:rsidRPr="00771667">
        <w:rPr>
          <w:rFonts w:ascii="Times New Roman" w:hAnsi="Times New Roman"/>
          <w:sz w:val="22"/>
        </w:rPr>
        <w:t xml:space="preserve">dans la partie nord de la zone du Ferlo et </w:t>
      </w:r>
      <w:r w:rsidRPr="00771667">
        <w:rPr>
          <w:rFonts w:ascii="Times New Roman" w:hAnsi="Times New Roman"/>
          <w:i/>
          <w:sz w:val="22"/>
        </w:rPr>
        <w:t>Adansosia digitata, Sterculia setigera</w:t>
      </w:r>
      <w:r w:rsidRPr="00771667">
        <w:rPr>
          <w:rFonts w:ascii="Times New Roman" w:hAnsi="Times New Roman"/>
          <w:sz w:val="22"/>
        </w:rPr>
        <w:t xml:space="preserve"> dans la partie sud) et une sur l’écotourisme seront réalisées. Ces études permettront de rassembler et de mieux structurer les informations dans les différents segments des filières. Elles feront une meilleure analyse des contraintes institutionnelles et organisationnelles et révéleront les besoins en termes de capacités des différents acteurs. En considérant le coût de l’étude à environ 5 000 000 FCFA, le montant total est de 25 000 000 FCFA. Des études ont été faites pour les filières de </w:t>
      </w:r>
      <w:r w:rsidRPr="00771667">
        <w:rPr>
          <w:rFonts w:ascii="Times New Roman" w:hAnsi="Times New Roman"/>
          <w:i/>
          <w:sz w:val="22"/>
        </w:rPr>
        <w:t xml:space="preserve">Adansosia digitata </w:t>
      </w:r>
      <w:r w:rsidRPr="00771667">
        <w:rPr>
          <w:rFonts w:ascii="Times New Roman" w:hAnsi="Times New Roman"/>
          <w:sz w:val="22"/>
        </w:rPr>
        <w:t>et</w:t>
      </w:r>
      <w:r w:rsidRPr="00771667">
        <w:rPr>
          <w:rFonts w:ascii="Times New Roman" w:hAnsi="Times New Roman"/>
          <w:i/>
          <w:sz w:val="22"/>
        </w:rPr>
        <w:t xml:space="preserve"> Sterculia setigera</w:t>
      </w:r>
      <w:r w:rsidRPr="00771667">
        <w:rPr>
          <w:rFonts w:ascii="Times New Roman" w:hAnsi="Times New Roman"/>
          <w:sz w:val="22"/>
        </w:rPr>
        <w:t xml:space="preserve"> mais plus dans le contexte de la zone de Tambacounda. Elles seront capitalisées.</w:t>
      </w:r>
    </w:p>
    <w:p w:rsidR="00771667" w:rsidRPr="00771667" w:rsidRDefault="00771667" w:rsidP="00771667">
      <w:pPr>
        <w:numPr>
          <w:ilvl w:val="0"/>
          <w:numId w:val="91"/>
        </w:numPr>
        <w:tabs>
          <w:tab w:val="left" w:pos="426"/>
        </w:tabs>
        <w:spacing w:before="120" w:after="120"/>
        <w:contextualSpacing/>
        <w:rPr>
          <w:rFonts w:ascii="Times New Roman" w:hAnsi="Times New Roman"/>
          <w:sz w:val="22"/>
        </w:rPr>
      </w:pPr>
      <w:r w:rsidRPr="00771667">
        <w:rPr>
          <w:rFonts w:ascii="Times New Roman" w:hAnsi="Times New Roman"/>
          <w:sz w:val="22"/>
          <w:u w:val="single"/>
        </w:rPr>
        <w:t>Sessions de formation</w:t>
      </w:r>
      <w:r w:rsidRPr="00771667">
        <w:rPr>
          <w:rFonts w:ascii="Times New Roman" w:hAnsi="Times New Roman"/>
          <w:sz w:val="22"/>
        </w:rPr>
        <w:t xml:space="preserve"> sur les techniques de transformation des produits forestiers non ligneux et sur les techniques de lutte contre les feux de brousse. </w:t>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15</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des forêts pour le site du Ferlo</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6602F7" w:rsidP="00771667">
            <w:pPr>
              <w:jc w:val="center"/>
              <w:rPr>
                <w:rFonts w:ascii="Times New Roman" w:eastAsia="Times New Roman" w:hAnsi="Times New Roman"/>
                <w:color w:val="000000"/>
                <w:szCs w:val="18"/>
              </w:rPr>
            </w:pPr>
            <w:r>
              <w:rPr>
                <w:rFonts w:ascii="Times New Roman" w:eastAsia="Times New Roman" w:hAnsi="Times New Roman"/>
                <w:color w:val="000000"/>
                <w:szCs w:val="18"/>
              </w:rPr>
              <w:t>É</w:t>
            </w:r>
            <w:r w:rsidR="00771667" w:rsidRPr="00771667">
              <w:rPr>
                <w:rFonts w:ascii="Times New Roman" w:eastAsia="Times New Roman" w:hAnsi="Times New Roman"/>
                <w:color w:val="000000"/>
                <w:szCs w:val="18"/>
              </w:rPr>
              <w:t>quipement des comités de lutte contre les feux de brousse</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500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37 500 000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Gradeur, tracteur et citerne</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19 500 000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Etudes de filières</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Pr>
        <w:spacing w:after="0"/>
        <w:ind w:left="720"/>
        <w:rPr>
          <w:rFonts w:ascii="Times" w:eastAsia="Times" w:hAnsi="Times"/>
          <w:sz w:val="24"/>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tabs>
          <w:tab w:val="left" w:pos="0"/>
        </w:tabs>
        <w:spacing w:before="120" w:after="120"/>
      </w:pPr>
    </w:p>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p>
    <w:p w:rsidR="00771667" w:rsidRPr="00771667" w:rsidRDefault="008712CB" w:rsidP="00771667">
      <w:pPr>
        <w:keepNext/>
        <w:keepLines/>
        <w:spacing w:before="200" w:after="0"/>
        <w:jc w:val="left"/>
        <w:outlineLvl w:val="1"/>
        <w:rPr>
          <w:rFonts w:eastAsia="MS Gothic"/>
          <w:b/>
          <w:bCs/>
          <w:color w:val="4F81BD"/>
          <w:sz w:val="26"/>
          <w:szCs w:val="26"/>
          <w:lang w:eastAsia="fr-FR"/>
        </w:rPr>
      </w:pPr>
      <w:bookmarkStart w:id="140" w:name="_Toc339209635"/>
      <w:bookmarkStart w:id="141" w:name="_Toc339725249"/>
      <w:bookmarkStart w:id="142" w:name="_Toc496886600"/>
      <w:bookmarkStart w:id="143" w:name="_Toc498638437"/>
      <w:r>
        <w:rPr>
          <w:rFonts w:eastAsia="MS Gothic"/>
          <w:b/>
          <w:bCs/>
          <w:color w:val="4F81BD"/>
          <w:sz w:val="26"/>
          <w:szCs w:val="26"/>
          <w:lang w:eastAsia="fr-FR"/>
        </w:rPr>
        <w:t>B.IV. Site du Niokolo-</w:t>
      </w:r>
      <w:r w:rsidR="00771667" w:rsidRPr="00771667">
        <w:rPr>
          <w:rFonts w:eastAsia="MS Gothic"/>
          <w:b/>
          <w:bCs/>
          <w:color w:val="4F81BD"/>
          <w:sz w:val="26"/>
          <w:szCs w:val="26"/>
          <w:lang w:eastAsia="fr-FR"/>
        </w:rPr>
        <w:t>Koba</w:t>
      </w:r>
      <w:bookmarkEnd w:id="140"/>
      <w:bookmarkEnd w:id="141"/>
      <w:bookmarkEnd w:id="142"/>
      <w:bookmarkEnd w:id="143"/>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623F11BB" wp14:editId="28981025">
            <wp:extent cx="5756910" cy="4079700"/>
            <wp:effectExtent l="0" t="0" r="8890" b="10160"/>
            <wp:docPr id="1100" name="Image 62" descr="Zone_parc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e_parc_v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756910" cy="4079700"/>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4</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 xml:space="preserve">ite du </w:t>
      </w:r>
      <w:r w:rsidR="003011BE">
        <w:rPr>
          <w:rFonts w:ascii="Times New Roman" w:eastAsia="Times New Roman" w:hAnsi="Times New Roman"/>
          <w:b/>
          <w:bCs/>
          <w:i/>
          <w:sz w:val="22"/>
        </w:rPr>
        <w:t xml:space="preserve">Niokolo-Koba </w:t>
      </w:r>
      <w:r w:rsidRPr="00771667">
        <w:rPr>
          <w:rFonts w:ascii="Times New Roman" w:eastAsia="Times New Roman" w:hAnsi="Times New Roman"/>
          <w:b/>
          <w:bCs/>
          <w:i/>
          <w:sz w:val="22"/>
        </w:rPr>
        <w:t>(source</w:t>
      </w:r>
      <w:r w:rsidR="002575A2">
        <w:rPr>
          <w:rFonts w:ascii="Times New Roman" w:eastAsia="Times New Roman" w:hAnsi="Times New Roman"/>
          <w:b/>
          <w:bCs/>
          <w:i/>
          <w:sz w:val="22"/>
        </w:rPr>
        <w:t> :</w:t>
      </w:r>
      <w:r w:rsidR="00A72504">
        <w:rPr>
          <w:rFonts w:ascii="Times New Roman" w:eastAsia="Times New Roman" w:hAnsi="Times New Roman"/>
          <w:b/>
          <w:bCs/>
          <w:i/>
          <w:sz w:val="22"/>
        </w:rPr>
        <w:t> </w:t>
      </w:r>
      <w:r w:rsidRPr="00771667">
        <w:rPr>
          <w:rFonts w:ascii="Times New Roman" w:eastAsia="Times New Roman" w:hAnsi="Times New Roman"/>
          <w:b/>
          <w:bCs/>
          <w:i/>
          <w:sz w:val="22"/>
        </w:rPr>
        <w:t>?)</w:t>
      </w:r>
    </w:p>
    <w:p w:rsidR="00771667" w:rsidRPr="00771667" w:rsidRDefault="00771667" w:rsidP="00771667">
      <w:pPr>
        <w:keepNext/>
        <w:keepLines/>
        <w:spacing w:before="200" w:after="0"/>
        <w:outlineLvl w:val="2"/>
        <w:rPr>
          <w:rFonts w:eastAsia="MS Gothic"/>
          <w:b/>
          <w:bCs/>
          <w:color w:val="4F81BD"/>
        </w:rPr>
      </w:pPr>
      <w:bookmarkStart w:id="144" w:name="_Toc339209636"/>
      <w:bookmarkStart w:id="145" w:name="_Toc339725250"/>
      <w:bookmarkStart w:id="146" w:name="_Toc496886601"/>
      <w:bookmarkStart w:id="147" w:name="_Toc498638438"/>
      <w:r w:rsidRPr="00771667">
        <w:rPr>
          <w:rFonts w:eastAsia="MS Gothic"/>
          <w:b/>
          <w:bCs/>
          <w:color w:val="4F81BD"/>
        </w:rPr>
        <w:t>B.IV.1. Constat des experts</w:t>
      </w:r>
      <w:bookmarkEnd w:id="144"/>
      <w:bookmarkEnd w:id="145"/>
      <w:bookmarkEnd w:id="146"/>
      <w:bookmarkEnd w:id="147"/>
    </w:p>
    <w:p w:rsidR="00771667" w:rsidRPr="00771667" w:rsidRDefault="00771667" w:rsidP="00771667">
      <w:pPr>
        <w:numPr>
          <w:ilvl w:val="0"/>
          <w:numId w:val="91"/>
        </w:numPr>
        <w:autoSpaceDE w:val="0"/>
        <w:autoSpaceDN w:val="0"/>
        <w:adjustRightInd w:val="0"/>
        <w:spacing w:after="0"/>
        <w:contextualSpacing/>
        <w:rPr>
          <w:rFonts w:ascii="Times New Roman" w:hAnsi="Times New Roman"/>
          <w:sz w:val="22"/>
        </w:rPr>
      </w:pPr>
      <w:r w:rsidRPr="00771667">
        <w:rPr>
          <w:rFonts w:ascii="Times New Roman" w:hAnsi="Times New Roman"/>
          <w:sz w:val="22"/>
        </w:rPr>
        <w:t xml:space="preserve">En 2010, la savane arborée revient en force occupant ainsi près de 35 </w:t>
      </w:r>
      <w:r w:rsidR="00A72504">
        <w:rPr>
          <w:rFonts w:ascii="Times New Roman" w:hAnsi="Times New Roman"/>
          <w:sz w:val="22"/>
        </w:rPr>
        <w:t> %</w:t>
      </w:r>
      <w:r w:rsidRPr="00771667">
        <w:rPr>
          <w:rFonts w:ascii="Times New Roman" w:hAnsi="Times New Roman"/>
          <w:sz w:val="22"/>
        </w:rPr>
        <w:t xml:space="preserve"> de la zone étudiée. La savane arbustive a quasi disparu, et ne représente plus que 0,28</w:t>
      </w:r>
      <w:r w:rsidR="00A72504">
        <w:rPr>
          <w:rFonts w:ascii="Times New Roman" w:hAnsi="Times New Roman"/>
          <w:sz w:val="22"/>
        </w:rPr>
        <w:t> %</w:t>
      </w:r>
      <w:r w:rsidRPr="00771667">
        <w:rPr>
          <w:rFonts w:ascii="Times New Roman" w:hAnsi="Times New Roman"/>
          <w:sz w:val="22"/>
        </w:rPr>
        <w:t>. La savane boisée a aussi régressé, passant de 40</w:t>
      </w:r>
      <w:r w:rsidR="00A72504">
        <w:rPr>
          <w:rFonts w:ascii="Times New Roman" w:hAnsi="Times New Roman"/>
          <w:sz w:val="22"/>
        </w:rPr>
        <w:t> %</w:t>
      </w:r>
      <w:r w:rsidRPr="00771667">
        <w:rPr>
          <w:rFonts w:ascii="Times New Roman" w:hAnsi="Times New Roman"/>
          <w:sz w:val="22"/>
        </w:rPr>
        <w:t xml:space="preserve"> en 1986 à 17</w:t>
      </w:r>
      <w:r w:rsidR="00A72504">
        <w:rPr>
          <w:rFonts w:ascii="Times New Roman" w:hAnsi="Times New Roman"/>
          <w:sz w:val="22"/>
        </w:rPr>
        <w:t> %</w:t>
      </w:r>
      <w:r w:rsidRPr="00771667">
        <w:rPr>
          <w:rFonts w:ascii="Times New Roman" w:hAnsi="Times New Roman"/>
          <w:sz w:val="22"/>
        </w:rPr>
        <w:t xml:space="preserve"> en 2010 (MEDD, 2010). </w:t>
      </w:r>
    </w:p>
    <w:p w:rsidR="00771667" w:rsidRPr="00771667" w:rsidRDefault="00771667" w:rsidP="00771667">
      <w:pPr>
        <w:numPr>
          <w:ilvl w:val="0"/>
          <w:numId w:val="91"/>
        </w:numPr>
        <w:autoSpaceDE w:val="0"/>
        <w:autoSpaceDN w:val="0"/>
        <w:adjustRightInd w:val="0"/>
        <w:spacing w:after="0"/>
        <w:contextualSpacing/>
        <w:rPr>
          <w:rFonts w:ascii="Times New Roman" w:hAnsi="Times New Roman"/>
          <w:sz w:val="22"/>
        </w:rPr>
      </w:pPr>
      <w:r w:rsidRPr="00771667">
        <w:rPr>
          <w:rFonts w:ascii="Times New Roman" w:hAnsi="Times New Roman"/>
          <w:sz w:val="22"/>
        </w:rPr>
        <w:t>Les impacts du changement climatique sont</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 xml:space="preserve">Baisse d’environ 400 mm de la pluviométrie annuelle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Sols peu profonds et vulnérables après déboisement à l'érosi</w:t>
      </w:r>
      <w:r w:rsidR="00D2405E">
        <w:rPr>
          <w:rFonts w:ascii="Times New Roman" w:hAnsi="Times New Roman"/>
          <w:sz w:val="22"/>
        </w:rPr>
        <w:t>on éolienne et au ruissellement </w:t>
      </w:r>
      <w:r w:rsidRPr="00771667">
        <w:rPr>
          <w:rFonts w:ascii="Times New Roman" w:hAnsi="Times New Roman"/>
          <w:sz w:val="22"/>
        </w:rPr>
        <w:t xml:space="preserv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 xml:space="preserve">Détérioration du couvert végétal à cause du charbonnage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Feux de brousse fréquents.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583"/>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 w:val="24"/>
              </w:rPr>
            </w:pPr>
            <w:r w:rsidRPr="00771667">
              <w:rPr>
                <w:rFonts w:ascii="Times New Roman" w:eastAsia="Times" w:hAnsi="Times New Roman"/>
                <w:b/>
                <w:sz w:val="24"/>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Amélioration en cours du niveau d’accès à l’eau potable dans les communes</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Disparités dans le niveau d’accès à l’eau potable et niveau d’accès relativement faible dans les certaines communes concernées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d’un important réseau hydrographique et donc de fortes potentialités en eau de surface (cours d’eau et mares) pour l’abreuvement du cheptel et l’irrigation</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Insuffisance d’ouvrages de mobilisation des eaux de surface et faible valorisation du potentiel en eau de surface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Forte potentialité des nappes d’eau souterraine dans la partie sédimentaire (ouest de la zone) </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Ressources en eau limitées des nappes d’eau du socle de la partie est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de périmètres de banane le long du fleuve Gambie</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Difficulté de réalisation de forages en zone de socle (Forages des fois improductifs)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de périmètres maraichers exploités par les femmes dans  quelques villages</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Densité de forages relativement faible en zone sédimentaire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Coût de réalisation des forages dans la nappe profonde élevé</w:t>
            </w:r>
          </w:p>
        </w:tc>
      </w:tr>
      <w:tr w:rsidR="00771667" w:rsidRPr="00771667" w:rsidTr="00075058">
        <w:tc>
          <w:tcPr>
            <w:tcW w:w="4603" w:type="dxa"/>
          </w:tcPr>
          <w:p w:rsidR="00771667" w:rsidRPr="00771667" w:rsidRDefault="00771667" w:rsidP="00771667">
            <w:pPr>
              <w:rPr>
                <w:rFonts w:ascii="Times New Roman" w:hAnsi="Times New Roman"/>
              </w:rPr>
            </w:pP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Puisage manuel de l’eau dans les puits pénible pour les femmes et les enfants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Ruissellement et ravinement important pendant la saison des pluies (dégradation des sols)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Feux de brousse fréquents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Détérioration du couvert forestier à cause du charbonnage</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Existence de projets avec volet hydraulique (PADAER, PUDC, P2RS) et de possibilités de partenariat</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Faible capacité des communes (manque de ressources humaines et financières)</w:t>
            </w: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Existence de quelques organisations de populations  (Groupements de producteurs, ASUFOR)</w:t>
            </w:r>
          </w:p>
        </w:tc>
        <w:tc>
          <w:tcPr>
            <w:tcW w:w="4603" w:type="dxa"/>
          </w:tcPr>
          <w:p w:rsidR="00771667" w:rsidRPr="00771667" w:rsidRDefault="00771667" w:rsidP="00771667">
            <w:pPr>
              <w:spacing w:after="0"/>
              <w:ind w:firstLine="3567"/>
              <w:jc w:val="left"/>
              <w:rPr>
                <w:rFonts w:ascii="Times New Roman" w:eastAsia="Times" w:hAnsi="Times New Roman"/>
              </w:rPr>
            </w:pPr>
            <w:r w:rsidRPr="00771667">
              <w:rPr>
                <w:rFonts w:ascii="Times New Roman" w:eastAsia="Times" w:hAnsi="Times New Roman"/>
                <w:szCs w:val="22"/>
              </w:rPr>
              <w:t>Non prise en compte pour le moment de la gestion des forages en zone de socle dans la réforme de l’hydraulique rurale</w:t>
            </w:r>
          </w:p>
        </w:tc>
      </w:tr>
      <w:tr w:rsidR="00771667" w:rsidRPr="00771667" w:rsidTr="00075058">
        <w:tc>
          <w:tcPr>
            <w:tcW w:w="4603" w:type="dxa"/>
          </w:tcPr>
          <w:p w:rsidR="00771667" w:rsidRPr="00771667" w:rsidRDefault="00771667" w:rsidP="00771667">
            <w:pPr>
              <w:rPr>
                <w:rFonts w:ascii="Times New Roman" w:hAnsi="Times New Roman"/>
              </w:rPr>
            </w:pPr>
          </w:p>
        </w:tc>
        <w:tc>
          <w:tcPr>
            <w:tcW w:w="4603" w:type="dxa"/>
          </w:tcPr>
          <w:p w:rsidR="00771667" w:rsidRPr="00771667" w:rsidRDefault="00771667" w:rsidP="00771667">
            <w:pPr>
              <w:spacing w:after="0"/>
              <w:rPr>
                <w:rFonts w:ascii="Times New Roman" w:eastAsia="Times" w:hAnsi="Times New Roman"/>
              </w:rPr>
            </w:pPr>
            <w:r w:rsidRPr="00771667">
              <w:rPr>
                <w:rFonts w:ascii="Times New Roman" w:eastAsia="Times" w:hAnsi="Times New Roman"/>
                <w:szCs w:val="22"/>
              </w:rPr>
              <w:t>Feux de brousse fréquents</w:t>
            </w: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48" w:name="_Toc339209637"/>
      <w:bookmarkStart w:id="149" w:name="_Toc339725251"/>
      <w:bookmarkStart w:id="150" w:name="_Toc496886602"/>
      <w:bookmarkStart w:id="151" w:name="_Toc498638439"/>
      <w:r w:rsidRPr="00771667">
        <w:rPr>
          <w:rFonts w:eastAsia="MS Gothic"/>
          <w:b/>
          <w:bCs/>
          <w:color w:val="4F81BD"/>
        </w:rPr>
        <w:t>B.IV.2. Actions proposées dans le cadre du projet</w:t>
      </w:r>
      <w:bookmarkEnd w:id="148"/>
      <w:bookmarkEnd w:id="149"/>
      <w:bookmarkEnd w:id="150"/>
      <w:bookmarkEnd w:id="151"/>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22"/>
          <w:szCs w:val="22"/>
        </w:rPr>
      </w:pP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bassins versant</w:t>
      </w:r>
      <w:r w:rsidRPr="00771667">
        <w:rPr>
          <w:rFonts w:ascii="Times New Roman" w:eastAsia="Times" w:hAnsi="Times New Roman"/>
          <w:sz w:val="22"/>
          <w:szCs w:val="22"/>
        </w:rPr>
        <w:t xml:space="preserve"> (en vue de lutter contre le fort ruissellement, le ravinement, la dégradation des sols et des équipements). Les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szCs w:val="22"/>
        </w:rPr>
        <w:t>création du Centre de Protection de la Nature</w:t>
      </w:r>
      <w:r w:rsidRPr="00771667">
        <w:rPr>
          <w:rFonts w:ascii="Times New Roman" w:eastAsia="Times" w:hAnsi="Times New Roman"/>
          <w:sz w:val="22"/>
          <w:szCs w:val="22"/>
        </w:rPr>
        <w:t xml:space="preserve">) et de dotation de ressources financières pour appuyer les populations à réaliser elles même les aménagements à faire sont suggérées. </w:t>
      </w:r>
      <w:r w:rsidRPr="00771667">
        <w:rPr>
          <w:rFonts w:ascii="Times New Roman" w:eastAsia="Times" w:hAnsi="Times New Roman"/>
          <w:b/>
          <w:sz w:val="22"/>
          <w:szCs w:val="22"/>
        </w:rPr>
        <w:t>400 ha</w:t>
      </w:r>
      <w:r w:rsidRPr="00771667">
        <w:rPr>
          <w:rFonts w:ascii="Times New Roman" w:eastAsia="Times" w:hAnsi="Times New Roman"/>
          <w:sz w:val="22"/>
          <w:szCs w:val="22"/>
        </w:rPr>
        <w:t xml:space="preserve"> sont à a</w:t>
      </w:r>
      <w:r w:rsidR="008712CB">
        <w:rPr>
          <w:rFonts w:ascii="Times New Roman" w:eastAsia="Times" w:hAnsi="Times New Roman"/>
          <w:sz w:val="22"/>
          <w:szCs w:val="22"/>
        </w:rPr>
        <w:t>ménager pour la zone du Niokolo-</w:t>
      </w:r>
      <w:r w:rsidRPr="00771667">
        <w:rPr>
          <w:rFonts w:ascii="Times New Roman" w:eastAsia="Times" w:hAnsi="Times New Roman"/>
          <w:sz w:val="22"/>
          <w:szCs w:val="22"/>
        </w:rPr>
        <w:t xml:space="preserve">Koba. </w:t>
      </w: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 fonds</w:t>
      </w:r>
      <w:r w:rsidR="002575A2">
        <w:rPr>
          <w:rFonts w:ascii="Times New Roman" w:eastAsia="Times" w:hAnsi="Times New Roman"/>
          <w:sz w:val="22"/>
          <w:szCs w:val="22"/>
          <w:u w:val="single"/>
        </w:rPr>
        <w:t> :</w:t>
      </w:r>
      <w:r w:rsidRPr="00771667">
        <w:rPr>
          <w:rFonts w:ascii="Times New Roman" w:eastAsia="Times" w:hAnsi="Times New Roman"/>
          <w:sz w:val="22"/>
          <w:szCs w:val="22"/>
        </w:rPr>
        <w:t xml:space="preserve"> Cette problématique concerne les zones qui ont un fort potentiel en cette matière et une forte demande ; nous retenons la possibilité d’aménage</w:t>
      </w:r>
      <w:r w:rsidR="008712CB">
        <w:rPr>
          <w:rFonts w:ascii="Times New Roman" w:eastAsia="Times" w:hAnsi="Times New Roman"/>
          <w:sz w:val="22"/>
          <w:szCs w:val="22"/>
        </w:rPr>
        <w:t>r 10 ha dans la zone du Niokolo-</w:t>
      </w:r>
      <w:r w:rsidRPr="00771667">
        <w:rPr>
          <w:rFonts w:ascii="Times New Roman" w:eastAsia="Times" w:hAnsi="Times New Roman"/>
          <w:sz w:val="22"/>
          <w:szCs w:val="22"/>
        </w:rPr>
        <w:t>Koba.</w:t>
      </w:r>
    </w:p>
    <w:p w:rsidR="00771667" w:rsidRPr="00771667" w:rsidRDefault="00771667" w:rsidP="00771667">
      <w:pPr>
        <w:numPr>
          <w:ilvl w:val="0"/>
          <w:numId w:val="86"/>
        </w:numPr>
        <w:spacing w:after="0"/>
        <w:rPr>
          <w:rFonts w:ascii="Times" w:eastAsia="Times" w:hAnsi="Times"/>
          <w:sz w:val="22"/>
          <w:szCs w:val="22"/>
        </w:rPr>
      </w:pPr>
      <w:r w:rsidRPr="00771667">
        <w:rPr>
          <w:rFonts w:ascii="Times New Roman" w:eastAsia="Times" w:hAnsi="Times New Roman"/>
          <w:sz w:val="22"/>
          <w:szCs w:val="22"/>
          <w:u w:val="single"/>
        </w:rPr>
        <w:t>Amélioration de la disponibilité de l’eau pour les activités génératrices de revenus</w:t>
      </w:r>
      <w:r w:rsidRPr="00771667">
        <w:rPr>
          <w:rFonts w:ascii="Times New Roman" w:eastAsia="Times" w:hAnsi="Times New Roman"/>
          <w:sz w:val="22"/>
          <w:szCs w:val="22"/>
        </w:rPr>
        <w:t xml:space="preserve"> (</w:t>
      </w:r>
      <w:r w:rsidR="00F06548">
        <w:rPr>
          <w:rFonts w:ascii="Times New Roman" w:eastAsia="Times" w:hAnsi="Times New Roman"/>
          <w:sz w:val="22"/>
          <w:szCs w:val="22"/>
        </w:rPr>
        <w:t>maraîchage</w:t>
      </w:r>
      <w:r w:rsidRPr="00771667">
        <w:rPr>
          <w:rFonts w:ascii="Times New Roman" w:eastAsia="Times" w:hAnsi="Times New Roman"/>
          <w:sz w:val="22"/>
          <w:szCs w:val="22"/>
        </w:rPr>
        <w:t xml:space="preserve"> en particulier)</w:t>
      </w:r>
      <w:r w:rsidR="002575A2">
        <w:rPr>
          <w:rFonts w:ascii="Times New Roman" w:eastAsia="Times" w:hAnsi="Times New Roman"/>
          <w:sz w:val="22"/>
          <w:szCs w:val="22"/>
        </w:rPr>
        <w:t> :</w:t>
      </w:r>
      <w:r w:rsidRPr="00771667">
        <w:rPr>
          <w:rFonts w:ascii="Times New Roman" w:eastAsia="Times" w:hAnsi="Times New Roman"/>
          <w:sz w:val="22"/>
          <w:szCs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szCs w:val="22"/>
        </w:rPr>
        <w:t xml:space="preserve">à partir de puits maraîchers existants.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16</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w:t>
      </w:r>
      <w:r w:rsidR="008712CB">
        <w:rPr>
          <w:rFonts w:ascii="Times New Roman" w:eastAsia="Times New Roman" w:hAnsi="Times New Roman"/>
          <w:b/>
          <w:bCs/>
          <w:i/>
          <w:sz w:val="22"/>
        </w:rPr>
        <w:t>e l'eau dans le zone du Niokolo-</w:t>
      </w:r>
      <w:r w:rsidRPr="00771667">
        <w:rPr>
          <w:rFonts w:ascii="Times New Roman" w:eastAsia="Times New Roman" w:hAnsi="Times New Roman"/>
          <w:b/>
          <w:bCs/>
          <w:i/>
          <w:sz w:val="22"/>
        </w:rPr>
        <w:t>Koba</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400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 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Développer les filières PFNL, développer le maraîchage dans les forêts</w:t>
      </w:r>
    </w:p>
    <w:p w:rsidR="00771667" w:rsidRPr="00771667" w:rsidRDefault="00771667" w:rsidP="00771667">
      <w:pPr>
        <w:numPr>
          <w:ilvl w:val="0"/>
          <w:numId w:val="86"/>
        </w:numPr>
        <w:spacing w:after="0"/>
        <w:contextualSpacing/>
        <w:rPr>
          <w:rFonts w:ascii="Times New Roman" w:hAnsi="Times New Roman"/>
          <w:sz w:val="22"/>
          <w:szCs w:val="22"/>
          <w:u w:val="single"/>
        </w:rPr>
      </w:pPr>
      <w:r w:rsidRPr="00771667">
        <w:rPr>
          <w:rFonts w:ascii="Times New Roman" w:hAnsi="Times New Roman"/>
          <w:sz w:val="22"/>
          <w:szCs w:val="22"/>
          <w:u w:val="single"/>
        </w:rPr>
        <w:t>Développement de filières</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Maraîchage et fruiticulture. Le projet en partenariat avec l’ANEV va financer l’aménagement de 4 ha de </w:t>
      </w:r>
      <w:r w:rsidRPr="00771667">
        <w:rPr>
          <w:rFonts w:ascii="Times New Roman" w:hAnsi="Times New Roman"/>
          <w:b/>
          <w:sz w:val="22"/>
          <w:szCs w:val="22"/>
        </w:rPr>
        <w:t>bas-fonds  rizicoles, la mise en place de périmètres maraîchers</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ainsi que la réalisation d’un </w:t>
      </w:r>
      <w:r w:rsidRPr="00771667">
        <w:rPr>
          <w:rFonts w:ascii="Times New Roman" w:hAnsi="Times New Roman"/>
          <w:b/>
          <w:sz w:val="22"/>
          <w:szCs w:val="22"/>
        </w:rPr>
        <w:t>puits</w:t>
      </w:r>
      <w:r w:rsidRPr="00771667">
        <w:rPr>
          <w:rFonts w:ascii="Times New Roman" w:hAnsi="Times New Roman"/>
          <w:sz w:val="22"/>
          <w:szCs w:val="22"/>
        </w:rPr>
        <w:t xml:space="preserve">, l’acquisition d’un </w:t>
      </w:r>
      <w:r w:rsidRPr="00771667">
        <w:rPr>
          <w:rFonts w:ascii="Times New Roman" w:hAnsi="Times New Roman"/>
          <w:b/>
          <w:sz w:val="22"/>
          <w:szCs w:val="22"/>
        </w:rPr>
        <w:t>moulin</w:t>
      </w:r>
      <w:r w:rsidRPr="00771667">
        <w:rPr>
          <w:rFonts w:ascii="Times New Roman" w:hAnsi="Times New Roman"/>
          <w:sz w:val="22"/>
          <w:szCs w:val="22"/>
        </w:rPr>
        <w:t xml:space="preserve">, d’un </w:t>
      </w:r>
      <w:r w:rsidRPr="00771667">
        <w:rPr>
          <w:rFonts w:ascii="Times New Roman" w:hAnsi="Times New Roman"/>
          <w:b/>
          <w:sz w:val="22"/>
          <w:szCs w:val="22"/>
        </w:rPr>
        <w:t>magasin de stockage et de conditionnement</w:t>
      </w:r>
      <w:r w:rsidRPr="00771667">
        <w:rPr>
          <w:rFonts w:ascii="Times New Roman" w:hAnsi="Times New Roman"/>
          <w:sz w:val="22"/>
          <w:szCs w:val="22"/>
        </w:rPr>
        <w:t xml:space="preserve"> et la </w:t>
      </w:r>
      <w:r w:rsidRPr="00771667">
        <w:rPr>
          <w:rFonts w:ascii="Times New Roman" w:hAnsi="Times New Roman"/>
          <w:b/>
          <w:sz w:val="22"/>
          <w:szCs w:val="22"/>
        </w:rPr>
        <w:t>réhabilitation de vergers de banane</w:t>
      </w:r>
      <w:r w:rsidRPr="00771667">
        <w:rPr>
          <w:rFonts w:ascii="Times New Roman" w:hAnsi="Times New Roman"/>
          <w:sz w:val="22"/>
          <w:szCs w:val="22"/>
        </w:rPr>
        <w:t>. Un besoin de réfection d’un tronçon de piste avait été exprimé pour permettre l’accès à certaines parcelles de banane.</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Une unité de transformation des PFNL sera également installée. </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Elevage. Achat d’un </w:t>
      </w:r>
      <w:r w:rsidRPr="00771667">
        <w:rPr>
          <w:rFonts w:ascii="Times New Roman" w:hAnsi="Times New Roman"/>
          <w:b/>
          <w:sz w:val="22"/>
          <w:szCs w:val="22"/>
        </w:rPr>
        <w:t xml:space="preserve">géniteur ovin </w:t>
      </w:r>
      <w:r w:rsidRPr="00771667">
        <w:rPr>
          <w:rFonts w:ascii="Times New Roman" w:hAnsi="Times New Roman"/>
          <w:sz w:val="22"/>
          <w:szCs w:val="22"/>
        </w:rPr>
        <w:t xml:space="preserve">et </w:t>
      </w:r>
      <w:r w:rsidRPr="00771667">
        <w:rPr>
          <w:rFonts w:ascii="Times New Roman" w:hAnsi="Times New Roman"/>
          <w:b/>
          <w:sz w:val="22"/>
          <w:szCs w:val="22"/>
        </w:rPr>
        <w:t>délimitation des zones de parcours</w:t>
      </w:r>
      <w:r w:rsidRPr="00771667">
        <w:rPr>
          <w:rFonts w:ascii="Times New Roman" w:hAnsi="Times New Roman"/>
          <w:sz w:val="22"/>
          <w:szCs w:val="22"/>
        </w:rPr>
        <w:t xml:space="preserve"> pour lutter contre la divagation du bétail, acquisition de </w:t>
      </w:r>
      <w:r w:rsidRPr="00771667">
        <w:rPr>
          <w:rFonts w:ascii="Times New Roman" w:hAnsi="Times New Roman"/>
          <w:b/>
          <w:sz w:val="22"/>
          <w:szCs w:val="22"/>
        </w:rPr>
        <w:t>coqs raceurs</w:t>
      </w:r>
      <w:r w:rsidRPr="00771667">
        <w:rPr>
          <w:rFonts w:ascii="Times New Roman" w:hAnsi="Times New Roman"/>
          <w:sz w:val="22"/>
          <w:szCs w:val="22"/>
        </w:rPr>
        <w:t xml:space="preserve"> et de </w:t>
      </w:r>
      <w:r w:rsidRPr="00771667">
        <w:rPr>
          <w:rFonts w:ascii="Times New Roman" w:hAnsi="Times New Roman"/>
          <w:b/>
          <w:sz w:val="22"/>
          <w:szCs w:val="22"/>
        </w:rPr>
        <w:t>vaccins</w:t>
      </w:r>
      <w:r w:rsidRPr="00771667">
        <w:rPr>
          <w:rFonts w:ascii="Times New Roman" w:hAnsi="Times New Roman"/>
          <w:sz w:val="22"/>
          <w:szCs w:val="22"/>
        </w:rPr>
        <w:t>. Les financements de l’abri pour les poulaillers seront mobilisés à travers le cofinancement.</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Filières de produits forestiers non ligneux. Le projet mettra l’accent sur les filières karité, fruit du baobab et miel qui sont les plus couramment exploités dans la région. Ils rapportent des revenus assez substantiels aux ménages. De plus, les femmes sont les principales actrices qui travaillent dans la cueillette, la transformation et la commercialisation au niveau local. Les femmes s’impliquent dans ces filières sans en tirer le maximum de bénéfices faute d’infrastructure, d’équipements et d’encadrement. Il s’agira de mettre en place des </w:t>
      </w:r>
      <w:r w:rsidRPr="00771667">
        <w:rPr>
          <w:rFonts w:ascii="Times New Roman" w:hAnsi="Times New Roman"/>
          <w:b/>
          <w:sz w:val="22"/>
          <w:szCs w:val="22"/>
        </w:rPr>
        <w:t>unités de transformations</w:t>
      </w:r>
      <w:r w:rsidRPr="00771667">
        <w:rPr>
          <w:rFonts w:ascii="Times New Roman" w:hAnsi="Times New Roman"/>
          <w:sz w:val="22"/>
          <w:szCs w:val="22"/>
        </w:rPr>
        <w:t xml:space="preserve">. Afin de faciliter des économies d’échelles, un centre de transformation multifonctionnel (Karité, fruit du baobab et miel) sera construit à Salémata. En plus de la production de poudre de fruit du baobab, du matériel pour l’extraction de l’huile de baobab sera installé. Les investissements nécessaires (3 bâtiments, 1 puits, 1 château d’eau, 2 grands bassins, 1 aire de séchage et les équipements, etc.) sont estimés à environ 100 000 000 FCFA. Le centre sera géré par une entité (organisation faîtière) où différents groupements de femmes sont représentés. Le projet aidera dans la mise en place des différents niveaux d’organisation, notamment l’administration et la gestion du centre, la recherche de débouchés et la commercialisation. Le projet contribuera aussi </w:t>
      </w:r>
      <w:r w:rsidR="00D8296A">
        <w:rPr>
          <w:rFonts w:ascii="Times New Roman" w:hAnsi="Times New Roman"/>
          <w:sz w:val="22"/>
          <w:szCs w:val="22"/>
        </w:rPr>
        <w:t>à la promotion de la filière maa</w:t>
      </w:r>
      <w:r w:rsidRPr="00771667">
        <w:rPr>
          <w:rFonts w:ascii="Times New Roman" w:hAnsi="Times New Roman"/>
          <w:sz w:val="22"/>
          <w:szCs w:val="22"/>
        </w:rPr>
        <w:t xml:space="preserve">d à Mako dans les villages concernés par la RNC de Mako. Une petite </w:t>
      </w:r>
      <w:r w:rsidRPr="00771667">
        <w:rPr>
          <w:rFonts w:ascii="Times New Roman" w:hAnsi="Times New Roman"/>
          <w:b/>
          <w:sz w:val="22"/>
          <w:szCs w:val="22"/>
        </w:rPr>
        <w:t>unité multifonctionnel</w:t>
      </w:r>
      <w:r w:rsidR="00D8296A">
        <w:rPr>
          <w:rFonts w:ascii="Times New Roman" w:hAnsi="Times New Roman"/>
          <w:b/>
          <w:sz w:val="22"/>
          <w:szCs w:val="22"/>
        </w:rPr>
        <w:t>le pour la transformation du maa</w:t>
      </w:r>
      <w:r w:rsidRPr="00771667">
        <w:rPr>
          <w:rFonts w:ascii="Times New Roman" w:hAnsi="Times New Roman"/>
          <w:b/>
          <w:sz w:val="22"/>
          <w:szCs w:val="22"/>
        </w:rPr>
        <w:t>d</w:t>
      </w:r>
      <w:r w:rsidRPr="00771667">
        <w:rPr>
          <w:rFonts w:ascii="Times New Roman" w:hAnsi="Times New Roman"/>
          <w:sz w:val="22"/>
          <w:szCs w:val="22"/>
        </w:rPr>
        <w:t xml:space="preserve"> (marmelade, jus et sirop), du miel et du bouye sera construite à Mako. Elle sera constituée de bâtiments (7 000 000 FCFA), équipements (2 frigos, 1 presse artisanale, 1 moulin, 1 maturateur, etc.) (2 500 000 FCFA), une petite centrale de production d’énergie solaire (5 000 000 FCFA). Dans la région de Tambacounda, on retrouve le fruit du baobab, le miel, le fruit du zizyphus, le tamarin, le néré, les gommes mbep et arabique, certaines feuilles et racines, les exsudats, l’igname sauvage. Des sessions d’information, de sensibilisation seront tenues pour développer ces différents produits et leurs filières. Le projet mettra l’accent sur la gomme </w:t>
      </w:r>
      <w:r w:rsidRPr="00771667">
        <w:rPr>
          <w:rFonts w:ascii="Times New Roman" w:hAnsi="Times New Roman"/>
          <w:i/>
          <w:sz w:val="22"/>
          <w:szCs w:val="22"/>
        </w:rPr>
        <w:t>Sterculia setigera</w:t>
      </w:r>
      <w:r w:rsidRPr="00771667">
        <w:rPr>
          <w:rFonts w:ascii="Times New Roman" w:hAnsi="Times New Roman"/>
          <w:sz w:val="22"/>
          <w:szCs w:val="22"/>
        </w:rPr>
        <w:t xml:space="preserve"> qui a une importance particulière  dans la région dans la mesure où elle contribue à l’amélioration des revenus des populations qui s’adonnent à la récolte pendant une bonne partie de l’année. Une </w:t>
      </w:r>
      <w:r w:rsidRPr="00771667">
        <w:rPr>
          <w:rFonts w:ascii="Times New Roman" w:hAnsi="Times New Roman"/>
          <w:b/>
          <w:sz w:val="22"/>
          <w:szCs w:val="22"/>
        </w:rPr>
        <w:t>unité de transformation multifonctionnelle</w:t>
      </w:r>
      <w:r w:rsidRPr="00771667">
        <w:rPr>
          <w:rFonts w:ascii="Times New Roman" w:hAnsi="Times New Roman"/>
          <w:sz w:val="22"/>
          <w:szCs w:val="22"/>
        </w:rPr>
        <w:t xml:space="preserve"> sera installée à Dialakoto. Elle permettra de produire</w:t>
      </w:r>
      <w:r w:rsidR="00D8296A">
        <w:rPr>
          <w:rFonts w:ascii="Times New Roman" w:hAnsi="Times New Roman"/>
          <w:sz w:val="22"/>
          <w:szCs w:val="22"/>
        </w:rPr>
        <w:t xml:space="preserve"> du jus et du sirop de maa</w:t>
      </w:r>
      <w:r w:rsidRPr="00771667">
        <w:rPr>
          <w:rFonts w:ascii="Times New Roman" w:hAnsi="Times New Roman"/>
          <w:sz w:val="22"/>
          <w:szCs w:val="22"/>
        </w:rPr>
        <w:t xml:space="preserve">d. En plus, elle permettra d’extraire l’huile des graines de baobab. Une </w:t>
      </w:r>
      <w:r w:rsidRPr="00771667">
        <w:rPr>
          <w:rFonts w:ascii="Times New Roman" w:hAnsi="Times New Roman"/>
          <w:b/>
          <w:sz w:val="22"/>
          <w:szCs w:val="22"/>
        </w:rPr>
        <w:t>presse manuelle et un foyer</w:t>
      </w:r>
      <w:r w:rsidRPr="00771667">
        <w:rPr>
          <w:rFonts w:ascii="Times New Roman" w:hAnsi="Times New Roman"/>
          <w:sz w:val="22"/>
          <w:szCs w:val="22"/>
        </w:rPr>
        <w:t xml:space="preserve"> amélioré fonctionnant au biogaz seront installés. Le coût de revient est d</w:t>
      </w:r>
      <w:r w:rsidR="00D8296A">
        <w:rPr>
          <w:rFonts w:ascii="Times New Roman" w:hAnsi="Times New Roman"/>
          <w:sz w:val="22"/>
          <w:szCs w:val="22"/>
        </w:rPr>
        <w:t>’environ 20 000 000 FCFA. Le maa</w:t>
      </w:r>
      <w:r w:rsidRPr="00771667">
        <w:rPr>
          <w:rFonts w:ascii="Times New Roman" w:hAnsi="Times New Roman"/>
          <w:sz w:val="22"/>
          <w:szCs w:val="22"/>
        </w:rPr>
        <w:t>d sera vendu en partie localement. Le projet pourra appuyer dans la mise en relation avec des acheteurs au niveau de la région de Dakar et autres grandes villes du Sénégal, au niveau notamment des grandes surfaces.</w:t>
      </w:r>
    </w:p>
    <w:p w:rsidR="00771667" w:rsidRPr="00771667" w:rsidRDefault="00771667" w:rsidP="00771667">
      <w:pPr>
        <w:numPr>
          <w:ilvl w:val="0"/>
          <w:numId w:val="86"/>
        </w:numPr>
        <w:spacing w:after="0"/>
        <w:contextualSpacing/>
        <w:rPr>
          <w:rFonts w:ascii="Times New Roman" w:hAnsi="Times New Roman"/>
          <w:b/>
          <w:sz w:val="22"/>
          <w:szCs w:val="22"/>
        </w:rPr>
      </w:pPr>
      <w:r w:rsidRPr="00771667">
        <w:rPr>
          <w:rFonts w:ascii="Times New Roman" w:hAnsi="Times New Roman"/>
          <w:sz w:val="22"/>
          <w:szCs w:val="22"/>
          <w:u w:val="single"/>
        </w:rPr>
        <w:t>Lutte contre les feux de brousse.</w:t>
      </w:r>
      <w:r w:rsidRPr="00771667">
        <w:rPr>
          <w:rFonts w:ascii="Times New Roman" w:hAnsi="Times New Roman"/>
          <w:b/>
          <w:sz w:val="22"/>
          <w:szCs w:val="22"/>
        </w:rPr>
        <w:t xml:space="preserve"> </w:t>
      </w:r>
      <w:r w:rsidRPr="00771667">
        <w:rPr>
          <w:rFonts w:ascii="Times New Roman" w:hAnsi="Times New Roman"/>
          <w:sz w:val="22"/>
          <w:szCs w:val="22"/>
        </w:rPr>
        <w:t>Réalisation de</w:t>
      </w:r>
      <w:r w:rsidRPr="00771667">
        <w:rPr>
          <w:rFonts w:ascii="Times New Roman" w:hAnsi="Times New Roman"/>
          <w:b/>
          <w:sz w:val="22"/>
          <w:szCs w:val="22"/>
        </w:rPr>
        <w:t xml:space="preserve"> 80 km de pare feu.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Lutte contre l’émission de gaz à effet de serre</w:t>
      </w:r>
      <w:r w:rsidRPr="00771667">
        <w:rPr>
          <w:rFonts w:ascii="Times New Roman" w:hAnsi="Times New Roman"/>
          <w:sz w:val="22"/>
          <w:szCs w:val="22"/>
        </w:rPr>
        <w:t xml:space="preserve">. Mise en place de </w:t>
      </w:r>
      <w:r w:rsidRPr="00771667">
        <w:rPr>
          <w:rFonts w:ascii="Times New Roman" w:hAnsi="Times New Roman"/>
          <w:b/>
          <w:sz w:val="22"/>
          <w:szCs w:val="22"/>
        </w:rPr>
        <w:t>4 kits de biogaz</w:t>
      </w:r>
      <w:r w:rsidRPr="00771667">
        <w:rPr>
          <w:rFonts w:ascii="Times New Roman" w:hAnsi="Times New Roman"/>
          <w:sz w:val="22"/>
          <w:szCs w:val="22"/>
        </w:rPr>
        <w:t xml:space="preserve"> qui sera confiée à Bamtaaré qui est chargé de la mise en œuvre du Programme National de Biogaz au niveau de Kédougou. Des </w:t>
      </w:r>
      <w:r w:rsidRPr="00771667">
        <w:rPr>
          <w:rFonts w:ascii="Times New Roman" w:hAnsi="Times New Roman"/>
          <w:b/>
          <w:sz w:val="22"/>
          <w:szCs w:val="22"/>
        </w:rPr>
        <w:t>foyers améliorés</w:t>
      </w:r>
      <w:r w:rsidRPr="00771667">
        <w:rPr>
          <w:rFonts w:ascii="Times New Roman" w:hAnsi="Times New Roman"/>
          <w:sz w:val="22"/>
          <w:szCs w:val="22"/>
        </w:rPr>
        <w:t xml:space="preserve"> seront installés pour 1000 ménages (parmi les plus démunie) répartis dans les différents villages concernés par les RNC. Cela représente un coût global de 7 500 000 FCFA. Le projet aidera au renforcement des capacités de quelques forges artisanales locales dans la production des foyers améliorés. Afin de faciliter une diffusion à grande échelle, un montant de 5 000 000 FCFA pourrait être dégagé pour les groupements sous forme de crédit revolving pour le financement de la fabrication des foyers améliorés. Les groupements assureraient la commercialisation auprès des membres et d’autres acteurs.</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Sessions de formation.</w:t>
      </w:r>
      <w:r w:rsidRPr="00771667">
        <w:rPr>
          <w:rFonts w:ascii="Times New Roman" w:hAnsi="Times New Roman"/>
          <w:b/>
          <w:sz w:val="22"/>
          <w:szCs w:val="22"/>
        </w:rPr>
        <w:t xml:space="preserve">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 xml:space="preserve">Deux sessions </w:t>
      </w:r>
      <w:r w:rsidRPr="00771667">
        <w:rPr>
          <w:rFonts w:ascii="Times New Roman" w:hAnsi="Times New Roman"/>
          <w:b/>
          <w:sz w:val="22"/>
          <w:szCs w:val="22"/>
        </w:rPr>
        <w:t>d’alphabétisation fonctionnelle</w:t>
      </w:r>
      <w:r w:rsidRPr="00771667">
        <w:rPr>
          <w:rFonts w:ascii="Times New Roman" w:hAnsi="Times New Roman"/>
          <w:sz w:val="22"/>
          <w:szCs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à Ranérou.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615"/>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64"/>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0"/>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saignée de gomme sterculia</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bl>
    <w:p w:rsidR="00771667" w:rsidRPr="00771667" w:rsidRDefault="00771667" w:rsidP="00771667">
      <w:pPr>
        <w:spacing w:before="120" w:after="120"/>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17</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l'agriculture p</w:t>
      </w:r>
      <w:r w:rsidR="008712CB">
        <w:rPr>
          <w:rFonts w:ascii="Times New Roman" w:eastAsia="Times New Roman" w:hAnsi="Times New Roman"/>
          <w:b/>
          <w:bCs/>
          <w:i/>
          <w:sz w:val="22"/>
        </w:rPr>
        <w:t>our le site du Niokolo-</w:t>
      </w:r>
      <w:r w:rsidRPr="00771667">
        <w:rPr>
          <w:rFonts w:ascii="Times New Roman" w:eastAsia="Times New Roman" w:hAnsi="Times New Roman"/>
          <w:b/>
          <w:bCs/>
          <w:i/>
          <w:sz w:val="22"/>
        </w:rPr>
        <w:t>Koba</w:t>
      </w:r>
    </w:p>
    <w:tbl>
      <w:tblPr>
        <w:tblW w:w="0" w:type="auto"/>
        <w:tblInd w:w="55" w:type="dxa"/>
        <w:tblCellMar>
          <w:left w:w="70" w:type="dxa"/>
          <w:right w:w="70" w:type="dxa"/>
        </w:tblCellMar>
        <w:tblLook w:val="04A0" w:firstRow="1" w:lastRow="0" w:firstColumn="1" w:lastColumn="0" w:noHBand="0" w:noVBand="1"/>
      </w:tblPr>
      <w:tblGrid>
        <w:gridCol w:w="3226"/>
        <w:gridCol w:w="1090"/>
        <w:gridCol w:w="1279"/>
        <w:gridCol w:w="3406"/>
      </w:tblGrid>
      <w:tr w:rsidR="00771667" w:rsidRPr="00771667" w:rsidTr="00075058">
        <w:trPr>
          <w:trHeight w:val="74"/>
        </w:trPr>
        <w:tc>
          <w:tcPr>
            <w:tcW w:w="0" w:type="auto"/>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0" w:type="auto"/>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0" w:type="auto"/>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6602F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Partenaires éventuels pour cofinancements</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Achat de coqs raceurs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F12E0C">
        <w:trPr>
          <w:trHeight w:val="1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Puits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Pare-feu</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80 km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21 000 000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PRODAC</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25 000 000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Magasin de stockage et conditionnement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Biogaz</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3 520 000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PRODAC</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Acquisition de vaccins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Parc à vaccination et appui</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Géniteur Ladoum</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Moulins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1 600 000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Délimitation zone de parcours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12 500 000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 PRODAC</w:t>
            </w:r>
          </w:p>
        </w:tc>
      </w:tr>
      <w:tr w:rsidR="00771667" w:rsidRPr="00771667" w:rsidTr="00075058">
        <w:trPr>
          <w:trHeight w:val="1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Unité de transformation multifonctionnelle</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114 500 000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7 000 000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1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Mise en place de foyers améliorés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spacing w:after="0"/>
              <w:jc w:val="center"/>
              <w:rPr>
                <w:rFonts w:ascii="Times New Roman" w:eastAsia="Times New Roman" w:hAnsi="Times New Roman"/>
                <w:color w:val="000000"/>
                <w:szCs w:val="20"/>
              </w:rPr>
            </w:pPr>
            <w:r>
              <w:rPr>
                <w:rFonts w:ascii="Times New Roman" w:eastAsia="Times New Roman" w:hAnsi="Times New Roman"/>
                <w:color w:val="000000"/>
                <w:szCs w:val="20"/>
              </w:rPr>
              <w:t>1000 </w:t>
            </w:r>
            <w:r w:rsidR="00771667" w:rsidRPr="00771667">
              <w:rPr>
                <w:rFonts w:ascii="Times New Roman" w:eastAsia="Times New Roman" w:hAnsi="Times New Roman"/>
                <w:color w:val="000000"/>
                <w:szCs w:val="20"/>
              </w:rPr>
              <w:t>foyers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7 500 000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91"/>
        </w:numPr>
        <w:spacing w:after="0"/>
        <w:contextualSpacing/>
        <w:rPr>
          <w:rFonts w:ascii="Times New Roman" w:hAnsi="Times New Roman"/>
          <w:sz w:val="22"/>
          <w:u w:val="single"/>
        </w:rPr>
      </w:pPr>
      <w:r w:rsidRPr="00771667">
        <w:rPr>
          <w:rFonts w:ascii="Times New Roman" w:hAnsi="Times New Roman"/>
          <w:sz w:val="22"/>
          <w:u w:val="single"/>
        </w:rPr>
        <w:t xml:space="preserve">Création d’un centre de formation polyvalent. </w:t>
      </w:r>
      <w:r w:rsidRPr="00771667">
        <w:rPr>
          <w:rFonts w:ascii="Times New Roman" w:hAnsi="Times New Roman"/>
          <w:sz w:val="22"/>
        </w:rPr>
        <w:t>Le Centre de formation polyvalent comportera une salle de réunion/formation d’une capacité de d’environ 30 personnes, un garage pour plusieurs véhicules (lourds et légers), des magasins pour le stockage de produits et différents matériels de lutte contre les feux de brousse, etc. Le coût d’un centre du genre est estimé à environ 100 000 000 FCFA (pris en charge par la Direction des Eaux et Forêts dans le cadre de sa mission de lutte contre les feux de brousses). Le centre sera construit à Salémata. Il sera multifonctionnel et pourra ainsi abriter différents événements organisés par les acteurs dans la zone de Tamba-Kédougou.</w:t>
      </w:r>
      <w:r w:rsidRPr="00771667">
        <w:rPr>
          <w:rFonts w:ascii="Times New Roman" w:hAnsi="Times New Roman"/>
          <w:sz w:val="22"/>
          <w:u w:val="single"/>
        </w:rPr>
        <w:t xml:space="preserve"> </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 xml:space="preserve">Lutte contre les feux de brousse. </w:t>
      </w:r>
      <w:r w:rsidRPr="00771667">
        <w:rPr>
          <w:rFonts w:ascii="Times New Roman" w:eastAsia="Times New Roman" w:hAnsi="Times New Roman"/>
          <w:sz w:val="22"/>
        </w:rPr>
        <w:t xml:space="preserve">Un montant de 150 000 000 FCFA sera dégagé pour </w:t>
      </w:r>
      <w:r w:rsidRPr="00771667">
        <w:rPr>
          <w:rFonts w:ascii="Times New Roman" w:eastAsia="Times New Roman" w:hAnsi="Times New Roman"/>
          <w:b/>
          <w:sz w:val="22"/>
        </w:rPr>
        <w:t>l’achat d’un gradeur et d’un tracteur pour l’ouverture et l’entretien de pare feu</w:t>
      </w:r>
      <w:r w:rsidRPr="00771667">
        <w:rPr>
          <w:rFonts w:ascii="Times New Roman" w:eastAsia="Times New Roman" w:hAnsi="Times New Roman"/>
          <w:sz w:val="22"/>
        </w:rPr>
        <w:t xml:space="preserve">, de </w:t>
      </w:r>
      <w:r w:rsidRPr="00771667">
        <w:rPr>
          <w:rFonts w:ascii="Times New Roman" w:eastAsia="Times New Roman" w:hAnsi="Times New Roman"/>
          <w:b/>
          <w:sz w:val="22"/>
        </w:rPr>
        <w:t>camions citernes et de matériel de lutte contre les feux de brousse</w:t>
      </w:r>
      <w:r w:rsidRPr="00771667">
        <w:rPr>
          <w:rFonts w:ascii="Times New Roman" w:eastAsia="Times New Roman" w:hAnsi="Times New Roman"/>
          <w:sz w:val="22"/>
        </w:rPr>
        <w:t xml:space="preserve">. Le projet procédera à </w:t>
      </w:r>
      <w:r w:rsidRPr="00771667">
        <w:rPr>
          <w:rFonts w:ascii="Times New Roman" w:eastAsia="Times New Roman" w:hAnsi="Times New Roman"/>
          <w:b/>
          <w:sz w:val="22"/>
        </w:rPr>
        <w:t>l’ouverture d’au moins 200 km de pare feu</w:t>
      </w:r>
      <w:r w:rsidRPr="00771667">
        <w:rPr>
          <w:rFonts w:ascii="Times New Roman" w:eastAsia="Times New Roman" w:hAnsi="Times New Roman"/>
          <w:sz w:val="22"/>
        </w:rPr>
        <w:t xml:space="preserve">. A raison de 75 000 FCFA le coût du km, le coût global de l’opération est pour un montant d’au moins 15 000 000 FCFA. Le coût de </w:t>
      </w:r>
      <w:r w:rsidRPr="00771667">
        <w:rPr>
          <w:rFonts w:ascii="Times New Roman" w:eastAsia="Times New Roman" w:hAnsi="Times New Roman"/>
          <w:b/>
          <w:sz w:val="22"/>
        </w:rPr>
        <w:t>l’équipement des comités de lutte contre les feux de brousse</w:t>
      </w:r>
      <w:r w:rsidR="00E404FB">
        <w:rPr>
          <w:rFonts w:ascii="Times New Roman" w:eastAsia="Times New Roman" w:hAnsi="Times New Roman"/>
          <w:sz w:val="22"/>
        </w:rPr>
        <w:t xml:space="preserve"> peut être estimé à </w:t>
      </w:r>
      <w:r w:rsidRPr="00771667">
        <w:rPr>
          <w:rFonts w:ascii="Times New Roman" w:eastAsia="Times New Roman" w:hAnsi="Times New Roman"/>
          <w:sz w:val="22"/>
        </w:rPr>
        <w:t>environ 2 000 000 FCFA.</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Développement de l’écotourisme.</w:t>
      </w:r>
      <w:r w:rsidRPr="00771667">
        <w:rPr>
          <w:rFonts w:ascii="Times New Roman" w:eastAsia="Times New Roman" w:hAnsi="Times New Roman"/>
          <w:sz w:val="22"/>
        </w:rPr>
        <w:t xml:space="preserve"> La </w:t>
      </w:r>
      <w:r w:rsidRPr="00771667">
        <w:rPr>
          <w:rFonts w:ascii="Times New Roman" w:eastAsia="Times New Roman" w:hAnsi="Times New Roman"/>
          <w:b/>
          <w:sz w:val="22"/>
        </w:rPr>
        <w:t>construction d’un centre ou case écotouristique</w:t>
      </w:r>
      <w:r w:rsidRPr="00771667">
        <w:rPr>
          <w:rFonts w:ascii="Times New Roman" w:eastAsia="Times New Roman" w:hAnsi="Times New Roman"/>
          <w:sz w:val="22"/>
        </w:rPr>
        <w:t xml:space="preserve"> au niveau local revient à 5 000 000 FCFA l’unité. La </w:t>
      </w:r>
      <w:r w:rsidRPr="00771667">
        <w:rPr>
          <w:rFonts w:ascii="Times New Roman" w:eastAsia="Times New Roman" w:hAnsi="Times New Roman"/>
          <w:b/>
          <w:sz w:val="22"/>
        </w:rPr>
        <w:t>formation de 2 éco gardes</w:t>
      </w:r>
      <w:r w:rsidRPr="00771667">
        <w:rPr>
          <w:rFonts w:ascii="Times New Roman" w:eastAsia="Times New Roman" w:hAnsi="Times New Roman"/>
          <w:sz w:val="22"/>
        </w:rPr>
        <w:t xml:space="preserve"> coûte 60 000 FCFA. Ils seront dotés en </w:t>
      </w:r>
      <w:r w:rsidRPr="00771667">
        <w:rPr>
          <w:rFonts w:ascii="Times New Roman" w:eastAsia="Times New Roman" w:hAnsi="Times New Roman"/>
          <w:b/>
          <w:sz w:val="22"/>
        </w:rPr>
        <w:t>vélo</w:t>
      </w:r>
      <w:r w:rsidRPr="00771667">
        <w:rPr>
          <w:rFonts w:ascii="Times New Roman" w:eastAsia="Times New Roman" w:hAnsi="Times New Roman"/>
          <w:sz w:val="22"/>
        </w:rPr>
        <w:t xml:space="preserve"> 80 000 FCFA (pour les deux vélos). Il faudra leur confectionner des </w:t>
      </w:r>
      <w:r w:rsidRPr="00771667">
        <w:rPr>
          <w:rFonts w:ascii="Times New Roman" w:eastAsia="Times New Roman" w:hAnsi="Times New Roman"/>
          <w:b/>
          <w:sz w:val="22"/>
        </w:rPr>
        <w:t>tenues</w:t>
      </w:r>
      <w:r w:rsidRPr="00771667">
        <w:rPr>
          <w:rFonts w:ascii="Times New Roman" w:eastAsia="Times New Roman" w:hAnsi="Times New Roman"/>
          <w:sz w:val="22"/>
        </w:rPr>
        <w:t xml:space="preserve"> qui reviennent à environ 40 000 et des </w:t>
      </w:r>
      <w:r w:rsidRPr="00771667">
        <w:rPr>
          <w:rFonts w:ascii="Times New Roman" w:eastAsia="Times New Roman" w:hAnsi="Times New Roman"/>
          <w:b/>
          <w:sz w:val="22"/>
        </w:rPr>
        <w:t>chaussures</w:t>
      </w:r>
      <w:r w:rsidRPr="00771667">
        <w:rPr>
          <w:rFonts w:ascii="Times New Roman" w:eastAsia="Times New Roman" w:hAnsi="Times New Roman"/>
          <w:sz w:val="22"/>
        </w:rPr>
        <w:t xml:space="preserve"> pour 20 000 FCFA et des badges pour faciliter leur identification tout en veillant à qu’ils ne se substituent pas aux agents forestiers</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7 RNC, un montant d’environ 45 500 000 FCFA (6 500 000 FCFA x 7), permettra de réactualiser les plans d’aménagement, intégrant l’analyse de la situation de référence et les consultations publiques.</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Sessions de formation </w:t>
      </w:r>
      <w:r w:rsidRPr="00771667">
        <w:rPr>
          <w:rFonts w:ascii="Times New Roman" w:hAnsi="Times New Roman"/>
          <w:sz w:val="22"/>
        </w:rPr>
        <w:t xml:space="preserve">sur les techniques de lutte contre les feux de brousse et les techniques de transformation des produits forestiers non ligneux. </w:t>
      </w:r>
    </w:p>
    <w:p w:rsidR="00771667" w:rsidRPr="00771667" w:rsidRDefault="00771667" w:rsidP="00771667">
      <w:pPr>
        <w:spacing w:after="0"/>
        <w:ind w:left="720"/>
        <w:jc w:val="left"/>
        <w:rPr>
          <w:rFonts w:ascii="Times New Roman" w:hAnsi="Times New Roman"/>
          <w:sz w:val="22"/>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18</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 l</w:t>
      </w:r>
      <w:r w:rsidR="008712CB">
        <w:rPr>
          <w:rFonts w:ascii="Times New Roman" w:eastAsia="Times New Roman" w:hAnsi="Times New Roman"/>
          <w:b/>
          <w:bCs/>
          <w:i/>
          <w:sz w:val="22"/>
        </w:rPr>
        <w:t>a forêt pour le site du Niokolo-</w:t>
      </w:r>
      <w:r w:rsidRPr="00771667">
        <w:rPr>
          <w:rFonts w:ascii="Times New Roman" w:eastAsia="Times New Roman" w:hAnsi="Times New Roman"/>
          <w:b/>
          <w:bCs/>
          <w:i/>
          <w:sz w:val="22"/>
        </w:rPr>
        <w:t>Koba</w:t>
      </w:r>
    </w:p>
    <w:tbl>
      <w:tblPr>
        <w:tblW w:w="8720" w:type="dxa"/>
        <w:tblInd w:w="55" w:type="dxa"/>
        <w:tblLayout w:type="fixed"/>
        <w:tblCellMar>
          <w:left w:w="70" w:type="dxa"/>
          <w:right w:w="70" w:type="dxa"/>
        </w:tblCellMar>
        <w:tblLook w:val="04A0" w:firstRow="1" w:lastRow="0" w:firstColumn="1" w:lastColumn="0" w:noHBand="0" w:noVBand="1"/>
      </w:tblPr>
      <w:tblGrid>
        <w:gridCol w:w="3276"/>
        <w:gridCol w:w="1824"/>
        <w:gridCol w:w="1480"/>
        <w:gridCol w:w="2140"/>
      </w:tblGrid>
      <w:tr w:rsidR="00771667" w:rsidRPr="00771667" w:rsidTr="00075058">
        <w:trPr>
          <w:trHeight w:val="440"/>
        </w:trPr>
        <w:tc>
          <w:tcPr>
            <w:tcW w:w="327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1824"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66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6602F7" w:rsidP="00771667">
            <w:pPr>
              <w:jc w:val="center"/>
              <w:rPr>
                <w:rFonts w:ascii="Times New Roman" w:eastAsia="Times New Roman" w:hAnsi="Times New Roman"/>
                <w:color w:val="000000"/>
                <w:szCs w:val="18"/>
              </w:rPr>
            </w:pPr>
            <w:r>
              <w:rPr>
                <w:rFonts w:ascii="Times New Roman" w:eastAsia="Times New Roman" w:hAnsi="Times New Roman"/>
                <w:color w:val="000000"/>
                <w:szCs w:val="18"/>
              </w:rPr>
              <w:t>É</w:t>
            </w:r>
            <w:r w:rsidR="00771667" w:rsidRPr="00771667">
              <w:rPr>
                <w:rFonts w:ascii="Times New Roman" w:eastAsia="Times New Roman" w:hAnsi="Times New Roman"/>
                <w:color w:val="000000"/>
                <w:szCs w:val="18"/>
              </w:rPr>
              <w:t>quipement des comités de lutte contre les feux de brousse</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200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Gradeur, tracteur et citerne</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Centre écotouristique et personnel</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à l'unité</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5 260 000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7</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45 500 000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Pr>
        <w:spacing w:after="0"/>
        <w:rPr>
          <w:rFonts w:ascii="Times" w:eastAsia="Times" w:hAnsi="Times"/>
          <w:sz w:val="24"/>
        </w:rPr>
      </w:pPr>
    </w:p>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bookmarkStart w:id="152" w:name="_Toc339209638"/>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53" w:name="_Toc496886603"/>
      <w:bookmarkStart w:id="154" w:name="_Toc498638440"/>
      <w:bookmarkEnd w:id="152"/>
      <w:r w:rsidRPr="00771667">
        <w:rPr>
          <w:rFonts w:eastAsia="MS Gothic"/>
          <w:b/>
          <w:bCs/>
          <w:color w:val="4F81BD"/>
          <w:sz w:val="26"/>
          <w:szCs w:val="26"/>
          <w:lang w:eastAsia="fr-FR"/>
        </w:rPr>
        <w:t>B.V. Bilan des propositions chiffrées pour les quatre zones du projet</w:t>
      </w:r>
      <w:bookmarkEnd w:id="153"/>
      <w:bookmarkEnd w:id="154"/>
    </w:p>
    <w:p w:rsidR="00771667" w:rsidRPr="00771667" w:rsidRDefault="00771667" w:rsidP="00771667">
      <w:pPr>
        <w:rPr>
          <w:b/>
          <w:u w:val="single"/>
        </w:rPr>
      </w:pPr>
    </w:p>
    <w:tbl>
      <w:tblPr>
        <w:tblW w:w="14739" w:type="dxa"/>
        <w:tblInd w:w="55" w:type="dxa"/>
        <w:tblCellMar>
          <w:left w:w="70" w:type="dxa"/>
          <w:right w:w="70" w:type="dxa"/>
        </w:tblCellMar>
        <w:tblLook w:val="04A0" w:firstRow="1" w:lastRow="0" w:firstColumn="1" w:lastColumn="0" w:noHBand="0" w:noVBand="1"/>
      </w:tblPr>
      <w:tblGrid>
        <w:gridCol w:w="1638"/>
        <w:gridCol w:w="1247"/>
        <w:gridCol w:w="1092"/>
        <w:gridCol w:w="1197"/>
        <w:gridCol w:w="1000"/>
        <w:gridCol w:w="1320"/>
        <w:gridCol w:w="1197"/>
        <w:gridCol w:w="920"/>
        <w:gridCol w:w="1120"/>
        <w:gridCol w:w="1197"/>
        <w:gridCol w:w="905"/>
        <w:gridCol w:w="952"/>
        <w:gridCol w:w="1204"/>
      </w:tblGrid>
      <w:tr w:rsidR="00771667" w:rsidRPr="00771667" w:rsidTr="00075058">
        <w:trPr>
          <w:trHeight w:val="300"/>
        </w:trPr>
        <w:tc>
          <w:tcPr>
            <w:tcW w:w="1638" w:type="dxa"/>
            <w:tcBorders>
              <w:top w:val="nil"/>
              <w:left w:val="nil"/>
              <w:bottom w:val="nil"/>
              <w:right w:val="nil"/>
            </w:tcBorders>
            <w:shd w:val="clear" w:color="auto" w:fill="auto"/>
            <w:noWrap/>
            <w:vAlign w:val="bottom"/>
            <w:hideMark/>
          </w:tcPr>
          <w:p w:rsidR="00771667" w:rsidRPr="00771667" w:rsidRDefault="00771667" w:rsidP="00771667">
            <w:pPr>
              <w:rPr>
                <w:rFonts w:eastAsia="Times New Roman"/>
                <w:color w:val="000000"/>
                <w:sz w:val="16"/>
                <w:szCs w:val="16"/>
              </w:rPr>
            </w:pPr>
          </w:p>
        </w:tc>
        <w:tc>
          <w:tcPr>
            <w:tcW w:w="3440" w:type="dxa"/>
            <w:gridSpan w:val="3"/>
            <w:tcBorders>
              <w:top w:val="single" w:sz="4" w:space="0" w:color="auto"/>
              <w:left w:val="single" w:sz="4" w:space="0" w:color="auto"/>
              <w:bottom w:val="single" w:sz="4" w:space="0" w:color="auto"/>
              <w:right w:val="single" w:sz="4" w:space="0" w:color="000000"/>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Delta Sénégal</w:t>
            </w:r>
          </w:p>
        </w:tc>
        <w:tc>
          <w:tcPr>
            <w:tcW w:w="3420"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Delta du Saloum</w:t>
            </w:r>
          </w:p>
        </w:tc>
        <w:tc>
          <w:tcPr>
            <w:tcW w:w="3180"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Ferlo</w:t>
            </w:r>
          </w:p>
        </w:tc>
        <w:tc>
          <w:tcPr>
            <w:tcW w:w="3061"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8712CB" w:rsidP="00771667">
            <w:pPr>
              <w:jc w:val="center"/>
              <w:rPr>
                <w:rFonts w:eastAsia="Times New Roman"/>
                <w:b/>
                <w:bCs/>
                <w:color w:val="000000"/>
                <w:sz w:val="16"/>
                <w:szCs w:val="16"/>
              </w:rPr>
            </w:pPr>
            <w:r>
              <w:rPr>
                <w:rFonts w:eastAsia="Times New Roman"/>
                <w:b/>
                <w:bCs/>
                <w:color w:val="000000"/>
                <w:sz w:val="16"/>
                <w:szCs w:val="16"/>
              </w:rPr>
              <w:t>Niokolo-</w:t>
            </w:r>
            <w:r w:rsidR="00771667" w:rsidRPr="00771667">
              <w:rPr>
                <w:rFonts w:eastAsia="Times New Roman"/>
                <w:b/>
                <w:bCs/>
                <w:color w:val="000000"/>
                <w:sz w:val="16"/>
                <w:szCs w:val="16"/>
              </w:rPr>
              <w:t>Koba</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42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18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061"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r>
      <w:tr w:rsidR="00771667" w:rsidRPr="00771667" w:rsidTr="00075058">
        <w:trPr>
          <w:trHeight w:val="529"/>
        </w:trPr>
        <w:tc>
          <w:tcPr>
            <w:tcW w:w="1638" w:type="dxa"/>
            <w:tcBorders>
              <w:top w:val="nil"/>
              <w:left w:val="single" w:sz="4" w:space="0" w:color="auto"/>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Type</w:t>
            </w:r>
          </w:p>
        </w:tc>
        <w:tc>
          <w:tcPr>
            <w:tcW w:w="1247"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092"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01"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1000"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32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0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920"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12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4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905"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952"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204"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r>
      <w:tr w:rsidR="00771667" w:rsidRPr="00771667" w:rsidTr="00075058">
        <w:trPr>
          <w:trHeight w:val="10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bassin versant</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400 ha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30 000 000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400 ha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mares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 fonds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40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 ha</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32"/>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(puits)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0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(forages)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(PDIDAS)</w:t>
            </w:r>
          </w:p>
        </w:tc>
        <w:tc>
          <w:tcPr>
            <w:tcW w:w="1247"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 (provision pour récupération de terres salées)</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50 000 000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PDIDAS</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42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180"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061" w:type="dxa"/>
            <w:gridSpan w:val="3"/>
            <w:tcBorders>
              <w:top w:val="single" w:sz="4" w:space="0" w:color="auto"/>
              <w:left w:val="nil"/>
              <w:bottom w:val="single" w:sz="4" w:space="0" w:color="auto"/>
              <w:right w:val="single" w:sz="4" w:space="0" w:color="000000"/>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r>
      <w:tr w:rsidR="00771667" w:rsidRPr="00771667" w:rsidTr="00075058">
        <w:trPr>
          <w:trHeight w:val="8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Appui aux femmes pour le commerce. Transformation, produits halieutiques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FAO</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25"/>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bassin aquacole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Achat de coqs raceurs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4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Pirogue et équipements pour ostréiculture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68"/>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Puits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16 000 000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es-ES"/>
              </w:rPr>
            </w:pPr>
            <w:r w:rsidRPr="00771667">
              <w:rPr>
                <w:rFonts w:eastAsia="Times New Roman"/>
                <w:color w:val="000000"/>
                <w:sz w:val="16"/>
                <w:szCs w:val="16"/>
                <w:lang w:val="es-ES"/>
              </w:rPr>
              <w:t>ANEV, 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Pare-feu</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 km</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80 km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687"/>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Périmètres maraîchers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6,4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es-ES"/>
              </w:rPr>
            </w:pPr>
            <w:r w:rsidRPr="00771667">
              <w:rPr>
                <w:rFonts w:eastAsia="Times New Roman"/>
                <w:color w:val="000000"/>
                <w:sz w:val="16"/>
                <w:szCs w:val="16"/>
                <w:lang w:val="es-ES"/>
              </w:rPr>
              <w:t>ANEV, 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16 000 000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PADAER, ANEV, PRODAM, ADOS</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21 000 000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PRODAC</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bas-fonds rizicoles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12 500 000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311A1A" w:rsidTr="00075058">
        <w:trPr>
          <w:trHeight w:val="31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pépiniètre et jardin fruitier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9375FA" w:rsidTr="00075058">
        <w:trPr>
          <w:trHeight w:val="64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Acquisition d’intrants  (semences, engrais, produits phytosanitaires) </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PAPIL, PAFA- PAFA-E, Wula Nafa,P2RS, (Fonds revolving</w:t>
            </w:r>
            <w:r w:rsidR="00A72504">
              <w:rPr>
                <w:rFonts w:eastAsia="Times New Roman"/>
                <w:color w:val="000000"/>
                <w:sz w:val="16"/>
                <w:szCs w:val="16"/>
                <w:lang w:val="pt-BR"/>
              </w:rPr>
              <w:t> ?</w:t>
            </w:r>
            <w:r w:rsidRPr="00771667">
              <w:rPr>
                <w:rFonts w:eastAsia="Times New Roman"/>
                <w:color w:val="000000"/>
                <w:sz w:val="16"/>
                <w:szCs w:val="16"/>
                <w:lang w:val="pt-BR"/>
              </w:rPr>
              <w:t>)</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9 800 000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PRODAM, ADOS, ANEV, (Fonds revolving</w:t>
            </w:r>
            <w:r w:rsidR="00A72504">
              <w:rPr>
                <w:rFonts w:eastAsia="Times New Roman"/>
                <w:color w:val="000000"/>
                <w:sz w:val="16"/>
                <w:szCs w:val="16"/>
                <w:lang w:val="pt-BR"/>
              </w:rPr>
              <w:t> ?</w:t>
            </w:r>
            <w:r w:rsidRPr="00771667">
              <w:rPr>
                <w:rFonts w:eastAsia="Times New Roman"/>
                <w:color w:val="000000"/>
                <w:sz w:val="16"/>
                <w:szCs w:val="16"/>
                <w:lang w:val="pt-BR"/>
              </w:rPr>
              <w:t>)</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Ruches et équipements pour l'apiculture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40 villages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35 000 000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44 villages</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35 000 000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bas-fonds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20 ha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311A1A"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Mesures CES/DES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Diffusion de foyers améliorés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Plateforme multifonctionnelle et séchoir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114 500 000   </w:t>
            </w:r>
          </w:p>
        </w:tc>
        <w:tc>
          <w:tcPr>
            <w:tcW w:w="1204"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d'unités de transformation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Magasin de stockage et conditionnement </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311A1A"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mares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180 000 000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CECI, ANCAR, FAO, 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Fourneaux diambar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CECI, ANCAR, FAO</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10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Biogaz</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17 600 000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CECI, ANCAR, FAO, 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3 520 000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PRODAC</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Foyers améliorés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 foyers</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Acquisition de vaccins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6 500 000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ADOS, ANEV</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Matériel de lutte contre les feux de brousse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Parc à vaccination et appui</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ADOS, CECI, ANEV</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Géniteur Ladoum</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Moulins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1 600 000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Délimitation zone de parcours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12 500 000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 PRODAC</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Micro-jardinage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60000000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Récupération de terres salées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 ha</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Sessions de 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30 jours et 6 sessions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Construction poulailler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1400000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Etudes de filières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Installation de périmètres de gomme arabique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5ha pour chacun des 44 villages</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550 000 000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420" w:type="dxa"/>
            <w:gridSpan w:val="3"/>
            <w:tcBorders>
              <w:top w:val="single" w:sz="4" w:space="0" w:color="auto"/>
              <w:left w:val="nil"/>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180" w:type="dxa"/>
            <w:gridSpan w:val="3"/>
            <w:tcBorders>
              <w:top w:val="single" w:sz="4" w:space="0" w:color="auto"/>
              <w:left w:val="nil"/>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061"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Réactualisation du plan d'aménagement</w:t>
            </w:r>
          </w:p>
        </w:tc>
        <w:tc>
          <w:tcPr>
            <w:tcW w:w="1247"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6 500 000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52 000 000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19 500 000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7</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45 500 000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6"/>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Pare-feu</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 km</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500 km</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37 500 000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200 km</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Sessions de 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 sessions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8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Equipement des comités de lutte contre les feux de brousse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Gradeur, tracteur, citerne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Etudes de filières</w:t>
            </w:r>
          </w:p>
        </w:tc>
        <w:tc>
          <w:tcPr>
            <w:tcW w:w="1247"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13"/>
        </w:trPr>
        <w:tc>
          <w:tcPr>
            <w:tcW w:w="1638" w:type="dxa"/>
            <w:tcBorders>
              <w:top w:val="nil"/>
              <w:left w:val="single" w:sz="4" w:space="0" w:color="auto"/>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Centre écotouristique et personnel</w:t>
            </w:r>
          </w:p>
        </w:tc>
        <w:tc>
          <w:tcPr>
            <w:tcW w:w="1247"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à l'unité</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5 260 000   </w:t>
            </w:r>
          </w:p>
        </w:tc>
        <w:tc>
          <w:tcPr>
            <w:tcW w:w="1204"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bl>
    <w:p w:rsidR="00771667" w:rsidRPr="00771667" w:rsidRDefault="00771667" w:rsidP="00771667">
      <w:pPr>
        <w:rPr>
          <w:b/>
          <w:u w:val="single"/>
        </w:rPr>
      </w:pPr>
    </w:p>
    <w:p w:rsidR="00771667" w:rsidRDefault="00743B0B">
      <w:pPr>
        <w:spacing w:after="160" w:line="259" w:lineRule="auto"/>
        <w:jc w:val="left"/>
        <w:rPr>
          <w:rFonts w:ascii="Century Gothic" w:hAnsi="Century Gothic"/>
          <w:b/>
          <w:smallCaps/>
          <w:spacing w:val="-2"/>
          <w:sz w:val="28"/>
          <w:szCs w:val="20"/>
        </w:rPr>
        <w:sectPr w:rsidR="00771667" w:rsidSect="00771667">
          <w:pgSz w:w="16838" w:h="11906" w:orient="landscape"/>
          <w:pgMar w:top="1417" w:right="1417" w:bottom="1417" w:left="1417" w:header="708" w:footer="708" w:gutter="0"/>
          <w:cols w:space="708"/>
          <w:docGrid w:linePitch="360"/>
        </w:sectPr>
      </w:pPr>
      <w:r>
        <w:rPr>
          <w:rFonts w:ascii="Century Gothic" w:hAnsi="Century Gothic"/>
          <w:b/>
          <w:smallCaps/>
          <w:spacing w:val="-2"/>
          <w:sz w:val="28"/>
          <w:szCs w:val="20"/>
        </w:rPr>
        <w:br w:type="page"/>
      </w:r>
    </w:p>
    <w:p w:rsidR="00743B0B" w:rsidRDefault="00743B0B">
      <w:pPr>
        <w:spacing w:after="160" w:line="259" w:lineRule="auto"/>
        <w:jc w:val="left"/>
        <w:rPr>
          <w:rFonts w:ascii="Century Gothic" w:hAnsi="Century Gothic"/>
          <w:b/>
          <w:smallCaps/>
          <w:spacing w:val="-2"/>
          <w:sz w:val="28"/>
          <w:szCs w:val="20"/>
        </w:r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55" w:name="_Toc496886604"/>
      <w:bookmarkStart w:id="156" w:name="_Toc498638441"/>
      <w:r w:rsidRPr="00743B0B">
        <w:rPr>
          <w:rFonts w:ascii="Century Gothic" w:hAnsi="Century Gothic"/>
          <w:b/>
          <w:smallCaps/>
          <w:spacing w:val="-2"/>
          <w:sz w:val="28"/>
          <w:szCs w:val="20"/>
        </w:rPr>
        <w:t>Annexe [H].  Rapport d’évaluation principal de la Consultante spécialiste en genre</w:t>
      </w:r>
      <w:bookmarkEnd w:id="155"/>
      <w:bookmarkEnd w:id="156"/>
    </w:p>
    <w:p w:rsidR="00771667" w:rsidRDefault="00771667">
      <w:pPr>
        <w:spacing w:after="160" w:line="259" w:lineRule="auto"/>
        <w:jc w:val="left"/>
      </w:pPr>
    </w:p>
    <w:tbl>
      <w:tblPr>
        <w:tblStyle w:val="Grilledutableau"/>
        <w:tblW w:w="0" w:type="auto"/>
        <w:tblLook w:val="04A0" w:firstRow="1" w:lastRow="0" w:firstColumn="1" w:lastColumn="0" w:noHBand="0" w:noVBand="1"/>
      </w:tblPr>
      <w:tblGrid>
        <w:gridCol w:w="9062"/>
      </w:tblGrid>
      <w:tr w:rsidR="00771667" w:rsidRPr="00771667" w:rsidTr="00075058">
        <w:tc>
          <w:tcPr>
            <w:tcW w:w="9212" w:type="dxa"/>
          </w:tcPr>
          <w:p w:rsidR="00771667" w:rsidRPr="00771667" w:rsidRDefault="00F12E0C" w:rsidP="00F12E0C">
            <w:pPr>
              <w:spacing w:after="160" w:line="259" w:lineRule="auto"/>
              <w:jc w:val="center"/>
              <w:rPr>
                <w:rFonts w:eastAsia="Calibri"/>
                <w:b/>
                <w:sz w:val="24"/>
              </w:rPr>
            </w:pPr>
            <w:r w:rsidRPr="003B7D35">
              <w:rPr>
                <w:rFonts w:eastAsia="Calibri"/>
                <w:b/>
                <w:sz w:val="28"/>
              </w:rPr>
              <w:t>Rapport de la Consultante g</w:t>
            </w:r>
            <w:r w:rsidR="00771667" w:rsidRPr="003B7D35">
              <w:rPr>
                <w:rFonts w:eastAsia="Calibri"/>
                <w:b/>
                <w:sz w:val="28"/>
              </w:rPr>
              <w:t xml:space="preserve">enre du </w:t>
            </w:r>
            <w:r w:rsidR="002272D3" w:rsidRPr="003B7D35">
              <w:rPr>
                <w:rFonts w:eastAsia="Calibri"/>
                <w:b/>
                <w:sz w:val="28"/>
              </w:rPr>
              <w:t>SPP</w:t>
            </w:r>
            <w:r w:rsidR="00771667" w:rsidRPr="003B7D35">
              <w:rPr>
                <w:rFonts w:eastAsia="Calibri"/>
                <w:b/>
                <w:sz w:val="28"/>
              </w:rPr>
              <w:t xml:space="preserve"> du Projet de </w:t>
            </w:r>
            <w:r w:rsidRPr="003B7D35">
              <w:rPr>
                <w:rFonts w:eastAsia="Calibri"/>
                <w:b/>
                <w:sz w:val="28"/>
              </w:rPr>
              <w:t>p</w:t>
            </w:r>
            <w:r w:rsidR="00771667" w:rsidRPr="003B7D35">
              <w:rPr>
                <w:rFonts w:eastAsia="Calibri"/>
                <w:b/>
                <w:sz w:val="28"/>
              </w:rPr>
              <w:t>romotion d’une finance novatrice d’adaptation communautaire autour des réserves naturelles communautaires (pfnac)</w:t>
            </w:r>
          </w:p>
        </w:tc>
      </w:tr>
    </w:tbl>
    <w:p w:rsidR="00771667" w:rsidRPr="00771667" w:rsidRDefault="00771667" w:rsidP="00771667">
      <w:pPr>
        <w:spacing w:after="160" w:line="259" w:lineRule="auto"/>
        <w:jc w:val="center"/>
        <w:rPr>
          <w:rFonts w:eastAsia="Calibri"/>
          <w:b/>
          <w:sz w:val="24"/>
        </w:rPr>
      </w:pPr>
    </w:p>
    <w:sdt>
      <w:sdtPr>
        <w:rPr>
          <w:rFonts w:ascii="Cambria" w:eastAsia="Cambria" w:hAnsi="Cambria" w:cs="Arial"/>
          <w:sz w:val="22"/>
          <w:szCs w:val="22"/>
        </w:rPr>
        <w:id w:val="-2139098421"/>
        <w:docPartObj>
          <w:docPartGallery w:val="Table of Contents"/>
          <w:docPartUnique/>
        </w:docPartObj>
      </w:sdtPr>
      <w:sdtEndPr>
        <w:rPr>
          <w:rFonts w:ascii="Calibri" w:eastAsia="SimSun" w:hAnsi="Calibri" w:cs="Times New Roman"/>
          <w:sz w:val="20"/>
          <w:szCs w:val="24"/>
        </w:rPr>
      </w:sdtEndPr>
      <w:sdtContent>
        <w:p w:rsidR="00771667" w:rsidRPr="00771667" w:rsidRDefault="00771667" w:rsidP="00771667">
          <w:pPr>
            <w:keepNext/>
            <w:keepLines/>
            <w:spacing w:before="480" w:after="0"/>
            <w:rPr>
              <w:rFonts w:eastAsia="MS Gothic"/>
              <w:b/>
              <w:bCs/>
              <w:color w:val="345A8A"/>
              <w:sz w:val="32"/>
              <w:szCs w:val="32"/>
            </w:rPr>
          </w:pPr>
          <w:r w:rsidRPr="00771667">
            <w:rPr>
              <w:rFonts w:eastAsia="MS Gothic"/>
              <w:b/>
              <w:bCs/>
              <w:color w:val="345A8A"/>
              <w:sz w:val="32"/>
              <w:szCs w:val="32"/>
            </w:rPr>
            <w:t>Table des matières</w:t>
          </w:r>
        </w:p>
        <w:p w:rsidR="00771667" w:rsidRPr="00771667" w:rsidRDefault="00771667" w:rsidP="00771667">
          <w:pPr>
            <w:tabs>
              <w:tab w:val="left" w:pos="540"/>
              <w:tab w:val="right" w:leader="dot" w:pos="9304"/>
            </w:tabs>
            <w:rPr>
              <w:b/>
            </w:rPr>
          </w:pPr>
          <w:r w:rsidRPr="00771667">
            <w:rPr>
              <w:b/>
              <w:lang w:eastAsia="fr-FR"/>
            </w:rPr>
            <w:t xml:space="preserve">Introduction générale </w:t>
          </w:r>
          <w:r w:rsidRPr="00771667">
            <w:rPr>
              <w:b/>
            </w:rPr>
            <w:ptab w:relativeTo="margin" w:alignment="right" w:leader="dot"/>
          </w:r>
          <w:r w:rsidR="00FB0986">
            <w:rPr>
              <w:b/>
              <w:bCs/>
            </w:rPr>
            <w:t>191</w:t>
          </w:r>
        </w:p>
        <w:p w:rsidR="00771667" w:rsidRPr="00771667" w:rsidRDefault="00771667" w:rsidP="00771667">
          <w:pPr>
            <w:spacing w:after="100"/>
            <w:rPr>
              <w:b/>
            </w:rPr>
          </w:pPr>
          <w:r w:rsidRPr="00771667">
            <w:rPr>
              <w:b/>
            </w:rPr>
            <w:t xml:space="preserve">Le Sénégal face </w:t>
          </w:r>
          <w:r w:rsidR="00F22AF3">
            <w:rPr>
              <w:b/>
            </w:rPr>
            <w:t>aux changements climatiques</w:t>
          </w:r>
          <w:r w:rsidRPr="00771667">
            <w:rPr>
              <w:b/>
            </w:rPr>
            <w:t xml:space="preserve"> </w:t>
          </w:r>
          <w:r w:rsidRPr="00771667">
            <w:rPr>
              <w:b/>
            </w:rPr>
            <w:ptab w:relativeTo="margin" w:alignment="right" w:leader="dot"/>
          </w:r>
          <w:r w:rsidR="00FB0986">
            <w:rPr>
              <w:b/>
            </w:rPr>
            <w:t>192</w:t>
          </w:r>
        </w:p>
        <w:p w:rsidR="00771667" w:rsidRPr="00771667" w:rsidRDefault="00771667" w:rsidP="00771667">
          <w:pPr>
            <w:spacing w:after="100"/>
            <w:rPr>
              <w:b/>
            </w:rPr>
          </w:pPr>
          <w:r w:rsidRPr="00771667">
            <w:rPr>
              <w:b/>
            </w:rPr>
            <w:t>Vulnérabilité des femmes dans l’accès aux ressources au Sénégal</w:t>
          </w:r>
          <w:r w:rsidRPr="00771667">
            <w:rPr>
              <w:b/>
            </w:rPr>
            <w:ptab w:relativeTo="margin" w:alignment="right" w:leader="dot"/>
          </w:r>
          <w:r w:rsidR="00FB0986">
            <w:rPr>
              <w:b/>
            </w:rPr>
            <w:t>193</w:t>
          </w:r>
        </w:p>
        <w:p w:rsidR="00771667" w:rsidRPr="00771667" w:rsidRDefault="00771667" w:rsidP="00771667">
          <w:pPr>
            <w:tabs>
              <w:tab w:val="left" w:pos="540"/>
              <w:tab w:val="right" w:leader="dot" w:pos="9304"/>
            </w:tabs>
            <w:rPr>
              <w:b/>
            </w:rPr>
          </w:pPr>
          <w:r w:rsidRPr="00771667">
            <w:rPr>
              <w:b/>
              <w:bCs/>
            </w:rPr>
            <w:t>Généralité sur le Genre</w:t>
          </w:r>
          <w:r w:rsidRPr="00771667">
            <w:rPr>
              <w:b/>
            </w:rPr>
            <w:ptab w:relativeTo="margin" w:alignment="right" w:leader="dot"/>
          </w:r>
          <w:r w:rsidR="00FB0986">
            <w:rPr>
              <w:b/>
              <w:bCs/>
            </w:rPr>
            <w:t>194</w:t>
          </w:r>
        </w:p>
        <w:p w:rsidR="00771667" w:rsidRPr="00771667" w:rsidRDefault="00771667" w:rsidP="00771667">
          <w:pPr>
            <w:spacing w:after="100"/>
            <w:rPr>
              <w:b/>
            </w:rPr>
          </w:pPr>
          <w:r w:rsidRPr="00771667">
            <w:rPr>
              <w:b/>
            </w:rPr>
            <w:t>Bonne pratiques d’intégration du genre dans un programme de développement</w:t>
          </w:r>
          <w:r w:rsidR="002575A2">
            <w:rPr>
              <w:b/>
            </w:rPr>
            <w:t> :</w:t>
          </w:r>
          <w:r w:rsidRPr="00771667">
            <w:rPr>
              <w:b/>
            </w:rPr>
            <w:t xml:space="preserve">    </w:t>
          </w:r>
        </w:p>
        <w:p w:rsidR="00771667" w:rsidRPr="00771667" w:rsidRDefault="00771667" w:rsidP="00771667">
          <w:pPr>
            <w:rPr>
              <w:lang w:eastAsia="fr-FR"/>
            </w:rPr>
          </w:pPr>
          <w:r w:rsidRPr="00771667">
            <w:rPr>
              <w:b/>
              <w:lang w:eastAsia="fr-FR"/>
            </w:rPr>
            <w:t>Exemple du MCAS/ Sénégal…………………………………………………………………………………………………………………</w:t>
          </w:r>
          <w:r w:rsidR="00FB0986">
            <w:rPr>
              <w:lang w:eastAsia="fr-FR"/>
            </w:rPr>
            <w:t>196</w:t>
          </w:r>
        </w:p>
        <w:p w:rsidR="00771667" w:rsidRPr="00771667" w:rsidRDefault="00771667" w:rsidP="00771667">
          <w:pPr>
            <w:spacing w:after="100"/>
            <w:ind w:left="216"/>
          </w:pPr>
        </w:p>
        <w:p w:rsidR="00771667" w:rsidRPr="00771667" w:rsidRDefault="006470DA" w:rsidP="00771667">
          <w:pPr>
            <w:spacing w:after="100"/>
            <w:ind w:left="446"/>
          </w:pPr>
        </w:p>
      </w:sdtContent>
    </w:sdt>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contextualSpacing/>
        <w:rPr>
          <w:rFonts w:eastAsia="Times New Roman"/>
          <w:b/>
          <w:sz w:val="28"/>
          <w:szCs w:val="28"/>
          <w:lang w:val="en-US" w:eastAsia="fr-FR"/>
        </w:rPr>
        <w:sectPr w:rsidR="00771667" w:rsidRPr="00771667" w:rsidSect="00075058">
          <w:headerReference w:type="default" r:id="rId55"/>
          <w:footerReference w:type="default" r:id="rId56"/>
          <w:pgSz w:w="11906" w:h="16838" w:code="9"/>
          <w:pgMar w:top="1417" w:right="1417" w:bottom="1417" w:left="1417" w:header="708" w:footer="708" w:gutter="0"/>
          <w:cols w:space="708"/>
          <w:docGrid w:linePitch="360"/>
        </w:sectPr>
      </w:pPr>
    </w:p>
    <w:p w:rsidR="00771667" w:rsidRPr="003B7D35" w:rsidRDefault="00771667" w:rsidP="00771667">
      <w:pPr>
        <w:numPr>
          <w:ilvl w:val="0"/>
          <w:numId w:val="95"/>
        </w:numPr>
        <w:spacing w:after="0" w:line="259" w:lineRule="auto"/>
        <w:ind w:left="1077"/>
        <w:contextualSpacing/>
        <w:jc w:val="left"/>
        <w:rPr>
          <w:rFonts w:ascii="Times New Roman" w:eastAsia="Calibri" w:hAnsi="Times New Roman"/>
          <w:b/>
          <w:sz w:val="22"/>
          <w:szCs w:val="22"/>
        </w:rPr>
      </w:pPr>
      <w:r w:rsidRPr="003B7D35">
        <w:rPr>
          <w:rFonts w:ascii="Times New Roman" w:eastAsia="Times New Roman" w:hAnsi="Times New Roman"/>
          <w:b/>
          <w:sz w:val="22"/>
          <w:szCs w:val="22"/>
          <w:lang w:eastAsia="fr-FR"/>
        </w:rPr>
        <w:t>Introduction Générale</w:t>
      </w:r>
    </w:p>
    <w:p w:rsidR="00771667" w:rsidRPr="003B7D35" w:rsidRDefault="00771667" w:rsidP="00771667">
      <w:pPr>
        <w:autoSpaceDE w:val="0"/>
        <w:autoSpaceDN w:val="0"/>
        <w:adjustRightInd w:val="0"/>
        <w:spacing w:after="0"/>
        <w:contextualSpacing/>
        <w:rPr>
          <w:rFonts w:ascii="Times New Roman" w:eastAsia="Times New Roman" w:hAnsi="Times New Roman"/>
          <w:b/>
          <w:sz w:val="22"/>
          <w:szCs w:val="22"/>
          <w:lang w:eastAsia="fr-FR"/>
        </w:rPr>
      </w:pP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Le Sénégal est un pays membre de la Communauté économique des </w:t>
      </w:r>
      <w:r w:rsidR="006602F7" w:rsidRPr="003B7D35">
        <w:rPr>
          <w:rFonts w:ascii="Times New Roman" w:hAnsi="Times New Roman"/>
          <w:sz w:val="22"/>
          <w:szCs w:val="22"/>
        </w:rPr>
        <w:t>États</w:t>
      </w:r>
      <w:r w:rsidRPr="003B7D35">
        <w:rPr>
          <w:rFonts w:ascii="Times New Roman" w:hAnsi="Times New Roman"/>
          <w:sz w:val="22"/>
          <w:szCs w:val="22"/>
        </w:rPr>
        <w:t xml:space="preserve"> de l’Afrique de l’Ouest (CEDEAO) et de l’Union économique et monétaire des </w:t>
      </w:r>
      <w:r w:rsidR="006602F7" w:rsidRPr="003B7D35">
        <w:rPr>
          <w:rFonts w:ascii="Times New Roman" w:hAnsi="Times New Roman"/>
          <w:sz w:val="22"/>
          <w:szCs w:val="22"/>
        </w:rPr>
        <w:t>États d</w:t>
      </w:r>
      <w:r w:rsidRPr="003B7D35">
        <w:rPr>
          <w:rFonts w:ascii="Times New Roman" w:hAnsi="Times New Roman"/>
          <w:sz w:val="22"/>
          <w:szCs w:val="22"/>
        </w:rPr>
        <w:t xml:space="preserve">’Afrique de l’Ouest (UEMOA). </w:t>
      </w:r>
    </w:p>
    <w:p w:rsidR="00771667" w:rsidRPr="003B7D35" w:rsidRDefault="006602F7" w:rsidP="00771667">
      <w:pPr>
        <w:rPr>
          <w:rFonts w:ascii="Times New Roman" w:hAnsi="Times New Roman"/>
          <w:sz w:val="22"/>
          <w:szCs w:val="22"/>
          <w:shd w:val="clear" w:color="auto" w:fill="FFFFFF"/>
        </w:rPr>
      </w:pPr>
      <w:r w:rsidRPr="003B7D35">
        <w:rPr>
          <w:rFonts w:ascii="Times New Roman" w:hAnsi="Times New Roman"/>
          <w:sz w:val="22"/>
          <w:szCs w:val="22"/>
        </w:rPr>
        <w:t>C’est</w:t>
      </w:r>
      <w:r w:rsidR="00771667" w:rsidRPr="003B7D35">
        <w:rPr>
          <w:rFonts w:ascii="Times New Roman" w:hAnsi="Times New Roman"/>
          <w:sz w:val="22"/>
          <w:szCs w:val="22"/>
        </w:rPr>
        <w:t xml:space="preserve"> une République laïque et démocratique ; de par sa constitution, le</w:t>
      </w:r>
      <w:r w:rsidRPr="003B7D35">
        <w:rPr>
          <w:rFonts w:ascii="Times New Roman" w:hAnsi="Times New Roman"/>
          <w:sz w:val="22"/>
          <w:szCs w:val="22"/>
        </w:rPr>
        <w:t xml:space="preserve"> Sénégal</w:t>
      </w:r>
      <w:r w:rsidR="00771667" w:rsidRPr="003B7D35">
        <w:rPr>
          <w:rFonts w:ascii="Times New Roman" w:hAnsi="Times New Roman"/>
          <w:sz w:val="22"/>
          <w:szCs w:val="22"/>
        </w:rPr>
        <w:t xml:space="preserve"> </w:t>
      </w:r>
      <w:r w:rsidRPr="003B7D35">
        <w:rPr>
          <w:rFonts w:ascii="Times New Roman" w:hAnsi="Times New Roman"/>
          <w:sz w:val="22"/>
          <w:szCs w:val="22"/>
        </w:rPr>
        <w:t>garantit</w:t>
      </w:r>
      <w:r w:rsidR="00771667" w:rsidRPr="003B7D35">
        <w:rPr>
          <w:rFonts w:ascii="Times New Roman" w:hAnsi="Times New Roman"/>
          <w:sz w:val="22"/>
          <w:szCs w:val="22"/>
        </w:rPr>
        <w:t xml:space="preserve"> l’égalité de tous les citoyens devant la loi, sans distinction d’origine, d</w:t>
      </w:r>
      <w:r w:rsidRPr="003B7D35">
        <w:rPr>
          <w:rFonts w:ascii="Times New Roman" w:hAnsi="Times New Roman"/>
          <w:sz w:val="22"/>
          <w:szCs w:val="22"/>
        </w:rPr>
        <w:t>e race, de sexe, de religion et</w:t>
      </w:r>
      <w:r w:rsidR="00771667" w:rsidRPr="003B7D35">
        <w:rPr>
          <w:rFonts w:ascii="Times New Roman" w:hAnsi="Times New Roman"/>
          <w:sz w:val="22"/>
          <w:szCs w:val="22"/>
        </w:rPr>
        <w:t xml:space="preserve"> respecte toutes les croyances. Il est composé de 14 régions, </w:t>
      </w:r>
      <w:r w:rsidRPr="003B7D35">
        <w:rPr>
          <w:rFonts w:ascii="Times New Roman" w:hAnsi="Times New Roman"/>
          <w:sz w:val="22"/>
          <w:szCs w:val="22"/>
        </w:rPr>
        <w:t xml:space="preserve">de </w:t>
      </w:r>
      <w:r w:rsidR="00771667" w:rsidRPr="003B7D35">
        <w:rPr>
          <w:rFonts w:ascii="Times New Roman" w:hAnsi="Times New Roman"/>
          <w:sz w:val="22"/>
          <w:szCs w:val="22"/>
        </w:rPr>
        <w:t xml:space="preserve">45 départements, </w:t>
      </w:r>
      <w:r w:rsidRPr="003B7D35">
        <w:rPr>
          <w:rFonts w:ascii="Times New Roman" w:hAnsi="Times New Roman"/>
          <w:sz w:val="22"/>
          <w:szCs w:val="22"/>
        </w:rPr>
        <w:t xml:space="preserve">de </w:t>
      </w:r>
      <w:r w:rsidR="00771667" w:rsidRPr="003B7D35">
        <w:rPr>
          <w:rFonts w:ascii="Times New Roman" w:hAnsi="Times New Roman"/>
          <w:sz w:val="22"/>
          <w:szCs w:val="22"/>
        </w:rPr>
        <w:t xml:space="preserve">117 arrondissements et </w:t>
      </w:r>
      <w:r w:rsidRPr="003B7D35">
        <w:rPr>
          <w:rFonts w:ascii="Times New Roman" w:hAnsi="Times New Roman"/>
          <w:sz w:val="22"/>
          <w:szCs w:val="22"/>
        </w:rPr>
        <w:t xml:space="preserve">de </w:t>
      </w:r>
      <w:r w:rsidR="00771667" w:rsidRPr="003B7D35">
        <w:rPr>
          <w:rFonts w:ascii="Times New Roman" w:hAnsi="Times New Roman"/>
          <w:sz w:val="22"/>
          <w:szCs w:val="22"/>
        </w:rPr>
        <w:t>557 communes. Les collectivité</w:t>
      </w:r>
      <w:r w:rsidRPr="003B7D35">
        <w:rPr>
          <w:rFonts w:ascii="Times New Roman" w:hAnsi="Times New Roman"/>
          <w:sz w:val="22"/>
          <w:szCs w:val="22"/>
        </w:rPr>
        <w:t>s locales</w:t>
      </w:r>
      <w:r w:rsidR="00771667" w:rsidRPr="003B7D35">
        <w:rPr>
          <w:rFonts w:ascii="Times New Roman" w:hAnsi="Times New Roman"/>
          <w:sz w:val="22"/>
          <w:szCs w:val="22"/>
        </w:rPr>
        <w:t xml:space="preserve"> sont administrées par des citoyens élus au suffrage universel. En 2014, la population sénégalaise est estimée à </w:t>
      </w:r>
      <w:r w:rsidR="00771667" w:rsidRPr="003B7D35">
        <w:rPr>
          <w:rFonts w:ascii="Times New Roman" w:hAnsi="Times New Roman"/>
          <w:sz w:val="22"/>
          <w:szCs w:val="22"/>
          <w:shd w:val="clear" w:color="auto" w:fill="FFFFFF"/>
        </w:rPr>
        <w:t>14</w:t>
      </w:r>
      <w:r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508</w:t>
      </w:r>
      <w:r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715 habitants dont 49,9</w:t>
      </w:r>
      <w:r w:rsidR="00A72504"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 xml:space="preserve"> d’hommes et 50,1</w:t>
      </w:r>
      <w:r w:rsidR="00A72504"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 xml:space="preserve"> de femmes. </w:t>
      </w: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Cette </w:t>
      </w:r>
      <w:r w:rsidR="006602F7" w:rsidRPr="003B7D35">
        <w:rPr>
          <w:rFonts w:ascii="Times New Roman" w:hAnsi="Times New Roman"/>
          <w:sz w:val="22"/>
          <w:szCs w:val="22"/>
        </w:rPr>
        <w:t>population est majoritairement jeune</w:t>
      </w:r>
      <w:r w:rsidRPr="003B7D35">
        <w:rPr>
          <w:rFonts w:ascii="Times New Roman" w:hAnsi="Times New Roman"/>
          <w:sz w:val="22"/>
          <w:szCs w:val="22"/>
        </w:rPr>
        <w:t xml:space="preserve"> et est composée d’une dizaine </w:t>
      </w:r>
      <w:r w:rsidR="006602F7" w:rsidRPr="003B7D35">
        <w:rPr>
          <w:rFonts w:ascii="Times New Roman" w:hAnsi="Times New Roman"/>
          <w:sz w:val="22"/>
          <w:szCs w:val="22"/>
        </w:rPr>
        <w:t>d’ethnies inégalement répartie.</w:t>
      </w:r>
      <w:r w:rsidRPr="003B7D35">
        <w:rPr>
          <w:rFonts w:ascii="Times New Roman" w:hAnsi="Times New Roman"/>
          <w:sz w:val="22"/>
          <w:szCs w:val="22"/>
        </w:rPr>
        <w:t xml:space="preserve"> La langue Wolof reste la plus parlée (75</w:t>
      </w:r>
      <w:r w:rsidR="00A72504" w:rsidRPr="003B7D35">
        <w:rPr>
          <w:rFonts w:ascii="Times New Roman" w:hAnsi="Times New Roman"/>
          <w:sz w:val="22"/>
          <w:szCs w:val="22"/>
        </w:rPr>
        <w:t> %</w:t>
      </w:r>
      <w:r w:rsidRPr="003B7D35">
        <w:rPr>
          <w:rFonts w:ascii="Times New Roman" w:hAnsi="Times New Roman"/>
          <w:sz w:val="22"/>
          <w:szCs w:val="22"/>
        </w:rPr>
        <w:t xml:space="preserve"> de la population). Le Sé</w:t>
      </w:r>
      <w:r w:rsidR="006602F7" w:rsidRPr="003B7D35">
        <w:rPr>
          <w:rFonts w:ascii="Times New Roman" w:hAnsi="Times New Roman"/>
          <w:sz w:val="22"/>
          <w:szCs w:val="22"/>
        </w:rPr>
        <w:t>négal fait partie des Pays les m</w:t>
      </w:r>
      <w:r w:rsidRPr="003B7D35">
        <w:rPr>
          <w:rFonts w:ascii="Times New Roman" w:hAnsi="Times New Roman"/>
          <w:sz w:val="22"/>
          <w:szCs w:val="22"/>
        </w:rPr>
        <w:t>oins avancés (PMA) bien qu’il soit classé par la Banque mondiale depuis 2011 au rang d</w:t>
      </w:r>
      <w:r w:rsidR="006602F7" w:rsidRPr="003B7D35">
        <w:rPr>
          <w:rFonts w:ascii="Times New Roman" w:hAnsi="Times New Roman"/>
          <w:sz w:val="22"/>
          <w:szCs w:val="22"/>
        </w:rPr>
        <w:t>es pays à revenu intermédiaire.</w:t>
      </w:r>
    </w:p>
    <w:p w:rsidR="00771667" w:rsidRPr="003B7D35" w:rsidRDefault="005F48B0" w:rsidP="00771667">
      <w:pPr>
        <w:rPr>
          <w:rFonts w:ascii="Times New Roman" w:hAnsi="Times New Roman"/>
          <w:sz w:val="22"/>
          <w:szCs w:val="22"/>
        </w:rPr>
      </w:pPr>
      <w:r w:rsidRPr="003B7D35">
        <w:rPr>
          <w:rFonts w:ascii="Times New Roman" w:hAnsi="Times New Roman"/>
          <w:sz w:val="22"/>
          <w:szCs w:val="22"/>
        </w:rPr>
        <w:t>L’économie sénégalaise</w:t>
      </w:r>
      <w:r w:rsidR="00771667" w:rsidRPr="003B7D35">
        <w:rPr>
          <w:rFonts w:ascii="Times New Roman" w:hAnsi="Times New Roman"/>
          <w:sz w:val="22"/>
          <w:szCs w:val="22"/>
        </w:rPr>
        <w:t xml:space="preserve"> s’est inscrit</w:t>
      </w:r>
      <w:r w:rsidR="006602F7" w:rsidRPr="003B7D35">
        <w:rPr>
          <w:rFonts w:ascii="Times New Roman" w:hAnsi="Times New Roman"/>
          <w:sz w:val="22"/>
          <w:szCs w:val="22"/>
        </w:rPr>
        <w:t xml:space="preserve">e sur une nouvelle trajectoire à la suite de </w:t>
      </w:r>
      <w:r w:rsidR="00771667" w:rsidRPr="003B7D35">
        <w:rPr>
          <w:rFonts w:ascii="Times New Roman" w:hAnsi="Times New Roman"/>
          <w:sz w:val="22"/>
          <w:szCs w:val="22"/>
        </w:rPr>
        <w:t>la relance qui s’est opérée en 2014. Le contexte de</w:t>
      </w:r>
      <w:r w:rsidR="006602F7" w:rsidRPr="003B7D35">
        <w:rPr>
          <w:rFonts w:ascii="Times New Roman" w:hAnsi="Times New Roman"/>
          <w:sz w:val="22"/>
          <w:szCs w:val="22"/>
        </w:rPr>
        <w:t xml:space="preserve"> mise en œuvre du Plan Sénégal é</w:t>
      </w:r>
      <w:r w:rsidR="00771667" w:rsidRPr="003B7D35">
        <w:rPr>
          <w:rFonts w:ascii="Times New Roman" w:hAnsi="Times New Roman"/>
          <w:sz w:val="22"/>
          <w:szCs w:val="22"/>
        </w:rPr>
        <w:t>mergent (PSE), par le Gouvernement a contribué à renforcer le cadre économique interne. Le raffermissement des investissements publics, notamment, dans l’agriculture, les infrastructures et l’énergie, conjugué à la relance des industries et aux performances du sous-secteur agricole, ont concouru à relever le taux de croissance du PIB réel estimé à 6,5</w:t>
      </w:r>
      <w:r w:rsidR="00A72504" w:rsidRPr="003B7D35">
        <w:rPr>
          <w:rFonts w:ascii="Times New Roman" w:hAnsi="Times New Roman"/>
          <w:sz w:val="22"/>
          <w:szCs w:val="22"/>
        </w:rPr>
        <w:t> %</w:t>
      </w:r>
      <w:r w:rsidR="00771667" w:rsidRPr="003B7D35">
        <w:rPr>
          <w:rFonts w:ascii="Times New Roman" w:hAnsi="Times New Roman"/>
          <w:sz w:val="22"/>
          <w:szCs w:val="22"/>
        </w:rPr>
        <w:t xml:space="preserve"> au terme de l’année 2015, après 4,3</w:t>
      </w:r>
      <w:r w:rsidR="00A72504" w:rsidRPr="003B7D35">
        <w:rPr>
          <w:rFonts w:ascii="Times New Roman" w:hAnsi="Times New Roman"/>
          <w:sz w:val="22"/>
          <w:szCs w:val="22"/>
        </w:rPr>
        <w:t> %</w:t>
      </w:r>
      <w:r w:rsidR="00771667" w:rsidRPr="003B7D35">
        <w:rPr>
          <w:rFonts w:ascii="Times New Roman" w:hAnsi="Times New Roman"/>
          <w:sz w:val="22"/>
          <w:szCs w:val="22"/>
        </w:rPr>
        <w:t xml:space="preserve"> un an auparavant.</w:t>
      </w:r>
    </w:p>
    <w:p w:rsidR="00771667" w:rsidRPr="003B7D35" w:rsidRDefault="006602F7" w:rsidP="00771667">
      <w:pPr>
        <w:rPr>
          <w:rFonts w:ascii="Times New Roman" w:hAnsi="Times New Roman"/>
          <w:sz w:val="22"/>
          <w:szCs w:val="22"/>
        </w:rPr>
      </w:pPr>
      <w:r w:rsidRPr="003B7D35">
        <w:rPr>
          <w:rFonts w:ascii="Times New Roman" w:hAnsi="Times New Roman"/>
          <w:sz w:val="22"/>
          <w:szCs w:val="22"/>
        </w:rPr>
        <w:t>Le Sénégal est classé 154eme sur 172 pays en matière d</w:t>
      </w:r>
      <w:r w:rsidR="00771667" w:rsidRPr="003B7D35">
        <w:rPr>
          <w:rFonts w:ascii="Times New Roman" w:hAnsi="Times New Roman"/>
          <w:sz w:val="22"/>
          <w:szCs w:val="22"/>
        </w:rPr>
        <w:t xml:space="preserve">’IDH du PNUD en 2013. Comparé aux autres pays du continent africain, le Sénégal est pauvre en ressources naturelles. Ses principales recettes en devises proviennent de la pêche et du tourisme. </w:t>
      </w:r>
    </w:p>
    <w:p w:rsidR="00771667" w:rsidRPr="003B7D35" w:rsidRDefault="00771667" w:rsidP="00771667">
      <w:pPr>
        <w:rPr>
          <w:rFonts w:ascii="Times New Roman" w:hAnsi="Times New Roman"/>
          <w:sz w:val="22"/>
          <w:szCs w:val="22"/>
        </w:rPr>
      </w:pPr>
      <w:r w:rsidRPr="003B7D35">
        <w:rPr>
          <w:rFonts w:ascii="Times New Roman" w:hAnsi="Times New Roman"/>
          <w:bCs/>
          <w:sz w:val="22"/>
          <w:szCs w:val="22"/>
        </w:rPr>
        <w:t>L’Agriculture</w:t>
      </w:r>
      <w:r w:rsidRPr="003B7D35">
        <w:rPr>
          <w:rFonts w:ascii="Times New Roman" w:hAnsi="Times New Roman"/>
          <w:b/>
          <w:bCs/>
          <w:sz w:val="22"/>
          <w:szCs w:val="22"/>
        </w:rPr>
        <w:t xml:space="preserve"> </w:t>
      </w:r>
      <w:r w:rsidRPr="003B7D35">
        <w:rPr>
          <w:rFonts w:ascii="Times New Roman" w:hAnsi="Times New Roman"/>
          <w:sz w:val="22"/>
          <w:szCs w:val="22"/>
        </w:rPr>
        <w:t>occupe plus de la moitié de la population (selon le PSE</w:t>
      </w:r>
      <w:r w:rsidR="00432EB8" w:rsidRPr="003B7D35">
        <w:rPr>
          <w:rFonts w:ascii="Times New Roman" w:hAnsi="Times New Roman"/>
          <w:sz w:val="22"/>
          <w:szCs w:val="22"/>
        </w:rPr>
        <w:t>,</w:t>
      </w:r>
      <w:r w:rsidRPr="003B7D35">
        <w:rPr>
          <w:rFonts w:ascii="Times New Roman" w:hAnsi="Times New Roman"/>
          <w:sz w:val="22"/>
          <w:szCs w:val="22"/>
        </w:rPr>
        <w:t xml:space="preserve"> 60</w:t>
      </w:r>
      <w:r w:rsidR="00A72504" w:rsidRPr="003B7D35">
        <w:rPr>
          <w:rFonts w:ascii="Times New Roman" w:hAnsi="Times New Roman"/>
          <w:sz w:val="22"/>
          <w:szCs w:val="22"/>
        </w:rPr>
        <w:t> %</w:t>
      </w:r>
      <w:r w:rsidRPr="003B7D35">
        <w:rPr>
          <w:rFonts w:ascii="Times New Roman" w:hAnsi="Times New Roman"/>
          <w:sz w:val="22"/>
          <w:szCs w:val="22"/>
        </w:rPr>
        <w:t xml:space="preserve"> environ de la p</w:t>
      </w:r>
      <w:r w:rsidR="00432EB8" w:rsidRPr="003B7D35">
        <w:rPr>
          <w:rFonts w:ascii="Times New Roman" w:hAnsi="Times New Roman"/>
          <w:sz w:val="22"/>
          <w:szCs w:val="22"/>
        </w:rPr>
        <w:t>opulation du Sénégal dépend de</w:t>
      </w:r>
      <w:r w:rsidRPr="003B7D35">
        <w:rPr>
          <w:rFonts w:ascii="Times New Roman" w:hAnsi="Times New Roman"/>
          <w:sz w:val="22"/>
          <w:szCs w:val="22"/>
        </w:rPr>
        <w:t xml:space="preserve"> ses activités et/ou son revenu des ressources naturelles). L’agriculture est dominée par les exploitations familiales (90</w:t>
      </w:r>
      <w:r w:rsidR="00A72504" w:rsidRPr="003B7D35">
        <w:rPr>
          <w:rFonts w:ascii="Times New Roman" w:hAnsi="Times New Roman"/>
          <w:sz w:val="22"/>
          <w:szCs w:val="22"/>
        </w:rPr>
        <w:t> %</w:t>
      </w:r>
      <w:r w:rsidRPr="003B7D35">
        <w:rPr>
          <w:rFonts w:ascii="Times New Roman" w:hAnsi="Times New Roman"/>
          <w:sz w:val="22"/>
          <w:szCs w:val="22"/>
        </w:rPr>
        <w:t>)</w:t>
      </w:r>
      <w:r w:rsidR="00432EB8" w:rsidRPr="003B7D35">
        <w:rPr>
          <w:rFonts w:ascii="Times New Roman" w:hAnsi="Times New Roman"/>
          <w:sz w:val="22"/>
          <w:szCs w:val="22"/>
        </w:rPr>
        <w:t>,</w:t>
      </w:r>
      <w:r w:rsidRPr="003B7D35">
        <w:rPr>
          <w:rFonts w:ascii="Times New Roman" w:hAnsi="Times New Roman"/>
          <w:sz w:val="22"/>
          <w:szCs w:val="22"/>
        </w:rPr>
        <w:t xml:space="preserve"> mais on assiste à une augmentation progressive de la taille des exploitations et à leur modernisation. </w:t>
      </w:r>
      <w:r w:rsidR="00432EB8" w:rsidRPr="003B7D35">
        <w:rPr>
          <w:rFonts w:ascii="Times New Roman" w:hAnsi="Times New Roman"/>
          <w:sz w:val="22"/>
          <w:szCs w:val="22"/>
        </w:rPr>
        <w:t>À</w:t>
      </w:r>
      <w:r w:rsidRPr="003B7D35">
        <w:rPr>
          <w:rFonts w:ascii="Times New Roman" w:hAnsi="Times New Roman"/>
          <w:sz w:val="22"/>
          <w:szCs w:val="22"/>
        </w:rPr>
        <w:t xml:space="preserve"> cela s’ajoute l’installation progressive de l’agrobusiness.</w:t>
      </w: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La pêche</w:t>
      </w:r>
      <w:r w:rsidR="00432EB8" w:rsidRPr="003B7D35">
        <w:rPr>
          <w:rFonts w:ascii="Times New Roman" w:hAnsi="Times New Roman"/>
          <w:sz w:val="22"/>
          <w:szCs w:val="22"/>
        </w:rPr>
        <w:t>,</w:t>
      </w:r>
      <w:r w:rsidRPr="003B7D35">
        <w:rPr>
          <w:rFonts w:ascii="Times New Roman" w:hAnsi="Times New Roman"/>
          <w:sz w:val="22"/>
          <w:szCs w:val="22"/>
        </w:rPr>
        <w:t xml:space="preserve"> qui res</w:t>
      </w:r>
      <w:r w:rsidR="00432EB8" w:rsidRPr="003B7D35">
        <w:rPr>
          <w:rFonts w:ascii="Times New Roman" w:hAnsi="Times New Roman"/>
          <w:sz w:val="22"/>
          <w:szCs w:val="22"/>
        </w:rPr>
        <w:t>te un secteur clé de l'économie,</w:t>
      </w:r>
      <w:r w:rsidRPr="003B7D35">
        <w:rPr>
          <w:rFonts w:ascii="Times New Roman" w:hAnsi="Times New Roman"/>
          <w:sz w:val="22"/>
          <w:szCs w:val="22"/>
        </w:rPr>
        <w:t xml:space="preserve"> subit les conséquences de la dégradat</w:t>
      </w:r>
      <w:r w:rsidR="00432EB8" w:rsidRPr="003B7D35">
        <w:rPr>
          <w:rFonts w:ascii="Times New Roman" w:hAnsi="Times New Roman"/>
          <w:sz w:val="22"/>
          <w:szCs w:val="22"/>
        </w:rPr>
        <w:t>ion des ressources halieutiques</w:t>
      </w:r>
      <w:r w:rsidRPr="003B7D35">
        <w:rPr>
          <w:rFonts w:ascii="Times New Roman" w:hAnsi="Times New Roman"/>
          <w:sz w:val="22"/>
          <w:szCs w:val="22"/>
        </w:rPr>
        <w:t xml:space="preserve"> et de l'augmentation récente de la facture</w:t>
      </w:r>
      <w:r w:rsidR="00432EB8" w:rsidRPr="003B7D35">
        <w:rPr>
          <w:rFonts w:ascii="Times New Roman" w:hAnsi="Times New Roman"/>
          <w:sz w:val="22"/>
          <w:szCs w:val="22"/>
        </w:rPr>
        <w:t xml:space="preserve"> énergétique. Cependant, compte </w:t>
      </w:r>
      <w:r w:rsidRPr="003B7D35">
        <w:rPr>
          <w:rFonts w:ascii="Times New Roman" w:hAnsi="Times New Roman"/>
          <w:sz w:val="22"/>
          <w:szCs w:val="22"/>
        </w:rPr>
        <w:t xml:space="preserve">tenu de sa situation géographique et de sa stabilité politique, le Sénégal fait partie des pays africains les plus industrialisés. Plusieurs stratégies de développement axées sur la réduction de la pauvreté et </w:t>
      </w:r>
      <w:r w:rsidR="00432EB8" w:rsidRPr="003B7D35">
        <w:rPr>
          <w:rFonts w:ascii="Times New Roman" w:hAnsi="Times New Roman"/>
          <w:sz w:val="22"/>
          <w:szCs w:val="22"/>
        </w:rPr>
        <w:t xml:space="preserve">sur </w:t>
      </w:r>
      <w:r w:rsidRPr="003B7D35">
        <w:rPr>
          <w:rFonts w:ascii="Times New Roman" w:hAnsi="Times New Roman"/>
          <w:sz w:val="22"/>
          <w:szCs w:val="22"/>
        </w:rPr>
        <w:t xml:space="preserve">l’accélération de la croissance ont été menées avec des résultats mitigés ces dernières années. </w:t>
      </w:r>
    </w:p>
    <w:p w:rsidR="00771667" w:rsidRPr="003B7D35" w:rsidRDefault="00771667" w:rsidP="00771667">
      <w:pPr>
        <w:rPr>
          <w:rFonts w:ascii="Times New Roman" w:hAnsi="Times New Roman"/>
          <w:sz w:val="22"/>
          <w:szCs w:val="22"/>
        </w:rPr>
      </w:pPr>
      <w:r w:rsidRPr="003B7D35">
        <w:rPr>
          <w:rFonts w:ascii="Times New Roman" w:hAnsi="Times New Roman"/>
          <w:bCs/>
          <w:sz w:val="22"/>
          <w:szCs w:val="22"/>
        </w:rPr>
        <w:t>L’élevage</w:t>
      </w:r>
      <w:r w:rsidRPr="003B7D35">
        <w:rPr>
          <w:rFonts w:ascii="Times New Roman" w:hAnsi="Times New Roman"/>
          <w:b/>
          <w:bCs/>
          <w:sz w:val="22"/>
          <w:szCs w:val="22"/>
        </w:rPr>
        <w:t xml:space="preserve"> </w:t>
      </w:r>
      <w:r w:rsidRPr="003B7D35">
        <w:rPr>
          <w:rFonts w:ascii="Times New Roman" w:hAnsi="Times New Roman"/>
          <w:sz w:val="22"/>
          <w:szCs w:val="22"/>
        </w:rPr>
        <w:t>est une activité importante en</w:t>
      </w:r>
      <w:r w:rsidR="00432EB8" w:rsidRPr="003B7D35">
        <w:rPr>
          <w:rFonts w:ascii="Times New Roman" w:hAnsi="Times New Roman"/>
          <w:sz w:val="22"/>
          <w:szCs w:val="22"/>
        </w:rPr>
        <w:t xml:space="preserve"> termes de création de richesse</w:t>
      </w:r>
      <w:r w:rsidRPr="003B7D35">
        <w:rPr>
          <w:rFonts w:ascii="Times New Roman" w:hAnsi="Times New Roman"/>
          <w:sz w:val="22"/>
          <w:szCs w:val="22"/>
        </w:rPr>
        <w:t>. Sa contribution au PIB est estimée à 4,2</w:t>
      </w:r>
      <w:r w:rsidR="00A72504" w:rsidRPr="003B7D35">
        <w:rPr>
          <w:rFonts w:ascii="Times New Roman" w:hAnsi="Times New Roman"/>
          <w:sz w:val="22"/>
          <w:szCs w:val="22"/>
        </w:rPr>
        <w:t> %</w:t>
      </w:r>
      <w:r w:rsidRPr="003B7D35">
        <w:rPr>
          <w:rFonts w:ascii="Times New Roman" w:hAnsi="Times New Roman"/>
          <w:sz w:val="22"/>
          <w:szCs w:val="22"/>
        </w:rPr>
        <w:t xml:space="preserve"> en 2012. L’élevage contribue à la sécurité alimentaire et nutritionnelle</w:t>
      </w:r>
      <w:r w:rsidR="00432EB8" w:rsidRPr="003B7D35">
        <w:rPr>
          <w:rFonts w:ascii="Times New Roman" w:hAnsi="Times New Roman"/>
          <w:sz w:val="22"/>
          <w:szCs w:val="22"/>
        </w:rPr>
        <w:t xml:space="preserve"> des populations et </w:t>
      </w:r>
      <w:r w:rsidRPr="003B7D35">
        <w:rPr>
          <w:rFonts w:ascii="Times New Roman" w:hAnsi="Times New Roman"/>
          <w:sz w:val="22"/>
          <w:szCs w:val="22"/>
        </w:rPr>
        <w:t>présente un potentiel de croissance important aussi bien au niveau de l’aviculture qu’au niveau des bovins et des ovins.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L’accès aux services sociaux de base est encore freiné par le niveau d’électrification, entre autres des centres de santé, et l’état des infrastructures tel que confirmé par l’audit genre sur le</w:t>
      </w:r>
      <w:r w:rsidR="00432EB8" w:rsidRPr="003B7D35">
        <w:rPr>
          <w:rFonts w:ascii="Times New Roman" w:eastAsia="Calibri" w:hAnsi="Times New Roman"/>
          <w:sz w:val="22"/>
          <w:szCs w:val="22"/>
        </w:rPr>
        <w:t>s politiques énergétiques.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 </w:t>
      </w:r>
    </w:p>
    <w:p w:rsidR="00771667" w:rsidRPr="003B7D35" w:rsidRDefault="00771667" w:rsidP="00771667">
      <w:pPr>
        <w:rPr>
          <w:rFonts w:ascii="Times New Roman" w:eastAsia="Calibri" w:hAnsi="Times New Roman"/>
          <w:sz w:val="22"/>
          <w:szCs w:val="22"/>
        </w:rPr>
      </w:pPr>
      <w:r w:rsidRPr="003B7D35">
        <w:rPr>
          <w:rFonts w:ascii="Times New Roman" w:eastAsia="Calibri" w:hAnsi="Times New Roman"/>
          <w:sz w:val="22"/>
          <w:szCs w:val="22"/>
        </w:rPr>
        <w:t>Dans le domaine de l’éducation,</w:t>
      </w:r>
      <w:r w:rsidRPr="003B7D35">
        <w:rPr>
          <w:rFonts w:ascii="Times New Roman" w:hAnsi="Times New Roman"/>
          <w:sz w:val="22"/>
          <w:szCs w:val="22"/>
        </w:rPr>
        <w:t xml:space="preserve"> des progrès significatifs ont été enregistrés. L’</w:t>
      </w:r>
      <w:r w:rsidR="00432EB8" w:rsidRPr="003B7D35">
        <w:rPr>
          <w:rFonts w:ascii="Times New Roman" w:hAnsi="Times New Roman"/>
          <w:sz w:val="22"/>
          <w:szCs w:val="22"/>
        </w:rPr>
        <w:t>État</w:t>
      </w:r>
      <w:r w:rsidRPr="003B7D35">
        <w:rPr>
          <w:rFonts w:ascii="Times New Roman" w:hAnsi="Times New Roman"/>
          <w:sz w:val="22"/>
          <w:szCs w:val="22"/>
        </w:rPr>
        <w:t xml:space="preserve"> </w:t>
      </w:r>
      <w:r w:rsidRPr="003B7D35">
        <w:rPr>
          <w:rFonts w:ascii="Times New Roman" w:eastAsia="Calibri" w:hAnsi="Times New Roman"/>
          <w:sz w:val="22"/>
          <w:szCs w:val="22"/>
        </w:rPr>
        <w:t>a consenti de réels efforts avec les différents programmes mis en œuvre. Un accent particulier est mis sur l’atteinte de la parité dans le milieu scolaire, mais il faut noter que</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dans une large majorité</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les femmes sont encore analphabètes.</w:t>
      </w:r>
      <w:r w:rsidRPr="003B7D35">
        <w:rPr>
          <w:rFonts w:ascii="Times New Roman" w:hAnsi="Times New Roman"/>
          <w:color w:val="000000"/>
          <w:sz w:val="22"/>
          <w:szCs w:val="22"/>
          <w:shd w:val="clear" w:color="auto" w:fill="FFFFFF"/>
        </w:rPr>
        <w:t xml:space="preserve"> Le Sénégal est un des dix pays en Afrique où plus de la moitié (58</w:t>
      </w:r>
      <w:r w:rsidR="00A72504" w:rsidRPr="003B7D35">
        <w:rPr>
          <w:rFonts w:ascii="Times New Roman" w:hAnsi="Times New Roman"/>
          <w:color w:val="000000"/>
          <w:sz w:val="22"/>
          <w:szCs w:val="22"/>
          <w:shd w:val="clear" w:color="auto" w:fill="FFFFFF"/>
        </w:rPr>
        <w:t> %</w:t>
      </w:r>
      <w:r w:rsidRPr="003B7D35">
        <w:rPr>
          <w:rFonts w:ascii="Times New Roman" w:hAnsi="Times New Roman"/>
          <w:color w:val="000000"/>
          <w:sz w:val="22"/>
          <w:szCs w:val="22"/>
          <w:shd w:val="clear" w:color="auto" w:fill="FFFFFF"/>
        </w:rPr>
        <w:t>) des adultes sont analphabètes. La majorité de ces analphabètes sont des femmes</w:t>
      </w:r>
      <w:r w:rsidR="00432EB8" w:rsidRPr="003B7D35">
        <w:rPr>
          <w:rFonts w:ascii="Times New Roman" w:hAnsi="Times New Roman"/>
          <w:color w:val="000000"/>
          <w:sz w:val="22"/>
          <w:szCs w:val="22"/>
          <w:shd w:val="clear" w:color="auto" w:fill="FFFFFF"/>
        </w:rPr>
        <w:t xml:space="preserve"> </w:t>
      </w:r>
      <w:r w:rsidRPr="003B7D35">
        <w:rPr>
          <w:rFonts w:ascii="Times New Roman" w:hAnsi="Times New Roman"/>
          <w:color w:val="000000"/>
          <w:sz w:val="22"/>
          <w:szCs w:val="22"/>
          <w:shd w:val="clear" w:color="auto" w:fill="FFFFFF"/>
        </w:rPr>
        <w:t>(Unesco, 2012)</w:t>
      </w:r>
      <w:r w:rsidR="00432EB8" w:rsidRPr="003B7D35">
        <w:rPr>
          <w:rFonts w:ascii="Times New Roman" w:hAnsi="Times New Roman"/>
          <w:color w:val="000000"/>
          <w:sz w:val="22"/>
          <w:szCs w:val="22"/>
          <w:shd w:val="clear" w:color="auto" w:fill="FFFFFF"/>
        </w:rPr>
        <w:t>.</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hAnsi="Times New Roman"/>
          <w:sz w:val="22"/>
          <w:szCs w:val="22"/>
        </w:rPr>
        <w:t>Dans le domai</w:t>
      </w:r>
      <w:r w:rsidR="00432EB8" w:rsidRPr="003B7D35">
        <w:rPr>
          <w:rFonts w:ascii="Times New Roman" w:hAnsi="Times New Roman"/>
          <w:sz w:val="22"/>
          <w:szCs w:val="22"/>
        </w:rPr>
        <w:t>ne de la santé, il est à noter</w:t>
      </w:r>
      <w:r w:rsidRPr="003B7D35">
        <w:rPr>
          <w:rFonts w:ascii="Times New Roman" w:hAnsi="Times New Roman"/>
          <w:sz w:val="22"/>
          <w:szCs w:val="22"/>
        </w:rPr>
        <w:t xml:space="preserve"> une amélioration de la santé infanto-juvénile et maternelle, la réduction des maladies endémiques telles que le VIH-SIDA, le paludisme et la tuberculose.</w:t>
      </w:r>
      <w:r w:rsidR="00432EB8" w:rsidRPr="003B7D35">
        <w:rPr>
          <w:rFonts w:ascii="Times New Roman" w:hAnsi="Times New Roman"/>
          <w:sz w:val="22"/>
          <w:szCs w:val="22"/>
        </w:rPr>
        <w:t xml:space="preserve"> </w:t>
      </w:r>
      <w:r w:rsidRPr="003B7D35">
        <w:rPr>
          <w:rFonts w:ascii="Times New Roman" w:hAnsi="Times New Roman"/>
          <w:sz w:val="22"/>
          <w:szCs w:val="22"/>
        </w:rPr>
        <w:t>Néanmoins, l</w:t>
      </w:r>
      <w:r w:rsidR="00432EB8" w:rsidRPr="003B7D35">
        <w:rPr>
          <w:rFonts w:ascii="Times New Roman" w:eastAsia="Calibri" w:hAnsi="Times New Roman"/>
          <w:sz w:val="22"/>
          <w:szCs w:val="22"/>
        </w:rPr>
        <w:t>e</w:t>
      </w:r>
      <w:r w:rsidRPr="003B7D35">
        <w:rPr>
          <w:rFonts w:ascii="Times New Roman" w:eastAsia="Calibri" w:hAnsi="Times New Roman"/>
          <w:sz w:val="22"/>
          <w:szCs w:val="22"/>
        </w:rPr>
        <w:t xml:space="preserve"> taux de décès maternels au cours des naissances est e</w:t>
      </w:r>
      <w:r w:rsidR="00432EB8" w:rsidRPr="003B7D35">
        <w:rPr>
          <w:rFonts w:ascii="Times New Roman" w:eastAsia="Calibri" w:hAnsi="Times New Roman"/>
          <w:sz w:val="22"/>
          <w:szCs w:val="22"/>
        </w:rPr>
        <w:t>ncore élevé (410 décès pour 100 </w:t>
      </w:r>
      <w:r w:rsidRPr="003B7D35">
        <w:rPr>
          <w:rFonts w:ascii="Times New Roman" w:eastAsia="Calibri" w:hAnsi="Times New Roman"/>
          <w:sz w:val="22"/>
          <w:szCs w:val="22"/>
        </w:rPr>
        <w:t xml:space="preserve">000 naissances vivantes - EDS IV -).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hAnsi="Times New Roman"/>
          <w:sz w:val="22"/>
          <w:szCs w:val="22"/>
        </w:rPr>
        <w:t>Selon le sexe, on observe des variati</w:t>
      </w:r>
      <w:r w:rsidR="00D2405E" w:rsidRPr="003B7D35">
        <w:rPr>
          <w:rFonts w:ascii="Times New Roman" w:hAnsi="Times New Roman"/>
          <w:sz w:val="22"/>
          <w:szCs w:val="22"/>
        </w:rPr>
        <w:t>ons sur la durée de vie moyenne </w:t>
      </w:r>
      <w:r w:rsidRPr="003B7D35">
        <w:rPr>
          <w:rFonts w:ascii="Times New Roman" w:hAnsi="Times New Roman"/>
          <w:sz w:val="22"/>
          <w:szCs w:val="22"/>
        </w:rPr>
        <w:t>; les femmes ont une espérance de vie supérieure à celle des hommes</w:t>
      </w:r>
      <w:r w:rsidR="002575A2" w:rsidRPr="003B7D35">
        <w:rPr>
          <w:rFonts w:ascii="Times New Roman" w:hAnsi="Times New Roman"/>
          <w:sz w:val="22"/>
          <w:szCs w:val="22"/>
        </w:rPr>
        <w:t> :</w:t>
      </w:r>
      <w:r w:rsidRPr="003B7D35">
        <w:rPr>
          <w:rFonts w:ascii="Times New Roman" w:hAnsi="Times New Roman"/>
          <w:sz w:val="22"/>
          <w:szCs w:val="22"/>
        </w:rPr>
        <w:t xml:space="preserve"> 66,5 ans contre 63,2 ans. Des différences significatives sont également observées entre les milieux urbain</w:t>
      </w:r>
      <w:r w:rsidR="00E404FB">
        <w:rPr>
          <w:rFonts w:ascii="Times New Roman" w:hAnsi="Times New Roman"/>
          <w:sz w:val="22"/>
          <w:szCs w:val="22"/>
        </w:rPr>
        <w:t>s</w:t>
      </w:r>
      <w:r w:rsidRPr="003B7D35">
        <w:rPr>
          <w:rFonts w:ascii="Times New Roman" w:hAnsi="Times New Roman"/>
          <w:sz w:val="22"/>
          <w:szCs w:val="22"/>
        </w:rPr>
        <w:t xml:space="preserve"> et rural. Quel que soit le sexe, l’espérance de vie à la naissance est plus élevée en milieu urbain </w:t>
      </w:r>
      <w:r w:rsidR="00432EB8" w:rsidRPr="003B7D35">
        <w:rPr>
          <w:rFonts w:ascii="Times New Roman" w:hAnsi="Times New Roman"/>
          <w:sz w:val="22"/>
          <w:szCs w:val="22"/>
        </w:rPr>
        <w:t>(</w:t>
      </w:r>
      <w:r w:rsidRPr="003B7D35">
        <w:rPr>
          <w:rFonts w:ascii="Times New Roman" w:hAnsi="Times New Roman"/>
          <w:sz w:val="22"/>
          <w:szCs w:val="22"/>
        </w:rPr>
        <w:t>67,4 ans</w:t>
      </w:r>
      <w:r w:rsidR="00432EB8" w:rsidRPr="003B7D35">
        <w:rPr>
          <w:rFonts w:ascii="Times New Roman" w:hAnsi="Times New Roman"/>
          <w:sz w:val="22"/>
          <w:szCs w:val="22"/>
        </w:rPr>
        <w:t>)</w:t>
      </w:r>
      <w:r w:rsidRPr="003B7D35">
        <w:rPr>
          <w:rFonts w:ascii="Times New Roman" w:hAnsi="Times New Roman"/>
          <w:sz w:val="22"/>
          <w:szCs w:val="22"/>
        </w:rPr>
        <w:t xml:space="preserve"> qu’en milieu rural</w:t>
      </w:r>
      <w:r w:rsidR="00432EB8" w:rsidRPr="003B7D35">
        <w:rPr>
          <w:rFonts w:ascii="Times New Roman" w:hAnsi="Times New Roman"/>
          <w:sz w:val="22"/>
          <w:szCs w:val="22"/>
        </w:rPr>
        <w:t xml:space="preserve"> (</w:t>
      </w:r>
      <w:r w:rsidRPr="003B7D35">
        <w:rPr>
          <w:rFonts w:ascii="Times New Roman" w:hAnsi="Times New Roman"/>
          <w:sz w:val="22"/>
          <w:szCs w:val="22"/>
        </w:rPr>
        <w:t>62,7 ans</w:t>
      </w:r>
      <w:r w:rsidR="00432EB8" w:rsidRPr="003B7D35">
        <w:rPr>
          <w:rFonts w:ascii="Times New Roman" w:hAnsi="Times New Roman"/>
          <w:sz w:val="22"/>
          <w:szCs w:val="22"/>
        </w:rPr>
        <w:t>)</w:t>
      </w:r>
      <w:r w:rsidRPr="003B7D35">
        <w:rPr>
          <w:rFonts w:ascii="Times New Roman" w:hAnsi="Times New Roman"/>
          <w:sz w:val="22"/>
          <w:szCs w:val="22"/>
        </w:rPr>
        <w:t xml:space="preserve"> (RGPHAE, 2013)</w:t>
      </w:r>
      <w:r w:rsidR="00432EB8" w:rsidRPr="003B7D35">
        <w:rPr>
          <w:rFonts w:ascii="Times New Roman" w:hAnsi="Times New Roman"/>
          <w:sz w:val="22"/>
          <w:szCs w:val="22"/>
        </w:rPr>
        <w:t>.</w:t>
      </w:r>
    </w:p>
    <w:p w:rsidR="00771667" w:rsidRPr="003B7D35" w:rsidRDefault="00771667" w:rsidP="00771667">
      <w:pPr>
        <w:rPr>
          <w:rFonts w:ascii="Times New Roman" w:hAnsi="Times New Roman"/>
          <w:sz w:val="22"/>
          <w:szCs w:val="22"/>
        </w:rPr>
      </w:pP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Le Sénégal a capitalisé des résultats encourageants dans la lutte pour l’égalité de genre et l’autonomisation des femmes. L’indice de parité à l’école primaire, est favorable aux filles et dernièrement les femmes ont connu une montée en puissance dans les sphères de décision publique grâce à la loi sur la parité 3.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En termes d’accès à l’emploi et malgré leur plus grand nombre</w:t>
      </w:r>
      <w:r w:rsidR="00432EB8" w:rsidRPr="003B7D35">
        <w:rPr>
          <w:rFonts w:ascii="Times New Roman" w:eastAsia="Calibri" w:hAnsi="Times New Roman"/>
          <w:sz w:val="22"/>
          <w:szCs w:val="22"/>
        </w:rPr>
        <w:t xml:space="preserve">, les femmes ont moins accès à </w:t>
      </w:r>
      <w:r w:rsidRPr="003B7D35">
        <w:rPr>
          <w:rFonts w:ascii="Times New Roman" w:eastAsia="Calibri" w:hAnsi="Times New Roman"/>
          <w:sz w:val="22"/>
          <w:szCs w:val="22"/>
        </w:rPr>
        <w:t xml:space="preserve">un emploi si </w:t>
      </w:r>
      <w:r w:rsidR="00432EB8" w:rsidRPr="003B7D35">
        <w:rPr>
          <w:rFonts w:ascii="Times New Roman" w:eastAsia="Calibri" w:hAnsi="Times New Roman"/>
          <w:sz w:val="22"/>
          <w:szCs w:val="22"/>
        </w:rPr>
        <w:t>l’</w:t>
      </w:r>
      <w:r w:rsidRPr="003B7D35">
        <w:rPr>
          <w:rFonts w:ascii="Times New Roman" w:eastAsia="Calibri" w:hAnsi="Times New Roman"/>
          <w:sz w:val="22"/>
          <w:szCs w:val="22"/>
        </w:rPr>
        <w:t>on considère la population active. Selon la SNEEG, sur 37,2</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d’inactifs, les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66,8</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sont des femmes et cette tendance concerne autant le milieu rural que le milieu urbain, par exemple à Dakar 41,1</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des hommes sont actifs contre 62,1</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Toutefois, il faut noter que le taux d’activité des femmes est sous- estimé dans la mesure où leur contribution à l’économie du foyer (travail reproductif) n’est pas </w:t>
      </w:r>
      <w:r w:rsidR="00432EB8" w:rsidRPr="003B7D35">
        <w:rPr>
          <w:rFonts w:ascii="Times New Roman" w:eastAsia="Calibri" w:hAnsi="Times New Roman"/>
          <w:sz w:val="22"/>
          <w:szCs w:val="22"/>
        </w:rPr>
        <w:t>comptabilisée</w:t>
      </w:r>
      <w:r w:rsidRPr="003B7D35">
        <w:rPr>
          <w:rFonts w:ascii="Times New Roman" w:eastAsia="Calibri" w:hAnsi="Times New Roman"/>
          <w:sz w:val="22"/>
          <w:szCs w:val="22"/>
        </w:rPr>
        <w:t xml:space="preserve"> alors qu’elles y consacrent une bonne partie de leur temps. </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432EB8" w:rsidP="00771667">
      <w:pPr>
        <w:numPr>
          <w:ilvl w:val="0"/>
          <w:numId w:val="95"/>
        </w:numPr>
        <w:autoSpaceDE w:val="0"/>
        <w:autoSpaceDN w:val="0"/>
        <w:adjustRightInd w:val="0"/>
        <w:spacing w:after="0" w:line="276" w:lineRule="auto"/>
        <w:contextualSpacing/>
        <w:jc w:val="left"/>
        <w:rPr>
          <w:rFonts w:ascii="Times New Roman" w:eastAsia="Times New Roman" w:hAnsi="Times New Roman"/>
          <w:color w:val="000000"/>
          <w:sz w:val="22"/>
          <w:szCs w:val="22"/>
          <w:lang w:eastAsia="fr-FR"/>
        </w:rPr>
      </w:pPr>
      <w:r w:rsidRPr="003B7D35">
        <w:rPr>
          <w:rFonts w:ascii="Times New Roman" w:eastAsia="Times New Roman" w:hAnsi="Times New Roman"/>
          <w:b/>
          <w:color w:val="000000"/>
          <w:sz w:val="22"/>
          <w:szCs w:val="22"/>
          <w:lang w:eastAsia="fr-FR"/>
        </w:rPr>
        <w:t>Le Sénégal</w:t>
      </w:r>
      <w:r w:rsidR="00771667" w:rsidRPr="003B7D35">
        <w:rPr>
          <w:rFonts w:ascii="Times New Roman" w:eastAsia="Times New Roman" w:hAnsi="Times New Roman"/>
          <w:b/>
          <w:color w:val="000000"/>
          <w:sz w:val="22"/>
          <w:szCs w:val="22"/>
          <w:lang w:eastAsia="fr-FR"/>
        </w:rPr>
        <w:t xml:space="preserve"> face aux changements climatiques</w:t>
      </w: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lang w:eastAsia="fr-FR"/>
        </w:rPr>
      </w:pPr>
      <w:r w:rsidRPr="003B7D35">
        <w:rPr>
          <w:rFonts w:ascii="Times New Roman" w:hAnsi="Times New Roman"/>
          <w:sz w:val="22"/>
          <w:szCs w:val="22"/>
        </w:rPr>
        <w:t xml:space="preserve">Le changement climatique figure actuellement parmi les questions les plus importantes à </w:t>
      </w:r>
      <w:r w:rsidR="00432EB8" w:rsidRPr="003B7D35">
        <w:rPr>
          <w:rFonts w:ascii="Times New Roman" w:hAnsi="Times New Roman"/>
          <w:sz w:val="22"/>
          <w:szCs w:val="22"/>
        </w:rPr>
        <w:t>l’agenda</w:t>
      </w:r>
      <w:r w:rsidRPr="003B7D35">
        <w:rPr>
          <w:rFonts w:ascii="Times New Roman" w:hAnsi="Times New Roman"/>
          <w:sz w:val="22"/>
          <w:szCs w:val="22"/>
        </w:rPr>
        <w:t xml:space="preserve"> politique et économique mondial. En Afrique, le changement clim</w:t>
      </w:r>
      <w:r w:rsidR="00432EB8" w:rsidRPr="003B7D35">
        <w:rPr>
          <w:rFonts w:ascii="Times New Roman" w:hAnsi="Times New Roman"/>
          <w:sz w:val="22"/>
          <w:szCs w:val="22"/>
        </w:rPr>
        <w:t>atique est une réalité palpable</w:t>
      </w:r>
      <w:r w:rsidRPr="003B7D35">
        <w:rPr>
          <w:rFonts w:ascii="Times New Roman" w:hAnsi="Times New Roman"/>
          <w:sz w:val="22"/>
          <w:szCs w:val="22"/>
        </w:rPr>
        <w:t xml:space="preserve"> qui détermine d’emblée le cours de la vie des populations. Des événements météorologiques extrêmes et l’imprévisibilité accrue des cycles météorologiques ont de graves conséquences pour les populations, particulièrement </w:t>
      </w:r>
      <w:r w:rsidR="00432EB8" w:rsidRPr="003B7D35">
        <w:rPr>
          <w:rFonts w:ascii="Times New Roman" w:hAnsi="Times New Roman"/>
          <w:sz w:val="22"/>
          <w:szCs w:val="22"/>
        </w:rPr>
        <w:t xml:space="preserve">pour </w:t>
      </w:r>
      <w:r w:rsidRPr="003B7D35">
        <w:rPr>
          <w:rFonts w:ascii="Times New Roman" w:hAnsi="Times New Roman"/>
          <w:sz w:val="22"/>
          <w:szCs w:val="22"/>
        </w:rPr>
        <w:t xml:space="preserve">les couches vulnérables qui dépendent des terres, des lacs et des mers pour subvenir à leurs besoins alimentaires et gagner leur vie. En conséquence, la mobilisation de l’Afrique autour de cette question connaît une évolution rapide. </w:t>
      </w:r>
      <w:r w:rsidRPr="003B7D35">
        <w:rPr>
          <w:rFonts w:ascii="Times New Roman" w:eastAsia="Times New Roman" w:hAnsi="Times New Roman"/>
          <w:color w:val="000000"/>
          <w:sz w:val="22"/>
          <w:szCs w:val="22"/>
          <w:lang w:eastAsia="fr-FR"/>
        </w:rPr>
        <w:t xml:space="preserve">Le Sénégal qui subit </w:t>
      </w:r>
      <w:r w:rsidR="00432EB8" w:rsidRPr="003B7D35">
        <w:rPr>
          <w:rFonts w:ascii="Times New Roman" w:eastAsia="Times New Roman" w:hAnsi="Times New Roman"/>
          <w:color w:val="000000"/>
          <w:sz w:val="22"/>
          <w:szCs w:val="22"/>
          <w:lang w:eastAsia="fr-FR"/>
        </w:rPr>
        <w:t>également</w:t>
      </w:r>
      <w:r w:rsidRPr="003B7D35">
        <w:rPr>
          <w:rFonts w:ascii="Times New Roman" w:eastAsia="Times New Roman" w:hAnsi="Times New Roman"/>
          <w:color w:val="000000"/>
          <w:sz w:val="22"/>
          <w:szCs w:val="22"/>
          <w:lang w:eastAsia="fr-FR"/>
        </w:rPr>
        <w:t xml:space="preserve"> de plein fouet les </w:t>
      </w:r>
      <w:r w:rsidR="00432EB8" w:rsidRPr="003B7D35">
        <w:rPr>
          <w:rFonts w:ascii="Times New Roman" w:eastAsia="Times New Roman" w:hAnsi="Times New Roman"/>
          <w:color w:val="000000"/>
          <w:sz w:val="22"/>
          <w:szCs w:val="22"/>
          <w:lang w:eastAsia="fr-FR"/>
        </w:rPr>
        <w:t>incidences</w:t>
      </w:r>
      <w:r w:rsidRPr="003B7D35">
        <w:rPr>
          <w:rFonts w:ascii="Times New Roman" w:eastAsia="Times New Roman" w:hAnsi="Times New Roman"/>
          <w:color w:val="000000"/>
          <w:sz w:val="22"/>
          <w:szCs w:val="22"/>
          <w:lang w:eastAsia="fr-FR"/>
        </w:rPr>
        <w:t xml:space="preserve"> du changement climatique est très actif en terme</w:t>
      </w:r>
      <w:r w:rsidR="00432EB8" w:rsidRPr="003B7D35">
        <w:rPr>
          <w:rFonts w:ascii="Times New Roman" w:eastAsia="Times New Roman" w:hAnsi="Times New Roman"/>
          <w:color w:val="000000"/>
          <w:sz w:val="22"/>
          <w:szCs w:val="22"/>
          <w:lang w:eastAsia="fr-FR"/>
        </w:rPr>
        <w:t>s</w:t>
      </w:r>
      <w:r w:rsidRPr="003B7D35">
        <w:rPr>
          <w:rFonts w:ascii="Times New Roman" w:eastAsia="Times New Roman" w:hAnsi="Times New Roman"/>
          <w:color w:val="000000"/>
          <w:sz w:val="22"/>
          <w:szCs w:val="22"/>
          <w:lang w:eastAsia="fr-FR"/>
        </w:rPr>
        <w:t xml:space="preserve"> de recherche de solutions d’atténuation et d’adaptation. L’action conjuguée de facteurs naturels et anthropiques a profondément modifié les écosystèmes et </w:t>
      </w:r>
      <w:r w:rsidR="00432EB8" w:rsidRPr="003B7D35">
        <w:rPr>
          <w:rFonts w:ascii="Times New Roman" w:eastAsia="Times New Roman" w:hAnsi="Times New Roman"/>
          <w:color w:val="000000"/>
          <w:sz w:val="22"/>
          <w:szCs w:val="22"/>
          <w:lang w:eastAsia="fr-FR"/>
        </w:rPr>
        <w:t xml:space="preserve">a </w:t>
      </w:r>
      <w:r w:rsidRPr="003B7D35">
        <w:rPr>
          <w:rFonts w:ascii="Times New Roman" w:eastAsia="Times New Roman" w:hAnsi="Times New Roman"/>
          <w:color w:val="000000"/>
          <w:sz w:val="22"/>
          <w:szCs w:val="22"/>
          <w:lang w:eastAsia="fr-FR"/>
        </w:rPr>
        <w:t>conduit à leur dégradation.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Du fait de leurs richesses en biodiversité, les écosystèmes du Sénégal constituent une assurance pour la sécurité alimentaire des populations. Néanmoins, cette</w:t>
      </w:r>
      <w:r w:rsidR="00432EB8" w:rsidRPr="003B7D35">
        <w:rPr>
          <w:rFonts w:ascii="Times New Roman" w:eastAsia="Times New Roman" w:hAnsi="Times New Roman"/>
          <w:sz w:val="22"/>
          <w:szCs w:val="22"/>
          <w:lang w:eastAsia="fr-FR"/>
        </w:rPr>
        <w:t xml:space="preserve"> sécurité alimentaire se retrouve</w:t>
      </w:r>
      <w:r w:rsidRPr="003B7D35">
        <w:rPr>
          <w:rFonts w:ascii="Times New Roman" w:eastAsia="Times New Roman" w:hAnsi="Times New Roman"/>
          <w:sz w:val="22"/>
          <w:szCs w:val="22"/>
          <w:lang w:eastAsia="fr-FR"/>
        </w:rPr>
        <w:t xml:space="preserve"> aujourd’hui menacée par plusieurs facteurs dont les changemen</w:t>
      </w:r>
      <w:r w:rsidR="00432EB8" w:rsidRPr="003B7D35">
        <w:rPr>
          <w:rFonts w:ascii="Times New Roman" w:eastAsia="Times New Roman" w:hAnsi="Times New Roman"/>
          <w:sz w:val="22"/>
          <w:szCs w:val="22"/>
          <w:lang w:eastAsia="fr-FR"/>
        </w:rPr>
        <w:t>ts climatiques qui représentent</w:t>
      </w:r>
      <w:r w:rsidRPr="003B7D35">
        <w:rPr>
          <w:rFonts w:ascii="Times New Roman" w:eastAsia="Times New Roman" w:hAnsi="Times New Roman"/>
          <w:sz w:val="22"/>
          <w:szCs w:val="22"/>
          <w:lang w:eastAsia="fr-FR"/>
        </w:rPr>
        <w:t xml:space="preserve"> une menace </w:t>
      </w:r>
      <w:r w:rsidR="00432EB8" w:rsidRPr="003B7D35">
        <w:rPr>
          <w:rFonts w:ascii="Times New Roman" w:eastAsia="Times New Roman" w:hAnsi="Times New Roman"/>
          <w:sz w:val="22"/>
          <w:szCs w:val="22"/>
          <w:lang w:eastAsia="fr-FR"/>
        </w:rPr>
        <w:t>considérable</w:t>
      </w:r>
      <w:r w:rsidRPr="003B7D35">
        <w:rPr>
          <w:rFonts w:ascii="Times New Roman" w:eastAsia="Times New Roman" w:hAnsi="Times New Roman"/>
          <w:sz w:val="22"/>
          <w:szCs w:val="22"/>
          <w:lang w:eastAsia="fr-FR"/>
        </w:rPr>
        <w:t xml:space="preserve"> pour les populations</w:t>
      </w:r>
      <w:r w:rsidR="00432EB8" w:rsidRPr="003B7D35">
        <w:rPr>
          <w:rFonts w:ascii="Times New Roman" w:eastAsia="Times New Roman" w:hAnsi="Times New Roman"/>
          <w:sz w:val="22"/>
          <w:szCs w:val="22"/>
          <w:lang w:eastAsia="fr-FR"/>
        </w:rPr>
        <w:t>, et</w:t>
      </w:r>
      <w:r w:rsidRPr="003B7D35">
        <w:rPr>
          <w:rFonts w:ascii="Times New Roman" w:eastAsia="Times New Roman" w:hAnsi="Times New Roman"/>
          <w:sz w:val="22"/>
          <w:szCs w:val="22"/>
          <w:lang w:eastAsia="fr-FR"/>
        </w:rPr>
        <w:t xml:space="preserve"> particulièrement </w:t>
      </w:r>
      <w:r w:rsidR="00432EB8" w:rsidRPr="003B7D35">
        <w:rPr>
          <w:rFonts w:ascii="Times New Roman" w:eastAsia="Times New Roman" w:hAnsi="Times New Roman"/>
          <w:sz w:val="22"/>
          <w:szCs w:val="22"/>
          <w:lang w:eastAsia="fr-FR"/>
        </w:rPr>
        <w:t>pour les couches dites vulnérables.</w:t>
      </w:r>
    </w:p>
    <w:p w:rsidR="00771667" w:rsidRPr="003B7D35" w:rsidRDefault="00771667" w:rsidP="00771667">
      <w:pPr>
        <w:autoSpaceDE w:val="0"/>
        <w:autoSpaceDN w:val="0"/>
        <w:adjustRightInd w:val="0"/>
        <w:spacing w:after="0"/>
        <w:rPr>
          <w:rFonts w:ascii="Times New Roman" w:eastAsia="Calibri" w:hAnsi="Times New Roman"/>
          <w:b/>
          <w:bCs/>
          <w:sz w:val="22"/>
          <w:szCs w:val="22"/>
        </w:rPr>
      </w:pPr>
      <w:r w:rsidRPr="003B7D35">
        <w:rPr>
          <w:rFonts w:ascii="Times New Roman" w:eastAsia="Times New Roman" w:hAnsi="Times New Roman"/>
          <w:color w:val="000000"/>
          <w:sz w:val="22"/>
          <w:szCs w:val="22"/>
          <w:lang w:eastAsia="fr-FR"/>
        </w:rPr>
        <w:t>Pourtant, l</w:t>
      </w:r>
      <w:r w:rsidRPr="003B7D35">
        <w:rPr>
          <w:rFonts w:ascii="Times New Roman" w:eastAsia="Times New Roman" w:hAnsi="Times New Roman"/>
          <w:sz w:val="22"/>
          <w:szCs w:val="22"/>
          <w:lang w:eastAsia="fr-FR"/>
        </w:rPr>
        <w:t>a conservation des éco</w:t>
      </w:r>
      <w:r w:rsidR="00432EB8" w:rsidRPr="003B7D35">
        <w:rPr>
          <w:rFonts w:ascii="Times New Roman" w:eastAsia="Times New Roman" w:hAnsi="Times New Roman"/>
          <w:sz w:val="22"/>
          <w:szCs w:val="22"/>
          <w:lang w:eastAsia="fr-FR"/>
        </w:rPr>
        <w:t xml:space="preserve">systèmes </w:t>
      </w:r>
      <w:r w:rsidRPr="003B7D35">
        <w:rPr>
          <w:rFonts w:ascii="Times New Roman" w:eastAsia="Times New Roman" w:hAnsi="Times New Roman"/>
          <w:sz w:val="22"/>
          <w:szCs w:val="22"/>
          <w:lang w:eastAsia="fr-FR"/>
        </w:rPr>
        <w:t>fait partie des préoccupations majeures de l’</w:t>
      </w:r>
      <w:r w:rsidR="00432EB8"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du Sénégal qui, outre son dispositif réglementaire et législatif national, a signé et ratifié plusieurs conventions environnementales et s’est engagé auprès des organisations régionales et internationales dans la mise en œuvre de stratégies de développement durable. </w:t>
      </w:r>
      <w:r w:rsidRPr="003B7D35">
        <w:rPr>
          <w:rFonts w:ascii="Times New Roman" w:eastAsia="Calibri" w:hAnsi="Times New Roman"/>
          <w:b/>
          <w:bCs/>
          <w:sz w:val="22"/>
          <w:szCs w:val="22"/>
        </w:rPr>
        <w:t xml:space="preserve"> </w:t>
      </w:r>
    </w:p>
    <w:p w:rsidR="00771667" w:rsidRPr="003B7D35" w:rsidRDefault="00771667" w:rsidP="00771667">
      <w:pPr>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Le Sénégal est d’ailleurs l’un des pays africains dont le cadre juridique et institutionnel de gestion de la biodiversité est en avance tant du point de vue de l’élaboration des règles de gestion que de leur application. En effet, la signature par </w:t>
      </w:r>
      <w:r w:rsidR="00432EB8" w:rsidRPr="003B7D35">
        <w:rPr>
          <w:rFonts w:ascii="Times New Roman" w:eastAsia="Times New Roman" w:hAnsi="Times New Roman"/>
          <w:sz w:val="22"/>
          <w:szCs w:val="22"/>
          <w:lang w:eastAsia="fr-FR"/>
        </w:rPr>
        <w:t>l</w:t>
      </w:r>
      <w:r w:rsidRPr="003B7D35">
        <w:rPr>
          <w:rFonts w:ascii="Times New Roman" w:eastAsia="Times New Roman" w:hAnsi="Times New Roman"/>
          <w:sz w:val="22"/>
          <w:szCs w:val="22"/>
          <w:lang w:eastAsia="fr-FR"/>
        </w:rPr>
        <w:t>’</w:t>
      </w:r>
      <w:r w:rsidR="00432EB8"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du Sénégal de la Convention des Nations Unies sur la diversité biologique, et sa ratification en 1994 au sommet </w:t>
      </w:r>
      <w:r w:rsidR="00432EB8" w:rsidRPr="003B7D35">
        <w:rPr>
          <w:rFonts w:ascii="Times New Roman" w:eastAsia="Times New Roman" w:hAnsi="Times New Roman"/>
          <w:sz w:val="22"/>
          <w:szCs w:val="22"/>
          <w:lang w:eastAsia="fr-FR"/>
        </w:rPr>
        <w:t>de la T</w:t>
      </w:r>
      <w:r w:rsidRPr="003B7D35">
        <w:rPr>
          <w:rFonts w:ascii="Times New Roman" w:eastAsia="Times New Roman" w:hAnsi="Times New Roman"/>
          <w:sz w:val="22"/>
          <w:szCs w:val="22"/>
          <w:lang w:eastAsia="fr-FR"/>
        </w:rPr>
        <w:t xml:space="preserve">erre de Rio de Janeiro en 1992 constituent la première étape de la ferme volonté d’appliquer une nouvelle politique de gestion de la biodiversité. </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Nonobstant ces initiatives, l’évolution du climat et des écosystèmes connait des bouleversements cycliques avec des phases de sécheresse qui affectent les conditions de vie d’un nombre conséquent de personnes, particuliè</w:t>
      </w:r>
      <w:r w:rsidR="00432EB8" w:rsidRPr="003B7D35">
        <w:rPr>
          <w:rFonts w:ascii="Times New Roman" w:eastAsia="Times New Roman" w:hAnsi="Times New Roman"/>
          <w:sz w:val="22"/>
          <w:szCs w:val="22"/>
          <w:lang w:eastAsia="fr-FR"/>
        </w:rPr>
        <w:t>rement les jeunes et les femmes</w:t>
      </w:r>
      <w:r w:rsidRPr="003B7D35">
        <w:rPr>
          <w:rFonts w:ascii="Times New Roman" w:eastAsia="Times New Roman" w:hAnsi="Times New Roman"/>
          <w:sz w:val="22"/>
          <w:szCs w:val="22"/>
          <w:lang w:eastAsia="fr-FR"/>
        </w:rPr>
        <w:t xml:space="preserve"> qui en sont d’aille</w:t>
      </w:r>
      <w:r w:rsidR="00432EB8" w:rsidRPr="003B7D35">
        <w:rPr>
          <w:rFonts w:ascii="Times New Roman" w:eastAsia="Times New Roman" w:hAnsi="Times New Roman"/>
          <w:sz w:val="22"/>
          <w:szCs w:val="22"/>
          <w:lang w:eastAsia="fr-FR"/>
        </w:rPr>
        <w:t>urs les premières victimes. Les</w:t>
      </w:r>
      <w:r w:rsidRPr="003B7D35">
        <w:rPr>
          <w:rFonts w:ascii="Times New Roman" w:eastAsia="Calibri" w:hAnsi="Times New Roman"/>
          <w:sz w:val="22"/>
          <w:szCs w:val="22"/>
        </w:rPr>
        <w:t xml:space="preserve"> enfants sont également parmi les personnes les plus vulnérables </w:t>
      </w:r>
      <w:r w:rsidR="00432EB8" w:rsidRPr="003B7D35">
        <w:rPr>
          <w:rFonts w:ascii="Times New Roman" w:eastAsia="Calibri" w:hAnsi="Times New Roman"/>
          <w:sz w:val="22"/>
          <w:szCs w:val="22"/>
        </w:rPr>
        <w:t xml:space="preserve">face </w:t>
      </w:r>
      <w:r w:rsidRPr="003B7D35">
        <w:rPr>
          <w:rFonts w:ascii="Times New Roman" w:eastAsia="Calibri" w:hAnsi="Times New Roman"/>
          <w:sz w:val="22"/>
          <w:szCs w:val="22"/>
        </w:rPr>
        <w:t xml:space="preserve">aux </w:t>
      </w:r>
      <w:r w:rsidR="00432EB8" w:rsidRPr="003B7D35">
        <w:rPr>
          <w:rFonts w:ascii="Times New Roman" w:eastAsia="Calibri" w:hAnsi="Times New Roman"/>
          <w:sz w:val="22"/>
          <w:szCs w:val="22"/>
        </w:rPr>
        <w:t xml:space="preserve">incidences </w:t>
      </w:r>
      <w:r w:rsidRPr="003B7D35">
        <w:rPr>
          <w:rFonts w:ascii="Times New Roman" w:eastAsia="Calibri" w:hAnsi="Times New Roman"/>
          <w:sz w:val="22"/>
          <w:szCs w:val="22"/>
        </w:rPr>
        <w:t>des changements climatiques et sont les plus touchés eu égard certaines catastrophes ; en outre, certaines maladies q</w:t>
      </w:r>
      <w:r w:rsidR="00432EB8" w:rsidRPr="003B7D35">
        <w:rPr>
          <w:rFonts w:ascii="Times New Roman" w:eastAsia="Calibri" w:hAnsi="Times New Roman"/>
          <w:sz w:val="22"/>
          <w:szCs w:val="22"/>
        </w:rPr>
        <w:t xml:space="preserve">ui les touchent, telles que le </w:t>
      </w:r>
      <w:r w:rsidRPr="003B7D35">
        <w:rPr>
          <w:rFonts w:ascii="Times New Roman" w:eastAsia="Calibri" w:hAnsi="Times New Roman"/>
          <w:sz w:val="22"/>
          <w:szCs w:val="22"/>
        </w:rPr>
        <w:t>paludisme, la diarrhée</w:t>
      </w:r>
      <w:r w:rsidR="00432EB8" w:rsidRPr="003B7D35">
        <w:rPr>
          <w:rFonts w:ascii="Times New Roman" w:eastAsia="Calibri" w:hAnsi="Times New Roman"/>
          <w:sz w:val="22"/>
          <w:szCs w:val="22"/>
        </w:rPr>
        <w:t xml:space="preserve"> et la malnutrition, sont très </w:t>
      </w:r>
      <w:r w:rsidRPr="003B7D35">
        <w:rPr>
          <w:rFonts w:ascii="Times New Roman" w:eastAsia="Calibri" w:hAnsi="Times New Roman"/>
          <w:sz w:val="22"/>
          <w:szCs w:val="22"/>
        </w:rPr>
        <w:t>sensib</w:t>
      </w:r>
      <w:r w:rsidR="00432EB8" w:rsidRPr="003B7D35">
        <w:rPr>
          <w:rFonts w:ascii="Times New Roman" w:eastAsia="Calibri" w:hAnsi="Times New Roman"/>
          <w:sz w:val="22"/>
          <w:szCs w:val="22"/>
        </w:rPr>
        <w:t>les aux conditions climatiques.</w:t>
      </w:r>
    </w:p>
    <w:p w:rsidR="00771667" w:rsidRPr="003B7D35" w:rsidRDefault="00771667" w:rsidP="00771667">
      <w:pPr>
        <w:spacing w:before="240"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populations affectées</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particulièrement </w:t>
      </w:r>
      <w:r w:rsidR="00432EB8" w:rsidRPr="003B7D35">
        <w:rPr>
          <w:rFonts w:ascii="Times New Roman" w:eastAsia="Times New Roman" w:hAnsi="Times New Roman"/>
          <w:sz w:val="22"/>
          <w:szCs w:val="22"/>
          <w:lang w:eastAsia="fr-FR"/>
        </w:rPr>
        <w:t>les populations</w:t>
      </w:r>
      <w:r w:rsidRPr="003B7D35">
        <w:rPr>
          <w:rFonts w:ascii="Times New Roman" w:eastAsia="Times New Roman" w:hAnsi="Times New Roman"/>
          <w:sz w:val="22"/>
          <w:szCs w:val="22"/>
          <w:lang w:eastAsia="fr-FR"/>
        </w:rPr>
        <w:t xml:space="preserve"> vulnérables</w:t>
      </w:r>
      <w:r w:rsidR="00432EB8" w:rsidRPr="003B7D35">
        <w:rPr>
          <w:rFonts w:ascii="Times New Roman" w:eastAsia="Times New Roman" w:hAnsi="Times New Roman"/>
          <w:sz w:val="22"/>
          <w:szCs w:val="22"/>
          <w:lang w:eastAsia="fr-FR"/>
        </w:rPr>
        <w:t xml:space="preserve">, ont ainsi besoin de lutter </w:t>
      </w:r>
      <w:r w:rsidRPr="003B7D35">
        <w:rPr>
          <w:rFonts w:ascii="Times New Roman" w:eastAsia="Times New Roman" w:hAnsi="Times New Roman"/>
          <w:sz w:val="22"/>
          <w:szCs w:val="22"/>
          <w:lang w:eastAsia="fr-FR"/>
        </w:rPr>
        <w:t>en priorité pour le maintien de la sécurité alimentaire, de leurs conditions de vie et</w:t>
      </w:r>
      <w:r w:rsidR="00432EB8" w:rsidRPr="003B7D35">
        <w:rPr>
          <w:rFonts w:ascii="Times New Roman" w:eastAsia="Times New Roman" w:hAnsi="Times New Roman"/>
          <w:sz w:val="22"/>
          <w:szCs w:val="22"/>
          <w:lang w:eastAsia="fr-FR"/>
        </w:rPr>
        <w:t xml:space="preserve"> ont également besoin de</w:t>
      </w:r>
      <w:r w:rsidRPr="003B7D35">
        <w:rPr>
          <w:rFonts w:ascii="Times New Roman" w:eastAsia="Times New Roman" w:hAnsi="Times New Roman"/>
          <w:sz w:val="22"/>
          <w:szCs w:val="22"/>
          <w:lang w:eastAsia="fr-FR"/>
        </w:rPr>
        <w:t xml:space="preserve"> s’adapter aux </w:t>
      </w:r>
      <w:r w:rsidR="00432EB8" w:rsidRPr="003B7D35">
        <w:rPr>
          <w:rFonts w:ascii="Times New Roman" w:eastAsia="Times New Roman" w:hAnsi="Times New Roman"/>
          <w:sz w:val="22"/>
          <w:szCs w:val="22"/>
          <w:lang w:eastAsia="fr-FR"/>
        </w:rPr>
        <w:t>incidences du changement climatique.</w:t>
      </w:r>
      <w:r w:rsidRPr="003B7D35">
        <w:rPr>
          <w:rFonts w:ascii="Times New Roman" w:eastAsia="Times New Roman" w:hAnsi="Times New Roman"/>
          <w:sz w:val="22"/>
          <w:szCs w:val="22"/>
          <w:lang w:eastAsia="fr-FR"/>
        </w:rPr>
        <w:t xml:space="preserve"> Selon le Groupe d’experts intergouvernemental sur l’évolution du climat (GIEC)</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l’adaptation se définit comme étant</w:t>
      </w:r>
      <w:r w:rsidR="00432EB8" w:rsidRPr="003B7D35">
        <w:rPr>
          <w:rFonts w:ascii="Times New Roman" w:eastAsia="Times New Roman" w:hAnsi="Times New Roman"/>
          <w:sz w:val="22"/>
          <w:szCs w:val="22"/>
          <w:lang w:eastAsia="fr-FR"/>
        </w:rPr>
        <w:t> : « L</w:t>
      </w:r>
      <w:r w:rsidRPr="003B7D35">
        <w:rPr>
          <w:rFonts w:ascii="Times New Roman" w:eastAsia="Times New Roman" w:hAnsi="Times New Roman"/>
          <w:sz w:val="22"/>
          <w:szCs w:val="22"/>
          <w:lang w:eastAsia="fr-FR"/>
        </w:rPr>
        <w:t>’ajustement des systèmes naturels ou humains en réponse à des stimuli climatiques présents ou futurs ou à leurs effets afin d’atténuer les effets néfastes ou d’exploiter des opportunités bénéfiques. »  S’ad</w:t>
      </w:r>
      <w:r w:rsidR="00432EB8" w:rsidRPr="003B7D35">
        <w:rPr>
          <w:rFonts w:ascii="Times New Roman" w:eastAsia="Times New Roman" w:hAnsi="Times New Roman"/>
          <w:sz w:val="22"/>
          <w:szCs w:val="22"/>
          <w:lang w:eastAsia="fr-FR"/>
        </w:rPr>
        <w:t xml:space="preserve">apter </w:t>
      </w:r>
      <w:r w:rsidR="00F22AF3">
        <w:rPr>
          <w:rFonts w:ascii="Times New Roman" w:eastAsia="Times New Roman" w:hAnsi="Times New Roman"/>
          <w:sz w:val="22"/>
          <w:szCs w:val="22"/>
          <w:lang w:eastAsia="fr-FR"/>
        </w:rPr>
        <w:t>aux changements climatiques</w:t>
      </w:r>
      <w:r w:rsidR="00432EB8" w:rsidRPr="003B7D35">
        <w:rPr>
          <w:rFonts w:ascii="Times New Roman" w:eastAsia="Times New Roman" w:hAnsi="Times New Roman"/>
          <w:sz w:val="22"/>
          <w:szCs w:val="22"/>
          <w:lang w:eastAsia="fr-FR"/>
        </w:rPr>
        <w:t xml:space="preserve"> signifie ainsi réduire </w:t>
      </w:r>
      <w:r w:rsidRPr="003B7D35">
        <w:rPr>
          <w:rFonts w:ascii="Times New Roman" w:eastAsia="Times New Roman" w:hAnsi="Times New Roman"/>
          <w:sz w:val="22"/>
          <w:szCs w:val="22"/>
          <w:lang w:eastAsia="fr-FR"/>
        </w:rPr>
        <w:t xml:space="preserve">la vulnérabilité </w:t>
      </w:r>
      <w:r w:rsidR="00432EB8" w:rsidRPr="003B7D35">
        <w:rPr>
          <w:rFonts w:ascii="Times New Roman" w:eastAsia="Times New Roman" w:hAnsi="Times New Roman"/>
          <w:sz w:val="22"/>
          <w:szCs w:val="22"/>
          <w:lang w:eastAsia="fr-FR"/>
        </w:rPr>
        <w:t xml:space="preserve">face </w:t>
      </w:r>
      <w:r w:rsidRPr="003B7D35">
        <w:rPr>
          <w:rFonts w:ascii="Times New Roman" w:eastAsia="Times New Roman" w:hAnsi="Times New Roman"/>
          <w:sz w:val="22"/>
          <w:szCs w:val="22"/>
          <w:lang w:eastAsia="fr-FR"/>
        </w:rPr>
        <w:t>aux risques climatiques en cours et à venir. Or</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les changements climatiques n’affectent pas de la même manière toutes le</w:t>
      </w:r>
      <w:r w:rsidR="00432EB8" w:rsidRPr="003B7D35">
        <w:rPr>
          <w:rFonts w:ascii="Times New Roman" w:eastAsia="Times New Roman" w:hAnsi="Times New Roman"/>
          <w:sz w:val="22"/>
          <w:szCs w:val="22"/>
          <w:lang w:eastAsia="fr-FR"/>
        </w:rPr>
        <w:t>s personnes au sein d’un ménage</w:t>
      </w:r>
      <w:r w:rsidRPr="003B7D35">
        <w:rPr>
          <w:rFonts w:ascii="Times New Roman" w:eastAsia="Times New Roman" w:hAnsi="Times New Roman"/>
          <w:sz w:val="22"/>
          <w:szCs w:val="22"/>
          <w:lang w:eastAsia="fr-FR"/>
        </w:rPr>
        <w:t xml:space="preserve"> ou d’une communauté donnée. La répartition inégale des droits, des ressources et du pouvoir restreint la capacité d’action sur le changement climatique, d’où la nécessité absolue d’intégrer le genre dans la prise en charge de la vulnérabilité </w:t>
      </w:r>
      <w:r w:rsidR="00F22AF3">
        <w:rPr>
          <w:rFonts w:ascii="Times New Roman" w:eastAsia="Times New Roman" w:hAnsi="Times New Roman"/>
          <w:sz w:val="22"/>
          <w:szCs w:val="22"/>
          <w:lang w:eastAsia="fr-FR"/>
        </w:rPr>
        <w:t>aux changements climatiques</w:t>
      </w:r>
      <w:r w:rsidRPr="003B7D35">
        <w:rPr>
          <w:rFonts w:ascii="Times New Roman" w:eastAsia="Times New Roman" w:hAnsi="Times New Roman"/>
          <w:sz w:val="22"/>
          <w:szCs w:val="22"/>
          <w:lang w:eastAsia="fr-FR"/>
        </w:rPr>
        <w:t xml:space="preserve"> qui est intrinsèquement lié aux vulnérabilités induites par les</w:t>
      </w:r>
      <w:r w:rsidR="00432EB8" w:rsidRPr="003B7D35">
        <w:rPr>
          <w:rFonts w:ascii="Times New Roman" w:eastAsia="Times New Roman" w:hAnsi="Times New Roman"/>
          <w:sz w:val="22"/>
          <w:szCs w:val="22"/>
          <w:lang w:eastAsia="fr-FR"/>
        </w:rPr>
        <w:t xml:space="preserve"> déséquilibres sociaux</w:t>
      </w:r>
      <w:r w:rsidRPr="003B7D35">
        <w:rPr>
          <w:rFonts w:ascii="Times New Roman" w:eastAsia="Times New Roman" w:hAnsi="Times New Roman"/>
          <w:sz w:val="22"/>
          <w:szCs w:val="22"/>
          <w:lang w:eastAsia="fr-FR"/>
        </w:rPr>
        <w:t xml:space="preserve">, économiques et politiques. </w:t>
      </w:r>
    </w:p>
    <w:p w:rsidR="00771667" w:rsidRPr="003B7D35" w:rsidRDefault="00432EB8"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Calibri" w:hAnsi="Times New Roman"/>
          <w:sz w:val="22"/>
          <w:szCs w:val="22"/>
        </w:rPr>
        <w:t>Le projet</w:t>
      </w:r>
      <w:r w:rsidR="00771667" w:rsidRPr="003B7D35">
        <w:rPr>
          <w:rFonts w:ascii="Times New Roman" w:eastAsia="Calibri" w:hAnsi="Times New Roman"/>
          <w:sz w:val="22"/>
          <w:szCs w:val="22"/>
        </w:rPr>
        <w:t xml:space="preserve"> de promotion d’une finance novatrice d’adaptation communautaire autour des réserves naturelles communautaires a pour </w:t>
      </w:r>
      <w:r w:rsidRPr="003B7D35">
        <w:rPr>
          <w:rFonts w:ascii="Times New Roman" w:eastAsia="Times New Roman" w:hAnsi="Times New Roman"/>
          <w:sz w:val="22"/>
          <w:szCs w:val="22"/>
          <w:lang w:eastAsia="fr-FR"/>
        </w:rPr>
        <w:t xml:space="preserve">objectif </w:t>
      </w:r>
      <w:r w:rsidR="00771667" w:rsidRPr="003B7D35">
        <w:rPr>
          <w:rFonts w:ascii="Times New Roman" w:eastAsia="Times New Roman" w:hAnsi="Times New Roman"/>
          <w:sz w:val="22"/>
          <w:szCs w:val="22"/>
          <w:lang w:eastAsia="fr-FR"/>
        </w:rPr>
        <w:t xml:space="preserve">de mettre en place un ensemble de mesures et de stratégies en vue de promouvoir l’équité de genre et </w:t>
      </w:r>
      <w:r w:rsidRPr="003B7D35">
        <w:rPr>
          <w:rFonts w:ascii="Times New Roman" w:eastAsia="Times New Roman" w:hAnsi="Times New Roman"/>
          <w:sz w:val="22"/>
          <w:szCs w:val="22"/>
          <w:lang w:eastAsia="fr-FR"/>
        </w:rPr>
        <w:t xml:space="preserve">de </w:t>
      </w:r>
      <w:r w:rsidR="00771667" w:rsidRPr="003B7D35">
        <w:rPr>
          <w:rFonts w:ascii="Times New Roman" w:eastAsia="Times New Roman" w:hAnsi="Times New Roman"/>
          <w:sz w:val="22"/>
          <w:szCs w:val="22"/>
          <w:lang w:eastAsia="fr-FR"/>
        </w:rPr>
        <w:t>garantir la promotion de la femme et des autres groupes vulnérables (personnes âgées, handicapées, jeunes</w:t>
      </w:r>
      <w:r w:rsidRPr="003B7D35">
        <w:rPr>
          <w:rFonts w:ascii="Times New Roman" w:eastAsia="Times New Roman" w:hAnsi="Times New Roman"/>
          <w:sz w:val="22"/>
          <w:szCs w:val="22"/>
          <w:lang w:eastAsia="fr-FR"/>
        </w:rPr>
        <w:t>,</w:t>
      </w:r>
      <w:r w:rsidR="00771667" w:rsidRPr="003B7D35">
        <w:rPr>
          <w:rFonts w:ascii="Times New Roman" w:eastAsia="Times New Roman" w:hAnsi="Times New Roman"/>
          <w:sz w:val="22"/>
          <w:szCs w:val="22"/>
          <w:lang w:eastAsia="fr-FR"/>
        </w:rPr>
        <w:t xml:space="preserve"> etc.) dans les activités d’adaptation aux changements climatiques qui seront initiées. Il s’agit là de la participation de toutes les couches de la population dans la formulation et l’exécution des activités du projet afin qu’elles aient </w:t>
      </w:r>
      <w:r w:rsidRPr="003B7D35">
        <w:rPr>
          <w:rFonts w:ascii="Times New Roman" w:eastAsia="Times New Roman" w:hAnsi="Times New Roman"/>
          <w:sz w:val="22"/>
          <w:szCs w:val="22"/>
          <w:lang w:eastAsia="fr-FR"/>
        </w:rPr>
        <w:t xml:space="preserve">un accès égal </w:t>
      </w:r>
      <w:r w:rsidR="00771667" w:rsidRPr="003B7D35">
        <w:rPr>
          <w:rFonts w:ascii="Times New Roman" w:eastAsia="Times New Roman" w:hAnsi="Times New Roman"/>
          <w:sz w:val="22"/>
          <w:szCs w:val="22"/>
          <w:lang w:eastAsia="fr-FR"/>
        </w:rPr>
        <w:t>aux bénéfices, aux décisions et contrôle</w:t>
      </w:r>
      <w:r w:rsidRPr="003B7D35">
        <w:rPr>
          <w:rFonts w:ascii="Times New Roman" w:eastAsia="Times New Roman" w:hAnsi="Times New Roman"/>
          <w:sz w:val="22"/>
          <w:szCs w:val="22"/>
          <w:lang w:eastAsia="fr-FR"/>
        </w:rPr>
        <w:t>s</w:t>
      </w:r>
      <w:r w:rsidR="00771667" w:rsidRPr="003B7D35">
        <w:rPr>
          <w:rFonts w:ascii="Times New Roman" w:eastAsia="Times New Roman" w:hAnsi="Times New Roman"/>
          <w:sz w:val="22"/>
          <w:szCs w:val="22"/>
          <w:lang w:eastAsia="fr-FR"/>
        </w:rPr>
        <w:t xml:space="preserve"> des ressources générées par le projet en vue d’une amélioration de leurs conditions de vie. </w:t>
      </w: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shd w:val="clear" w:color="auto" w:fill="FFFFFF"/>
          <w:lang w:eastAsia="fr-FR"/>
        </w:rPr>
      </w:pPr>
      <w:r w:rsidRPr="003B7D35">
        <w:rPr>
          <w:rFonts w:ascii="Times New Roman" w:eastAsia="Calibri" w:hAnsi="Times New Roman"/>
          <w:sz w:val="22"/>
          <w:szCs w:val="22"/>
        </w:rPr>
        <w:t>L’intégration d</w:t>
      </w:r>
      <w:r w:rsidR="00432EB8" w:rsidRPr="003B7D35">
        <w:rPr>
          <w:rFonts w:ascii="Times New Roman" w:eastAsia="Calibri" w:hAnsi="Times New Roman"/>
          <w:sz w:val="22"/>
          <w:szCs w:val="22"/>
        </w:rPr>
        <w:t>u genre dans la prise en charge</w:t>
      </w:r>
      <w:r w:rsidRPr="003B7D35">
        <w:rPr>
          <w:rFonts w:ascii="Times New Roman" w:eastAsia="Calibri" w:hAnsi="Times New Roman"/>
          <w:sz w:val="22"/>
          <w:szCs w:val="22"/>
        </w:rPr>
        <w:t xml:space="preserve"> de la question de l’adaptation aux changements climatiques, plus particulièrement dans le projet de promotion d’une finance novatrice d’adaptation communautaire autour des réserves naturelles communautaires</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trouv</w:t>
      </w:r>
      <w:r w:rsidR="00432EB8" w:rsidRPr="003B7D35">
        <w:rPr>
          <w:rFonts w:ascii="Times New Roman" w:eastAsia="Calibri" w:hAnsi="Times New Roman"/>
          <w:sz w:val="22"/>
          <w:szCs w:val="22"/>
        </w:rPr>
        <w:t>e ainsi sa pertinence dans les différents rôles que jouent les femmes dans la</w:t>
      </w:r>
      <w:r w:rsidRPr="003B7D35">
        <w:rPr>
          <w:rFonts w:ascii="Times New Roman" w:eastAsia="Calibri" w:hAnsi="Times New Roman"/>
          <w:sz w:val="22"/>
          <w:szCs w:val="22"/>
        </w:rPr>
        <w:t xml:space="preserve"> société. </w:t>
      </w:r>
      <w:r w:rsidRPr="003B7D35">
        <w:rPr>
          <w:rFonts w:ascii="Times New Roman" w:eastAsia="Times New Roman" w:hAnsi="Times New Roman"/>
          <w:color w:val="000000"/>
          <w:sz w:val="22"/>
          <w:szCs w:val="22"/>
          <w:shd w:val="clear" w:color="auto" w:fill="FFFFFF"/>
          <w:lang w:eastAsia="fr-FR"/>
        </w:rPr>
        <w:t xml:space="preserve">Ainsi, au-delà d’une simple discrimination à l’égard des femmes et des jeunes, la problématique </w:t>
      </w:r>
      <w:r w:rsidR="00432EB8" w:rsidRPr="003B7D35">
        <w:rPr>
          <w:rFonts w:ascii="Times New Roman" w:eastAsia="Times New Roman" w:hAnsi="Times New Roman"/>
          <w:color w:val="000000"/>
          <w:sz w:val="22"/>
          <w:szCs w:val="22"/>
          <w:shd w:val="clear" w:color="auto" w:fill="FFFFFF"/>
          <w:lang w:eastAsia="fr-FR"/>
        </w:rPr>
        <w:t>du genre représente</w:t>
      </w:r>
      <w:r w:rsidRPr="003B7D35">
        <w:rPr>
          <w:rFonts w:ascii="Times New Roman" w:eastAsia="Times New Roman" w:hAnsi="Times New Roman"/>
          <w:color w:val="000000"/>
          <w:sz w:val="22"/>
          <w:szCs w:val="22"/>
          <w:shd w:val="clear" w:color="auto" w:fill="FFFFFF"/>
          <w:lang w:eastAsia="fr-FR"/>
        </w:rPr>
        <w:t xml:space="preserve"> une dimension </w:t>
      </w:r>
      <w:r w:rsidR="00432EB8" w:rsidRPr="003B7D35">
        <w:rPr>
          <w:rFonts w:ascii="Times New Roman" w:eastAsia="Times New Roman" w:hAnsi="Times New Roman"/>
          <w:color w:val="000000"/>
          <w:sz w:val="22"/>
          <w:szCs w:val="22"/>
          <w:shd w:val="clear" w:color="auto" w:fill="FFFFFF"/>
          <w:lang w:eastAsia="fr-FR"/>
        </w:rPr>
        <w:t>majeure</w:t>
      </w:r>
      <w:r w:rsidRPr="003B7D35">
        <w:rPr>
          <w:rFonts w:ascii="Times New Roman" w:eastAsia="Times New Roman" w:hAnsi="Times New Roman"/>
          <w:color w:val="000000"/>
          <w:sz w:val="22"/>
          <w:szCs w:val="22"/>
          <w:shd w:val="clear" w:color="auto" w:fill="FFFFFF"/>
          <w:lang w:eastAsia="fr-FR"/>
        </w:rPr>
        <w:t xml:space="preserve"> à prendre en compte dans les stratégies de développement durable.</w:t>
      </w: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widowControl w:val="0"/>
        <w:numPr>
          <w:ilvl w:val="1"/>
          <w:numId w:val="95"/>
        </w:numPr>
        <w:tabs>
          <w:tab w:val="left" w:pos="431"/>
          <w:tab w:val="left" w:pos="885"/>
          <w:tab w:val="left" w:leader="dot" w:pos="8199"/>
          <w:tab w:val="right" w:pos="8709"/>
        </w:tabs>
        <w:autoSpaceDE w:val="0"/>
        <w:autoSpaceDN w:val="0"/>
        <w:adjustRightInd w:val="0"/>
        <w:spacing w:after="0" w:line="276" w:lineRule="auto"/>
        <w:contextualSpacing/>
        <w:rPr>
          <w:rFonts w:ascii="Times New Roman" w:eastAsia="Times New Roman" w:hAnsi="Times New Roman"/>
          <w:b/>
          <w:bCs/>
          <w:color w:val="333333"/>
          <w:sz w:val="22"/>
          <w:szCs w:val="22"/>
          <w:lang w:eastAsia="fr-FR"/>
        </w:rPr>
      </w:pPr>
      <w:r w:rsidRPr="003B7D35">
        <w:rPr>
          <w:rFonts w:ascii="Times New Roman" w:eastAsia="Calibri" w:hAnsi="Times New Roman"/>
          <w:b/>
          <w:bCs/>
          <w:sz w:val="22"/>
          <w:szCs w:val="22"/>
        </w:rPr>
        <w:t>Vulnérabilité des femmes dans l’accès aux ressources au Sénégal</w:t>
      </w: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rPr>
          <w:rFonts w:ascii="Times New Roman" w:eastAsia="Times New Roman" w:hAnsi="Times New Roman"/>
          <w:b/>
          <w:bCs/>
          <w:color w:val="333333"/>
          <w:sz w:val="22"/>
          <w:szCs w:val="22"/>
          <w:lang w:eastAsia="fr-FR"/>
        </w:rPr>
      </w:pP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En </w:t>
      </w:r>
      <w:r w:rsidR="00432EB8" w:rsidRPr="003B7D35">
        <w:rPr>
          <w:rFonts w:ascii="Times New Roman" w:eastAsia="Times New Roman" w:hAnsi="Times New Roman"/>
          <w:sz w:val="22"/>
          <w:szCs w:val="22"/>
          <w:lang w:eastAsia="fr-FR"/>
        </w:rPr>
        <w:t>milieu rural, les femmes jouent</w:t>
      </w:r>
      <w:r w:rsidRPr="003B7D35">
        <w:rPr>
          <w:rFonts w:ascii="Times New Roman" w:eastAsia="Times New Roman" w:hAnsi="Times New Roman"/>
          <w:sz w:val="22"/>
          <w:szCs w:val="22"/>
          <w:lang w:eastAsia="fr-FR"/>
        </w:rPr>
        <w:t xml:space="preserve"> un rôle pivot dans le développement de leur com</w:t>
      </w:r>
      <w:r w:rsidR="00432EB8" w:rsidRPr="003B7D35">
        <w:rPr>
          <w:rFonts w:ascii="Times New Roman" w:eastAsia="Times New Roman" w:hAnsi="Times New Roman"/>
          <w:sz w:val="22"/>
          <w:szCs w:val="22"/>
          <w:lang w:eastAsia="fr-FR"/>
        </w:rPr>
        <w:t xml:space="preserve">munauté </w:t>
      </w:r>
      <w:r w:rsidRPr="003B7D35">
        <w:rPr>
          <w:rFonts w:ascii="Times New Roman" w:eastAsia="Times New Roman" w:hAnsi="Times New Roman"/>
          <w:sz w:val="22"/>
          <w:szCs w:val="22"/>
          <w:lang w:eastAsia="fr-FR"/>
        </w:rPr>
        <w:t>et occupent une place prépondérante dans le système socio-économique traditionnel.  Elles génèrent une partie substantielle du budget fam</w:t>
      </w:r>
      <w:r w:rsidR="00432EB8" w:rsidRPr="003B7D35">
        <w:rPr>
          <w:rFonts w:ascii="Times New Roman" w:eastAsia="Times New Roman" w:hAnsi="Times New Roman"/>
          <w:sz w:val="22"/>
          <w:szCs w:val="22"/>
          <w:lang w:eastAsia="fr-FR"/>
        </w:rPr>
        <w:t xml:space="preserve">ilial par la vente de produits </w:t>
      </w:r>
      <w:r w:rsidRPr="003B7D35">
        <w:rPr>
          <w:rFonts w:ascii="Times New Roman" w:eastAsia="Times New Roman" w:hAnsi="Times New Roman"/>
          <w:sz w:val="22"/>
          <w:szCs w:val="22"/>
          <w:lang w:eastAsia="fr-FR"/>
        </w:rPr>
        <w:t>de cueillette, de maraîchage, de pêche, etc.</w:t>
      </w:r>
    </w:p>
    <w:p w:rsidR="00771667" w:rsidRPr="003B7D35" w:rsidRDefault="00432EB8" w:rsidP="00771667">
      <w:pPr>
        <w:widowControl w:val="0"/>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femmes</w:t>
      </w:r>
      <w:r w:rsidR="00771667" w:rsidRPr="003B7D35">
        <w:rPr>
          <w:rFonts w:ascii="Times New Roman" w:eastAsia="Times New Roman" w:hAnsi="Times New Roman"/>
          <w:sz w:val="22"/>
          <w:szCs w:val="22"/>
          <w:lang w:eastAsia="fr-FR"/>
        </w:rPr>
        <w:t xml:space="preserve"> contrôlent </w:t>
      </w:r>
      <w:r w:rsidRPr="003B7D35">
        <w:rPr>
          <w:rFonts w:ascii="Times New Roman" w:eastAsia="Times New Roman" w:hAnsi="Times New Roman"/>
          <w:sz w:val="22"/>
          <w:szCs w:val="22"/>
          <w:lang w:eastAsia="fr-FR"/>
        </w:rPr>
        <w:t>également</w:t>
      </w:r>
      <w:r w:rsidR="00771667" w:rsidRPr="003B7D35">
        <w:rPr>
          <w:rFonts w:ascii="Times New Roman" w:eastAsia="Times New Roman" w:hAnsi="Times New Roman"/>
          <w:sz w:val="22"/>
          <w:szCs w:val="22"/>
          <w:lang w:eastAsia="fr-FR"/>
        </w:rPr>
        <w:t xml:space="preserve"> l’essentiel de l’économie non monétaire et sont responsables de beaucoup d’activités liées à la reproduction sociale</w:t>
      </w:r>
      <w:r w:rsidRPr="003B7D35">
        <w:rPr>
          <w:rFonts w:ascii="Times New Roman" w:eastAsia="Times New Roman" w:hAnsi="Times New Roman"/>
          <w:sz w:val="22"/>
          <w:szCs w:val="22"/>
          <w:lang w:eastAsia="fr-FR"/>
        </w:rPr>
        <w:t xml:space="preserve">. En </w:t>
      </w:r>
      <w:r w:rsidR="00771667" w:rsidRPr="003B7D35">
        <w:rPr>
          <w:rFonts w:ascii="Times New Roman" w:eastAsia="Times New Roman" w:hAnsi="Times New Roman"/>
          <w:sz w:val="22"/>
          <w:szCs w:val="22"/>
          <w:lang w:eastAsia="fr-FR"/>
        </w:rPr>
        <w:t xml:space="preserve">effet, elles </w:t>
      </w:r>
      <w:r w:rsidRPr="003B7D35">
        <w:rPr>
          <w:rFonts w:ascii="Times New Roman" w:eastAsia="Times New Roman" w:hAnsi="Times New Roman"/>
          <w:sz w:val="22"/>
          <w:szCs w:val="22"/>
          <w:lang w:eastAsia="fr-FR"/>
        </w:rPr>
        <w:t>s’occupent de l’ensemble</w:t>
      </w:r>
      <w:r w:rsidR="00771667" w:rsidRPr="003B7D35">
        <w:rPr>
          <w:rFonts w:ascii="Times New Roman" w:eastAsia="Times New Roman" w:hAnsi="Times New Roman"/>
          <w:sz w:val="22"/>
          <w:szCs w:val="22"/>
          <w:lang w:eastAsia="fr-FR"/>
        </w:rPr>
        <w:t xml:space="preserve"> des travaux domestiques (cuisson des repas, vaisselle, linge, puisage de l’eau, ramassage de bois mort, cueillette et vente de fruits sauvages, etc.) et s’</w:t>
      </w:r>
      <w:r w:rsidRPr="003B7D35">
        <w:rPr>
          <w:rFonts w:ascii="Times New Roman" w:eastAsia="Times New Roman" w:hAnsi="Times New Roman"/>
          <w:sz w:val="22"/>
          <w:szCs w:val="22"/>
          <w:lang w:eastAsia="fr-FR"/>
        </w:rPr>
        <w:t xml:space="preserve">occupent également des enfants et </w:t>
      </w:r>
      <w:r w:rsidR="00771667" w:rsidRPr="003B7D35">
        <w:rPr>
          <w:rFonts w:ascii="Times New Roman" w:eastAsia="Times New Roman" w:hAnsi="Times New Roman"/>
          <w:sz w:val="22"/>
          <w:szCs w:val="22"/>
          <w:lang w:eastAsia="fr-FR"/>
        </w:rPr>
        <w:t>des personnes âgées et/ ou malades.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Du fait de leur position au</w:t>
      </w:r>
      <w:r w:rsidR="00432EB8" w:rsidRPr="003B7D35">
        <w:rPr>
          <w:rFonts w:ascii="Times New Roman" w:eastAsia="Times New Roman" w:hAnsi="Times New Roman"/>
          <w:sz w:val="22"/>
          <w:szCs w:val="22"/>
          <w:lang w:eastAsia="fr-FR"/>
        </w:rPr>
        <w:t xml:space="preserve"> sein de la société, les femmes</w:t>
      </w:r>
      <w:r w:rsidRPr="003B7D35">
        <w:rPr>
          <w:rFonts w:ascii="Times New Roman" w:eastAsia="Times New Roman" w:hAnsi="Times New Roman"/>
          <w:sz w:val="22"/>
          <w:szCs w:val="22"/>
          <w:lang w:eastAsia="fr-FR"/>
        </w:rPr>
        <w:t xml:space="preserve"> vivent de manière générale dans </w:t>
      </w:r>
      <w:r w:rsidR="00432EB8" w:rsidRPr="003B7D35">
        <w:rPr>
          <w:rFonts w:ascii="Times New Roman" w:eastAsia="Times New Roman" w:hAnsi="Times New Roman"/>
          <w:sz w:val="22"/>
          <w:szCs w:val="22"/>
          <w:lang w:eastAsia="fr-FR"/>
        </w:rPr>
        <w:t xml:space="preserve">une situation de vulnérabilité </w:t>
      </w:r>
      <w:r w:rsidRPr="003B7D35">
        <w:rPr>
          <w:rFonts w:ascii="Times New Roman" w:eastAsia="Times New Roman" w:hAnsi="Times New Roman"/>
          <w:sz w:val="22"/>
          <w:szCs w:val="22"/>
          <w:lang w:eastAsia="fr-FR"/>
        </w:rPr>
        <w:t>économique et s</w:t>
      </w:r>
      <w:r w:rsidR="00432EB8" w:rsidRPr="003B7D35">
        <w:rPr>
          <w:rFonts w:ascii="Times New Roman" w:eastAsia="Times New Roman" w:hAnsi="Times New Roman"/>
          <w:sz w:val="22"/>
          <w:szCs w:val="22"/>
          <w:lang w:eastAsia="fr-FR"/>
        </w:rPr>
        <w:t>ociale, situation</w:t>
      </w:r>
      <w:r w:rsidRPr="003B7D35">
        <w:rPr>
          <w:rFonts w:ascii="Times New Roman" w:eastAsia="Times New Roman" w:hAnsi="Times New Roman"/>
          <w:sz w:val="22"/>
          <w:szCs w:val="22"/>
          <w:lang w:eastAsia="fr-FR"/>
        </w:rPr>
        <w:t xml:space="preserve"> aujourd’hui exacerbée par les changements climatiques</w:t>
      </w:r>
      <w:r w:rsidR="00432EB8" w:rsidRPr="003B7D35">
        <w:rPr>
          <w:rFonts w:ascii="Times New Roman" w:eastAsia="Times New Roman" w:hAnsi="Times New Roman"/>
          <w:sz w:val="22"/>
          <w:szCs w:val="22"/>
          <w:lang w:eastAsia="fr-FR"/>
        </w:rPr>
        <w:t xml:space="preserve"> qui aggravent les difficultés auxquelles elles sont déjà confrontées.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Au niveau des quatre sites du projet que sont le bas delta du fleuve Sénégal (prédominance de la production halieutique</w:t>
      </w:r>
      <w:r w:rsidR="0061152F" w:rsidRPr="003B7D35">
        <w:rPr>
          <w:rFonts w:ascii="Times New Roman" w:eastAsia="Calibri" w:hAnsi="Times New Roman"/>
          <w:sz w:val="22"/>
          <w:szCs w:val="22"/>
        </w:rPr>
        <w:t>)</w:t>
      </w:r>
      <w:r w:rsidRPr="003B7D35">
        <w:rPr>
          <w:rFonts w:ascii="Times New Roman" w:eastAsia="Calibri" w:hAnsi="Times New Roman"/>
          <w:sz w:val="22"/>
          <w:szCs w:val="22"/>
        </w:rPr>
        <w:t>, la zone du Ferlo (avec une prédominance de l’élevage), le delta du Saloum et la zone de Tamba</w:t>
      </w:r>
      <w:r w:rsidR="0061152F" w:rsidRPr="003B7D35">
        <w:rPr>
          <w:rFonts w:ascii="Times New Roman" w:eastAsia="Calibri" w:hAnsi="Times New Roman"/>
          <w:sz w:val="22"/>
          <w:szCs w:val="22"/>
        </w:rPr>
        <w:t>counda (prédominance forestière</w:t>
      </w:r>
      <w:r w:rsidRPr="003B7D35">
        <w:rPr>
          <w:rFonts w:ascii="Times New Roman" w:eastAsia="Calibri" w:hAnsi="Times New Roman"/>
          <w:sz w:val="22"/>
          <w:szCs w:val="22"/>
        </w:rPr>
        <w:t xml:space="preserve"> et </w:t>
      </w:r>
      <w:r w:rsidR="0061152F" w:rsidRPr="003B7D35">
        <w:rPr>
          <w:rFonts w:ascii="Times New Roman" w:eastAsia="Calibri" w:hAnsi="Times New Roman"/>
          <w:sz w:val="22"/>
          <w:szCs w:val="22"/>
        </w:rPr>
        <w:t>faunique), les activités socio-</w:t>
      </w:r>
      <w:r w:rsidRPr="003B7D35">
        <w:rPr>
          <w:rFonts w:ascii="Times New Roman" w:eastAsia="Calibri" w:hAnsi="Times New Roman"/>
          <w:sz w:val="22"/>
          <w:szCs w:val="22"/>
        </w:rPr>
        <w:t>économiques concernent principalement l’agriculture, l’élevage et la pêche</w:t>
      </w:r>
      <w:r w:rsidR="0061152F" w:rsidRPr="003B7D35">
        <w:rPr>
          <w:rFonts w:ascii="Times New Roman" w:eastAsia="Calibri" w:hAnsi="Times New Roman"/>
          <w:sz w:val="22"/>
          <w:szCs w:val="22"/>
        </w:rPr>
        <w:t xml:space="preserve"> et les femmes y participent </w:t>
      </w:r>
      <w:r w:rsidRPr="003B7D35">
        <w:rPr>
          <w:rFonts w:ascii="Times New Roman" w:eastAsia="Calibri" w:hAnsi="Times New Roman"/>
          <w:sz w:val="22"/>
          <w:szCs w:val="22"/>
        </w:rPr>
        <w:t xml:space="preserve">pleinement.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color w:val="000000"/>
          <w:sz w:val="22"/>
          <w:szCs w:val="22"/>
          <w:shd w:val="clear" w:color="auto" w:fill="FFFFFF"/>
          <w:lang w:eastAsia="fr-FR"/>
        </w:rPr>
        <w:t xml:space="preserve">Néanmoins, sous l’influence des valeurs </w:t>
      </w:r>
      <w:r w:rsidR="0061152F" w:rsidRPr="003B7D35">
        <w:rPr>
          <w:rFonts w:ascii="Times New Roman" w:eastAsia="Times New Roman" w:hAnsi="Times New Roman"/>
          <w:color w:val="000000"/>
          <w:sz w:val="22"/>
          <w:szCs w:val="22"/>
          <w:shd w:val="clear" w:color="auto" w:fill="FFFFFF"/>
          <w:lang w:eastAsia="fr-FR"/>
        </w:rPr>
        <w:t>socioculturelles</w:t>
      </w:r>
      <w:r w:rsidRPr="003B7D35">
        <w:rPr>
          <w:rFonts w:ascii="Times New Roman" w:eastAsia="Times New Roman" w:hAnsi="Times New Roman"/>
          <w:color w:val="000000"/>
          <w:sz w:val="22"/>
          <w:szCs w:val="22"/>
          <w:shd w:val="clear" w:color="auto" w:fill="FFFFFF"/>
          <w:lang w:eastAsia="fr-FR"/>
        </w:rPr>
        <w:t>, les opportunités de promotion sociale offertes aux femmes et aux jeunes sont généralement limitées aussi bien au niveau de la famille qu’à celui de la collectivité</w:t>
      </w:r>
      <w:r w:rsidR="00E404FB">
        <w:rPr>
          <w:rFonts w:ascii="Times New Roman" w:eastAsia="Times New Roman" w:hAnsi="Times New Roman"/>
          <w:color w:val="000000"/>
          <w:sz w:val="22"/>
          <w:szCs w:val="22"/>
          <w:shd w:val="clear" w:color="auto" w:fill="FFFFFF"/>
          <w:lang w:eastAsia="fr-FR"/>
        </w:rPr>
        <w:t xml:space="preserve"> </w:t>
      </w:r>
      <w:r w:rsidRPr="003B7D35">
        <w:rPr>
          <w:rFonts w:ascii="Times New Roman" w:eastAsia="Times New Roman" w:hAnsi="Times New Roman"/>
          <w:color w:val="000000"/>
          <w:sz w:val="22"/>
          <w:szCs w:val="22"/>
          <w:shd w:val="clear" w:color="auto" w:fill="FFFFFF"/>
          <w:lang w:eastAsia="fr-FR"/>
        </w:rPr>
        <w:t xml:space="preserve">: difficultés d’accès à la terre, à l’éducation, au processus de prise de décision, etc. Ce sont là autant de contraintes qui entravent l’épanouissement de la femme et </w:t>
      </w:r>
      <w:r w:rsidR="0061152F" w:rsidRPr="003B7D35">
        <w:rPr>
          <w:rFonts w:ascii="Times New Roman" w:eastAsia="Times New Roman" w:hAnsi="Times New Roman"/>
          <w:color w:val="000000"/>
          <w:sz w:val="22"/>
          <w:szCs w:val="22"/>
          <w:shd w:val="clear" w:color="auto" w:fill="FFFFFF"/>
          <w:lang w:eastAsia="fr-FR"/>
        </w:rPr>
        <w:t>des jeunes</w:t>
      </w:r>
      <w:r w:rsidRPr="003B7D35">
        <w:rPr>
          <w:rFonts w:ascii="Times New Roman" w:eastAsia="Times New Roman" w:hAnsi="Times New Roman"/>
          <w:color w:val="000000"/>
          <w:sz w:val="22"/>
          <w:szCs w:val="22"/>
          <w:shd w:val="clear" w:color="auto" w:fill="FFFFFF"/>
          <w:lang w:eastAsia="fr-FR"/>
        </w:rPr>
        <w:t xml:space="preserve"> au plan individuel et collectif, et </w:t>
      </w:r>
      <w:r w:rsidR="0061152F" w:rsidRPr="003B7D35">
        <w:rPr>
          <w:rFonts w:ascii="Times New Roman" w:eastAsia="Times New Roman" w:hAnsi="Times New Roman"/>
          <w:color w:val="000000"/>
          <w:sz w:val="22"/>
          <w:szCs w:val="22"/>
          <w:shd w:val="clear" w:color="auto" w:fill="FFFFFF"/>
          <w:lang w:eastAsia="fr-FR"/>
        </w:rPr>
        <w:t xml:space="preserve">qui </w:t>
      </w:r>
      <w:r w:rsidRPr="003B7D35">
        <w:rPr>
          <w:rFonts w:ascii="Times New Roman" w:eastAsia="Times New Roman" w:hAnsi="Times New Roman"/>
          <w:color w:val="000000"/>
          <w:sz w:val="22"/>
          <w:szCs w:val="22"/>
          <w:shd w:val="clear" w:color="auto" w:fill="FFFFFF"/>
          <w:lang w:eastAsia="fr-FR"/>
        </w:rPr>
        <w:t>déterminent la pauvreté particulière dans laquelle vi</w:t>
      </w:r>
      <w:r w:rsidR="0061152F" w:rsidRPr="003B7D35">
        <w:rPr>
          <w:rFonts w:ascii="Times New Roman" w:eastAsia="Times New Roman" w:hAnsi="Times New Roman"/>
          <w:color w:val="000000"/>
          <w:sz w:val="22"/>
          <w:szCs w:val="22"/>
          <w:shd w:val="clear" w:color="auto" w:fill="FFFFFF"/>
          <w:lang w:eastAsia="fr-FR"/>
        </w:rPr>
        <w:t>t une large majorité de femmes et de</w:t>
      </w:r>
      <w:r w:rsidRPr="003B7D35">
        <w:rPr>
          <w:rFonts w:ascii="Times New Roman" w:eastAsia="Times New Roman" w:hAnsi="Times New Roman"/>
          <w:color w:val="000000"/>
          <w:sz w:val="22"/>
          <w:szCs w:val="22"/>
          <w:shd w:val="clear" w:color="auto" w:fill="FFFFFF"/>
          <w:lang w:eastAsia="fr-FR"/>
        </w:rPr>
        <w:t xml:space="preserve"> jeunes dans le milieu rural au Sénégal.</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numPr>
          <w:ilvl w:val="2"/>
          <w:numId w:val="95"/>
        </w:numPr>
        <w:autoSpaceDE w:val="0"/>
        <w:autoSpaceDN w:val="0"/>
        <w:adjustRightInd w:val="0"/>
        <w:spacing w:after="0" w:line="276" w:lineRule="auto"/>
        <w:contextualSpacing/>
        <w:jc w:val="left"/>
        <w:rPr>
          <w:rFonts w:ascii="Times New Roman" w:eastAsia="Calibri" w:hAnsi="Times New Roman"/>
          <w:b/>
          <w:sz w:val="22"/>
          <w:szCs w:val="22"/>
        </w:rPr>
      </w:pPr>
      <w:r w:rsidRPr="003B7D35">
        <w:rPr>
          <w:rFonts w:ascii="Times New Roman" w:eastAsia="Calibri" w:hAnsi="Times New Roman"/>
          <w:b/>
          <w:sz w:val="22"/>
          <w:szCs w:val="22"/>
        </w:rPr>
        <w:t>Agriculture</w:t>
      </w:r>
    </w:p>
    <w:p w:rsidR="00771667" w:rsidRPr="003B7D35" w:rsidRDefault="00771667" w:rsidP="00771667">
      <w:pPr>
        <w:spacing w:after="0"/>
        <w:rPr>
          <w:rFonts w:ascii="Times New Roman" w:eastAsia="Times New Roman" w:hAnsi="Times New Roman"/>
          <w:color w:val="000000"/>
          <w:sz w:val="22"/>
          <w:szCs w:val="22"/>
          <w:lang w:eastAsia="fr-FR"/>
        </w:rPr>
      </w:pPr>
      <w:r w:rsidRPr="003B7D35">
        <w:rPr>
          <w:rFonts w:ascii="Times New Roman" w:eastAsia="Times New Roman" w:hAnsi="Times New Roman"/>
          <w:color w:val="202222"/>
          <w:sz w:val="22"/>
          <w:szCs w:val="22"/>
          <w:lang w:eastAsia="fr-FR"/>
        </w:rPr>
        <w:t>En effet, les femmes représentent 52</w:t>
      </w:r>
      <w:r w:rsidR="00A72504" w:rsidRPr="003B7D35">
        <w:rPr>
          <w:rFonts w:ascii="Times New Roman" w:eastAsia="Times New Roman" w:hAnsi="Times New Roman"/>
          <w:color w:val="202222"/>
          <w:sz w:val="22"/>
          <w:szCs w:val="22"/>
          <w:lang w:eastAsia="fr-FR"/>
        </w:rPr>
        <w:t> %</w:t>
      </w:r>
      <w:r w:rsidRPr="003B7D35">
        <w:rPr>
          <w:rFonts w:ascii="Times New Roman" w:eastAsia="Times New Roman" w:hAnsi="Times New Roman"/>
          <w:color w:val="202222"/>
          <w:sz w:val="22"/>
          <w:szCs w:val="22"/>
          <w:lang w:eastAsia="fr-FR"/>
        </w:rPr>
        <w:t xml:space="preserve"> de la population sénégalaise mais ne disposent que de 4</w:t>
      </w:r>
      <w:r w:rsidR="00A72504" w:rsidRPr="003B7D35">
        <w:rPr>
          <w:rFonts w:ascii="Times New Roman" w:eastAsia="Times New Roman" w:hAnsi="Times New Roman"/>
          <w:color w:val="202222"/>
          <w:sz w:val="22"/>
          <w:szCs w:val="22"/>
          <w:lang w:eastAsia="fr-FR"/>
        </w:rPr>
        <w:t> %</w:t>
      </w:r>
      <w:r w:rsidRPr="003B7D35">
        <w:rPr>
          <w:rFonts w:ascii="Times New Roman" w:eastAsia="Times New Roman" w:hAnsi="Times New Roman"/>
          <w:color w:val="202222"/>
          <w:sz w:val="22"/>
          <w:szCs w:val="22"/>
          <w:lang w:eastAsia="fr-FR"/>
        </w:rPr>
        <w:t xml:space="preserve"> des ressources foncières. </w:t>
      </w:r>
      <w:r w:rsidRPr="003B7D35">
        <w:rPr>
          <w:rFonts w:ascii="Times New Roman" w:eastAsia="Times New Roman" w:hAnsi="Times New Roman"/>
          <w:color w:val="000000"/>
          <w:sz w:val="22"/>
          <w:szCs w:val="22"/>
          <w:lang w:eastAsia="fr-FR"/>
        </w:rPr>
        <w:t xml:space="preserve">Pratiquement dans tous les ménages ruraux, la femme participe pleinement à la production de la nourriture </w:t>
      </w:r>
      <w:r w:rsidR="0061152F" w:rsidRPr="003B7D35">
        <w:rPr>
          <w:rFonts w:ascii="Times New Roman" w:eastAsia="Times New Roman" w:hAnsi="Times New Roman"/>
          <w:color w:val="000000"/>
          <w:sz w:val="22"/>
          <w:szCs w:val="22"/>
          <w:lang w:eastAsia="fr-FR"/>
        </w:rPr>
        <w:t xml:space="preserve">familiale ; pour autant, leurs </w:t>
      </w:r>
      <w:r w:rsidRPr="003B7D35">
        <w:rPr>
          <w:rFonts w:ascii="Times New Roman" w:eastAsia="Times New Roman" w:hAnsi="Times New Roman"/>
          <w:color w:val="000000"/>
          <w:sz w:val="22"/>
          <w:szCs w:val="22"/>
          <w:lang w:eastAsia="fr-FR"/>
        </w:rPr>
        <w:t>droits d’accès aux facteurs de production, particulièrement le foncier restent très limités. Les femmes accèdent au foncier par divers procédés dont les pl</w:t>
      </w:r>
      <w:r w:rsidR="0061152F" w:rsidRPr="003B7D35">
        <w:rPr>
          <w:rFonts w:ascii="Times New Roman" w:eastAsia="Times New Roman" w:hAnsi="Times New Roman"/>
          <w:color w:val="000000"/>
          <w:sz w:val="22"/>
          <w:szCs w:val="22"/>
          <w:lang w:eastAsia="fr-FR"/>
        </w:rPr>
        <w:t>us courants sont l’accès par la</w:t>
      </w:r>
      <w:r w:rsidRPr="003B7D35">
        <w:rPr>
          <w:rFonts w:ascii="Times New Roman" w:eastAsia="Times New Roman" w:hAnsi="Times New Roman"/>
          <w:color w:val="000000"/>
          <w:sz w:val="22"/>
          <w:szCs w:val="22"/>
          <w:lang w:eastAsia="fr-FR"/>
        </w:rPr>
        <w:t xml:space="preserve"> famille, (mari, frère ou fils) et/ou à travers les groupements et associations féminins. La législation foncière sénégalaise étant peu appliquée. </w:t>
      </w:r>
    </w:p>
    <w:p w:rsidR="00771667" w:rsidRPr="003B7D35" w:rsidRDefault="00771667" w:rsidP="00771667">
      <w:pPr>
        <w:spacing w:after="0"/>
        <w:rPr>
          <w:rFonts w:ascii="Times New Roman" w:eastAsia="Times New Roman" w:hAnsi="Times New Roman"/>
          <w:color w:val="000000"/>
          <w:sz w:val="22"/>
          <w:szCs w:val="22"/>
          <w:lang w:eastAsia="fr-FR"/>
        </w:rPr>
      </w:pPr>
      <w:r w:rsidRPr="003B7D35">
        <w:rPr>
          <w:rFonts w:ascii="Times New Roman" w:eastAsia="Times New Roman" w:hAnsi="Times New Roman"/>
          <w:color w:val="000000"/>
          <w:sz w:val="22"/>
          <w:szCs w:val="22"/>
          <w:lang w:eastAsia="fr-FR"/>
        </w:rPr>
        <w:t>Des aspects d’ordre financier peuvent aussi être identifiés comme</w:t>
      </w:r>
      <w:r w:rsidR="0061152F" w:rsidRPr="003B7D35">
        <w:rPr>
          <w:rFonts w:ascii="Times New Roman" w:eastAsia="Times New Roman" w:hAnsi="Times New Roman"/>
          <w:color w:val="000000"/>
          <w:sz w:val="22"/>
          <w:szCs w:val="22"/>
          <w:lang w:eastAsia="fr-FR"/>
        </w:rPr>
        <w:t xml:space="preserve"> étant des</w:t>
      </w:r>
      <w:r w:rsidRPr="003B7D35">
        <w:rPr>
          <w:rFonts w:ascii="Times New Roman" w:eastAsia="Times New Roman" w:hAnsi="Times New Roman"/>
          <w:color w:val="000000"/>
          <w:sz w:val="22"/>
          <w:szCs w:val="22"/>
          <w:lang w:eastAsia="fr-FR"/>
        </w:rPr>
        <w:t xml:space="preserve"> obstacles pour </w:t>
      </w:r>
      <w:r w:rsidR="0061152F" w:rsidRPr="003B7D35">
        <w:rPr>
          <w:rFonts w:ascii="Times New Roman" w:eastAsia="Times New Roman" w:hAnsi="Times New Roman"/>
          <w:color w:val="000000"/>
          <w:sz w:val="22"/>
          <w:szCs w:val="22"/>
          <w:lang w:eastAsia="fr-FR"/>
        </w:rPr>
        <w:t>que les femmes accèdent au foncier</w:t>
      </w:r>
      <w:r w:rsidRPr="003B7D35">
        <w:rPr>
          <w:rFonts w:ascii="Times New Roman" w:eastAsia="Times New Roman" w:hAnsi="Times New Roman"/>
          <w:color w:val="000000"/>
          <w:sz w:val="22"/>
          <w:szCs w:val="22"/>
          <w:lang w:eastAsia="fr-FR"/>
        </w:rPr>
        <w:t xml:space="preserve">. En effet, les femmes manquent généralement de ressources financières et de moyens de production </w:t>
      </w:r>
      <w:r w:rsidR="0061152F" w:rsidRPr="003B7D35">
        <w:rPr>
          <w:rFonts w:ascii="Times New Roman" w:eastAsia="Times New Roman" w:hAnsi="Times New Roman"/>
          <w:color w:val="000000"/>
          <w:sz w:val="22"/>
          <w:szCs w:val="22"/>
          <w:lang w:eastAsia="fr-FR"/>
        </w:rPr>
        <w:t>leur donnant</w:t>
      </w:r>
      <w:r w:rsidRPr="003B7D35">
        <w:rPr>
          <w:rFonts w:ascii="Times New Roman" w:eastAsia="Times New Roman" w:hAnsi="Times New Roman"/>
          <w:color w:val="000000"/>
          <w:sz w:val="22"/>
          <w:szCs w:val="22"/>
          <w:lang w:eastAsia="fr-FR"/>
        </w:rPr>
        <w:t xml:space="preserve"> un accès sécurisé à la terre et à sa mise en valeur efficiente. Dans les zones où les transactions foncières sont fortement monétarisées, ces difficultés financières réduisent largement leurs possibilités d’action.</w:t>
      </w:r>
    </w:p>
    <w:p w:rsidR="00771667" w:rsidRPr="003B7D35" w:rsidRDefault="00771667" w:rsidP="00771667">
      <w:pPr>
        <w:spacing w:after="0"/>
        <w:rPr>
          <w:rFonts w:ascii="Times New Roman" w:eastAsia="Times New Roman" w:hAnsi="Times New Roman"/>
          <w:sz w:val="22"/>
          <w:szCs w:val="22"/>
          <w:lang w:eastAsia="fr-FR"/>
        </w:rPr>
      </w:pPr>
      <w:r w:rsidRPr="003B7D35">
        <w:rPr>
          <w:rFonts w:ascii="Times New Roman" w:eastAsia="Times New Roman" w:hAnsi="Times New Roman"/>
          <w:color w:val="000000"/>
          <w:sz w:val="22"/>
          <w:szCs w:val="22"/>
          <w:lang w:eastAsia="fr-FR"/>
        </w:rPr>
        <w:t xml:space="preserve">Des contraintes techniques se posent également en termes de manque d’encadrement, de ressources productives (semences, engrais, etc.) et de moyens de production (équipements agricoles modernes) pouvant assurer aux femmes une autonomie de production et garantir les possibilités d’une production à grande échelle. L’analphabétisme et le faible niveau d’instruction de la majorité des femmes rurales constituent également un frein pour leur accès à l’information et à la connaissance des lois et </w:t>
      </w:r>
      <w:r w:rsidR="0061152F" w:rsidRPr="003B7D35">
        <w:rPr>
          <w:rFonts w:ascii="Times New Roman" w:eastAsia="Times New Roman" w:hAnsi="Times New Roman"/>
          <w:color w:val="000000"/>
          <w:sz w:val="22"/>
          <w:szCs w:val="22"/>
          <w:lang w:eastAsia="fr-FR"/>
        </w:rPr>
        <w:t xml:space="preserve">des </w:t>
      </w:r>
      <w:r w:rsidRPr="003B7D35">
        <w:rPr>
          <w:rFonts w:ascii="Times New Roman" w:eastAsia="Times New Roman" w:hAnsi="Times New Roman"/>
          <w:color w:val="000000"/>
          <w:sz w:val="22"/>
          <w:szCs w:val="22"/>
          <w:lang w:eastAsia="fr-FR"/>
        </w:rPr>
        <w:t>procédures d’attribution des ressources.</w:t>
      </w:r>
      <w:r w:rsidRPr="003B7D35">
        <w:rPr>
          <w:rFonts w:ascii="Times New Roman" w:eastAsia="Times New Roman" w:hAnsi="Times New Roman"/>
          <w:sz w:val="22"/>
          <w:szCs w:val="22"/>
          <w:lang w:eastAsia="fr-FR"/>
        </w:rPr>
        <w:t xml:space="preserve"> </w:t>
      </w:r>
    </w:p>
    <w:p w:rsidR="00771667" w:rsidRPr="003B7D35" w:rsidRDefault="0061152F" w:rsidP="00771667">
      <w:pPr>
        <w:spacing w:after="0"/>
        <w:rPr>
          <w:rFonts w:ascii="Times New Roman" w:eastAsia="Calibri" w:hAnsi="Times New Roman"/>
          <w:sz w:val="22"/>
          <w:szCs w:val="22"/>
        </w:rPr>
      </w:pPr>
      <w:r w:rsidRPr="003B7D35">
        <w:rPr>
          <w:rFonts w:ascii="Times New Roman" w:eastAsia="Calibri" w:hAnsi="Times New Roman"/>
          <w:sz w:val="22"/>
          <w:szCs w:val="22"/>
        </w:rPr>
        <w:t xml:space="preserve">La baisse de rendements agricoles et les </w:t>
      </w:r>
      <w:r w:rsidR="00771667" w:rsidRPr="003B7D35">
        <w:rPr>
          <w:rFonts w:ascii="Times New Roman" w:eastAsia="Calibri" w:hAnsi="Times New Roman"/>
          <w:sz w:val="22"/>
          <w:szCs w:val="22"/>
        </w:rPr>
        <w:t>parcelles qui sont exposées à la loi</w:t>
      </w:r>
      <w:r w:rsidRPr="003B7D35">
        <w:rPr>
          <w:rFonts w:ascii="Times New Roman" w:eastAsia="Calibri" w:hAnsi="Times New Roman"/>
          <w:sz w:val="22"/>
          <w:szCs w:val="22"/>
        </w:rPr>
        <w:t xml:space="preserve"> féroce de l’économie du marché</w:t>
      </w:r>
      <w:r w:rsidR="00771667" w:rsidRPr="003B7D35">
        <w:rPr>
          <w:rFonts w:ascii="Times New Roman" w:eastAsia="Calibri" w:hAnsi="Times New Roman"/>
          <w:sz w:val="22"/>
          <w:szCs w:val="22"/>
        </w:rPr>
        <w:t xml:space="preserve"> rend</w:t>
      </w:r>
      <w:r w:rsidRPr="003B7D35">
        <w:rPr>
          <w:rFonts w:ascii="Times New Roman" w:eastAsia="Calibri" w:hAnsi="Times New Roman"/>
          <w:sz w:val="22"/>
          <w:szCs w:val="22"/>
        </w:rPr>
        <w:t>ent</w:t>
      </w:r>
      <w:r w:rsidR="00771667" w:rsidRPr="003B7D35">
        <w:rPr>
          <w:rFonts w:ascii="Times New Roman" w:eastAsia="Calibri" w:hAnsi="Times New Roman"/>
          <w:sz w:val="22"/>
          <w:szCs w:val="22"/>
        </w:rPr>
        <w:t xml:space="preserve"> l’agriculture plus précaire et obligent certains, particulièrement les jeunes</w:t>
      </w:r>
      <w:r w:rsidRPr="003B7D35">
        <w:rPr>
          <w:rFonts w:ascii="Times New Roman" w:eastAsia="Calibri" w:hAnsi="Times New Roman"/>
          <w:sz w:val="22"/>
          <w:szCs w:val="22"/>
        </w:rPr>
        <w:t>,</w:t>
      </w:r>
      <w:r w:rsidR="00771667" w:rsidRPr="003B7D35">
        <w:rPr>
          <w:rFonts w:ascii="Times New Roman" w:eastAsia="Calibri" w:hAnsi="Times New Roman"/>
          <w:sz w:val="22"/>
          <w:szCs w:val="22"/>
        </w:rPr>
        <w:t xml:space="preserve"> à reco</w:t>
      </w:r>
      <w:r w:rsidRPr="003B7D35">
        <w:rPr>
          <w:rFonts w:ascii="Times New Roman" w:eastAsia="Calibri" w:hAnsi="Times New Roman"/>
          <w:sz w:val="22"/>
          <w:szCs w:val="22"/>
        </w:rPr>
        <w:t>urir à l’émigration en laissant les femmes derrière eux.</w:t>
      </w:r>
      <w:r w:rsidR="00771667" w:rsidRPr="003B7D35">
        <w:rPr>
          <w:rFonts w:ascii="Times New Roman" w:eastAsia="Calibri" w:hAnsi="Times New Roman"/>
          <w:sz w:val="22"/>
          <w:szCs w:val="22"/>
        </w:rPr>
        <w:t xml:space="preserve"> Ce qui contribue grandement à leur vulnérabilité.</w:t>
      </w:r>
    </w:p>
    <w:p w:rsidR="00771667" w:rsidRPr="003B7D35" w:rsidRDefault="00771667" w:rsidP="00771667">
      <w:pPr>
        <w:spacing w:after="0"/>
        <w:rPr>
          <w:rFonts w:ascii="Times New Roman" w:eastAsia="Times New Roman" w:hAnsi="Times New Roman"/>
          <w:color w:val="000000"/>
          <w:sz w:val="22"/>
          <w:szCs w:val="22"/>
          <w:shd w:val="clear" w:color="auto" w:fill="FFFFFF"/>
          <w:lang w:eastAsia="fr-FR"/>
        </w:rPr>
      </w:pPr>
    </w:p>
    <w:p w:rsidR="00771667" w:rsidRPr="003B7D35" w:rsidRDefault="00771667" w:rsidP="00771667">
      <w:pPr>
        <w:numPr>
          <w:ilvl w:val="2"/>
          <w:numId w:val="95"/>
        </w:numPr>
        <w:spacing w:after="0" w:line="276" w:lineRule="auto"/>
        <w:contextualSpacing/>
        <w:jc w:val="left"/>
        <w:rPr>
          <w:rFonts w:ascii="Times New Roman" w:eastAsia="Times New Roman" w:hAnsi="Times New Roman"/>
          <w:b/>
          <w:color w:val="000000"/>
          <w:sz w:val="22"/>
          <w:szCs w:val="22"/>
          <w:shd w:val="clear" w:color="auto" w:fill="FFFFFF"/>
          <w:lang w:eastAsia="fr-FR"/>
        </w:rPr>
      </w:pPr>
      <w:r w:rsidRPr="003B7D35">
        <w:rPr>
          <w:rFonts w:ascii="Times New Roman" w:eastAsia="Times New Roman" w:hAnsi="Times New Roman"/>
          <w:b/>
          <w:color w:val="000000"/>
          <w:sz w:val="22"/>
          <w:szCs w:val="22"/>
          <w:shd w:val="clear" w:color="auto" w:fill="FFFFFF"/>
          <w:lang w:eastAsia="fr-FR"/>
        </w:rPr>
        <w:t xml:space="preserve"> Accès à l’eau</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sz w:val="22"/>
          <w:szCs w:val="22"/>
          <w:lang w:eastAsia="fr-FR"/>
        </w:rPr>
        <w:t>En sus de la vulnérabilité agricole</w:t>
      </w:r>
      <w:r w:rsidR="0061152F" w:rsidRPr="003B7D35">
        <w:rPr>
          <w:rFonts w:ascii="Times New Roman" w:eastAsia="Calibri" w:hAnsi="Times New Roman"/>
          <w:sz w:val="22"/>
          <w:szCs w:val="22"/>
        </w:rPr>
        <w:t xml:space="preserve">, les </w:t>
      </w:r>
      <w:r w:rsidRPr="003B7D35">
        <w:rPr>
          <w:rFonts w:ascii="Times New Roman" w:eastAsia="Calibri" w:hAnsi="Times New Roman"/>
          <w:sz w:val="22"/>
          <w:szCs w:val="22"/>
        </w:rPr>
        <w:t>femmes rurales sont confrontées à des difficultés liées à la ressource eau</w:t>
      </w:r>
      <w:r w:rsidR="0061152F" w:rsidRPr="003B7D35">
        <w:rPr>
          <w:rFonts w:ascii="Times New Roman" w:eastAsia="Calibri" w:hAnsi="Times New Roman"/>
          <w:sz w:val="22"/>
          <w:szCs w:val="22"/>
        </w:rPr>
        <w:t xml:space="preserve"> qui se raréfie de plus en plus,</w:t>
      </w:r>
      <w:r w:rsidRPr="003B7D35">
        <w:rPr>
          <w:rFonts w:ascii="Times New Roman" w:eastAsia="Calibri" w:hAnsi="Times New Roman"/>
          <w:sz w:val="22"/>
          <w:szCs w:val="22"/>
        </w:rPr>
        <w:t xml:space="preserve"> ce qui en fait une corvée très prenante pour les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Le Sénégal est confronté à un déficit pluviométrique de 35</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(Gora Ndiaye ; 2007) d</w:t>
      </w:r>
      <w:r w:rsidR="0061152F" w:rsidRPr="003B7D35">
        <w:rPr>
          <w:rFonts w:ascii="Times New Roman" w:eastAsia="Calibri" w:hAnsi="Times New Roman"/>
          <w:sz w:val="22"/>
          <w:szCs w:val="22"/>
        </w:rPr>
        <w:t xml:space="preserve">û </w:t>
      </w:r>
      <w:r w:rsidR="00F22AF3">
        <w:rPr>
          <w:rFonts w:ascii="Times New Roman" w:eastAsia="Calibri" w:hAnsi="Times New Roman"/>
          <w:sz w:val="22"/>
          <w:szCs w:val="22"/>
        </w:rPr>
        <w:t>aux changements climatiques</w:t>
      </w:r>
      <w:r w:rsidR="0061152F" w:rsidRPr="003B7D35">
        <w:rPr>
          <w:rFonts w:ascii="Times New Roman" w:eastAsia="Calibri" w:hAnsi="Times New Roman"/>
          <w:sz w:val="22"/>
          <w:szCs w:val="22"/>
        </w:rPr>
        <w:t>.</w:t>
      </w:r>
      <w:r w:rsidRPr="003B7D35">
        <w:rPr>
          <w:rFonts w:ascii="Times New Roman" w:eastAsia="Calibri" w:hAnsi="Times New Roman"/>
          <w:sz w:val="22"/>
          <w:szCs w:val="22"/>
        </w:rPr>
        <w:t xml:space="preserve"> Dans ce contexte, les femmes sont confrontées à de réelles difficultés en termes d’accès à l’eau, particulièrement dans les zones</w:t>
      </w:r>
      <w:r w:rsidR="0061152F" w:rsidRPr="003B7D35">
        <w:rPr>
          <w:rFonts w:ascii="Times New Roman" w:eastAsia="Calibri" w:hAnsi="Times New Roman"/>
          <w:sz w:val="22"/>
          <w:szCs w:val="22"/>
        </w:rPr>
        <w:t xml:space="preserve"> qui ne disposent pas de forages</w:t>
      </w:r>
      <w:r w:rsidRPr="003B7D35">
        <w:rPr>
          <w:rFonts w:ascii="Times New Roman" w:eastAsia="Calibri" w:hAnsi="Times New Roman"/>
          <w:sz w:val="22"/>
          <w:szCs w:val="22"/>
        </w:rPr>
        <w:t>, de puits équipés, encore moins de branchement à un réseau de distribution</w:t>
      </w:r>
      <w:r w:rsidR="0061152F" w:rsidRPr="003B7D35">
        <w:rPr>
          <w:rFonts w:ascii="Times New Roman" w:eastAsia="Calibri" w:hAnsi="Times New Roman"/>
          <w:sz w:val="22"/>
          <w:szCs w:val="22"/>
        </w:rPr>
        <w:t xml:space="preserve"> d’eau</w:t>
      </w:r>
      <w:r w:rsidRPr="003B7D35">
        <w:rPr>
          <w:rFonts w:ascii="Times New Roman" w:eastAsia="Calibri" w:hAnsi="Times New Roman"/>
          <w:sz w:val="22"/>
          <w:szCs w:val="22"/>
        </w:rPr>
        <w:t xml:space="preserve">. La </w:t>
      </w:r>
      <w:r w:rsidR="0061152F" w:rsidRPr="003B7D35">
        <w:rPr>
          <w:rFonts w:ascii="Times New Roman" w:eastAsia="Calibri" w:hAnsi="Times New Roman"/>
          <w:sz w:val="22"/>
          <w:szCs w:val="22"/>
        </w:rPr>
        <w:t>collecte de l’eau devient ainsi</w:t>
      </w:r>
      <w:r w:rsidRPr="003B7D35">
        <w:rPr>
          <w:rFonts w:ascii="Times New Roman" w:eastAsia="Calibri" w:hAnsi="Times New Roman"/>
          <w:sz w:val="22"/>
          <w:szCs w:val="22"/>
        </w:rPr>
        <w:t xml:space="preserve"> très difficile pour elles. Avec une nappe phréatique en baisse</w:t>
      </w:r>
      <w:r w:rsidR="0061152F" w:rsidRPr="003B7D35">
        <w:rPr>
          <w:rFonts w:ascii="Times New Roman" w:eastAsia="Calibri" w:hAnsi="Times New Roman"/>
          <w:sz w:val="22"/>
          <w:szCs w:val="22"/>
        </w:rPr>
        <w:t xml:space="preserve"> constante</w:t>
      </w:r>
      <w:r w:rsidRPr="003B7D35">
        <w:rPr>
          <w:rFonts w:ascii="Times New Roman" w:eastAsia="Calibri" w:hAnsi="Times New Roman"/>
          <w:sz w:val="22"/>
          <w:szCs w:val="22"/>
        </w:rPr>
        <w:t xml:space="preserve">, la profondeur des puits dans certaines zones du pays peut atteindre 45 voire 50 mètres. Ce qui rend </w:t>
      </w:r>
      <w:r w:rsidR="0061152F" w:rsidRPr="003B7D35">
        <w:rPr>
          <w:rFonts w:ascii="Times New Roman" w:eastAsia="Calibri" w:hAnsi="Times New Roman"/>
          <w:sz w:val="22"/>
          <w:szCs w:val="22"/>
        </w:rPr>
        <w:t>la corvée des femmes encore plus difficile,</w:t>
      </w:r>
      <w:r w:rsidRPr="003B7D35">
        <w:rPr>
          <w:rFonts w:ascii="Times New Roman" w:eastAsia="Calibri" w:hAnsi="Times New Roman"/>
          <w:sz w:val="22"/>
          <w:szCs w:val="22"/>
        </w:rPr>
        <w:t xml:space="preserve"> </w:t>
      </w:r>
      <w:r w:rsidR="0061152F" w:rsidRPr="003B7D35">
        <w:rPr>
          <w:rFonts w:ascii="Times New Roman" w:eastAsia="Calibri" w:hAnsi="Times New Roman"/>
          <w:sz w:val="22"/>
          <w:szCs w:val="22"/>
        </w:rPr>
        <w:t>affecte</w:t>
      </w:r>
      <w:r w:rsidRPr="003B7D35">
        <w:rPr>
          <w:rFonts w:ascii="Times New Roman" w:eastAsia="Calibri" w:hAnsi="Times New Roman"/>
          <w:sz w:val="22"/>
          <w:szCs w:val="22"/>
        </w:rPr>
        <w:t xml:space="preserve"> leur santé, leur prend beaucoup de temps et leur empêche de s’adonner à des activités productives comme le </w:t>
      </w:r>
      <w:r w:rsidR="00F06548">
        <w:rPr>
          <w:rFonts w:ascii="Times New Roman" w:eastAsia="Calibri" w:hAnsi="Times New Roman"/>
          <w:sz w:val="22"/>
          <w:szCs w:val="22"/>
        </w:rPr>
        <w:t>maraîchage</w:t>
      </w:r>
      <w:r w:rsidRPr="003B7D35">
        <w:rPr>
          <w:rFonts w:ascii="Times New Roman" w:eastAsia="Calibri" w:hAnsi="Times New Roman"/>
          <w:sz w:val="22"/>
          <w:szCs w:val="22"/>
        </w:rPr>
        <w:t xml:space="preserve">, l’aviculture, le petit commerce, etc. </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numPr>
          <w:ilvl w:val="2"/>
          <w:numId w:val="95"/>
        </w:numPr>
        <w:tabs>
          <w:tab w:val="left" w:pos="2055"/>
        </w:tabs>
        <w:spacing w:after="200" w:line="276" w:lineRule="auto"/>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Accès à l’énergie</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De manière générale, l</w:t>
      </w:r>
      <w:r w:rsidR="0061152F" w:rsidRPr="003B7D35">
        <w:rPr>
          <w:rFonts w:ascii="Times New Roman" w:eastAsia="Calibri" w:hAnsi="Times New Roman"/>
          <w:sz w:val="22"/>
          <w:szCs w:val="22"/>
        </w:rPr>
        <w:t xml:space="preserve">es femmes rurales restent très </w:t>
      </w:r>
      <w:r w:rsidRPr="003B7D35">
        <w:rPr>
          <w:rFonts w:ascii="Times New Roman" w:eastAsia="Calibri" w:hAnsi="Times New Roman"/>
          <w:sz w:val="22"/>
          <w:szCs w:val="22"/>
        </w:rPr>
        <w:t xml:space="preserve">attachées à la biomasse naturelle avec toutes les difficultés d’approvisionnement et </w:t>
      </w:r>
      <w:r w:rsidR="0061152F" w:rsidRPr="003B7D35">
        <w:rPr>
          <w:rFonts w:ascii="Times New Roman" w:eastAsia="Calibri" w:hAnsi="Times New Roman"/>
          <w:sz w:val="22"/>
          <w:szCs w:val="22"/>
        </w:rPr>
        <w:t>les risques que cela peut entrainer pour leur santé et</w:t>
      </w:r>
      <w:r w:rsidRPr="003B7D35">
        <w:rPr>
          <w:rFonts w:ascii="Times New Roman" w:eastAsia="Calibri" w:hAnsi="Times New Roman"/>
          <w:sz w:val="22"/>
          <w:szCs w:val="22"/>
        </w:rPr>
        <w:t xml:space="preserve"> celles de</w:t>
      </w:r>
      <w:r w:rsidR="0061152F" w:rsidRPr="003B7D35">
        <w:rPr>
          <w:rFonts w:ascii="Times New Roman" w:eastAsia="Calibri" w:hAnsi="Times New Roman"/>
          <w:sz w:val="22"/>
          <w:szCs w:val="22"/>
        </w:rPr>
        <w:t xml:space="preserve"> leurs enfants. La collecte du </w:t>
      </w:r>
      <w:r w:rsidRPr="003B7D35">
        <w:rPr>
          <w:rFonts w:ascii="Times New Roman" w:eastAsia="Calibri" w:hAnsi="Times New Roman"/>
          <w:sz w:val="22"/>
          <w:szCs w:val="22"/>
        </w:rPr>
        <w:t>bois de cuisson est devenue difficile dans la plupart des zones rurales du pays  où les ressources forestières se sont dégradées. Elles sont ainsi amenées à se rabattre sur l’usage de combustibles non conventionnels comme la bouse de vache, le plastique ou les résidus qui peuvent être sources de maladies et d’</w:t>
      </w:r>
      <w:r w:rsidR="0061152F" w:rsidRPr="003B7D35">
        <w:rPr>
          <w:rFonts w:ascii="Times New Roman" w:eastAsia="Calibri" w:hAnsi="Times New Roman"/>
          <w:sz w:val="22"/>
          <w:szCs w:val="22"/>
        </w:rPr>
        <w:t>in</w:t>
      </w:r>
      <w:r w:rsidRPr="003B7D35">
        <w:rPr>
          <w:rFonts w:ascii="Times New Roman" w:eastAsia="Calibri" w:hAnsi="Times New Roman"/>
          <w:sz w:val="22"/>
          <w:szCs w:val="22"/>
        </w:rPr>
        <w:t xml:space="preserve">fections. L’énergie est le secteur le plus expressif en termes </w:t>
      </w:r>
      <w:r w:rsidR="0061152F" w:rsidRPr="003B7D35">
        <w:rPr>
          <w:rFonts w:ascii="Times New Roman" w:eastAsia="Calibri" w:hAnsi="Times New Roman"/>
          <w:sz w:val="22"/>
          <w:szCs w:val="22"/>
        </w:rPr>
        <w:t>d’incidence</w:t>
      </w:r>
      <w:r w:rsidRPr="003B7D35">
        <w:rPr>
          <w:rFonts w:ascii="Times New Roman" w:eastAsia="Calibri" w:hAnsi="Times New Roman"/>
          <w:sz w:val="22"/>
          <w:szCs w:val="22"/>
        </w:rPr>
        <w:t xml:space="preserve"> des changements climatiques sur les femmes dans la mesure où la biomasse est encore la source principale d’énergie des ménages sénégalais. L’utilisation du bois et du charbon de bois reste encore relativemen</w:t>
      </w:r>
      <w:r w:rsidR="00A72504" w:rsidRPr="003B7D35">
        <w:rPr>
          <w:rFonts w:ascii="Times New Roman" w:eastAsia="Calibri" w:hAnsi="Times New Roman"/>
          <w:sz w:val="22"/>
          <w:szCs w:val="22"/>
        </w:rPr>
        <w:t>t importante avec 35 %</w:t>
      </w:r>
      <w:r w:rsidRPr="003B7D35">
        <w:rPr>
          <w:rFonts w:ascii="Times New Roman" w:eastAsia="Calibri" w:hAnsi="Times New Roman"/>
          <w:sz w:val="22"/>
          <w:szCs w:val="22"/>
        </w:rPr>
        <w:t xml:space="preserve"> de la </w:t>
      </w:r>
      <w:r w:rsidR="0061152F" w:rsidRPr="003B7D35">
        <w:rPr>
          <w:rFonts w:ascii="Times New Roman" w:eastAsia="Calibri" w:hAnsi="Times New Roman"/>
          <w:sz w:val="22"/>
          <w:szCs w:val="22"/>
        </w:rPr>
        <w:t>consommation totale d’énergie.</w:t>
      </w: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contextualSpacing/>
        <w:rPr>
          <w:rFonts w:ascii="Times New Roman" w:eastAsia="Calibri" w:hAnsi="Times New Roman"/>
          <w:sz w:val="22"/>
          <w:szCs w:val="22"/>
        </w:rPr>
      </w:pPr>
    </w:p>
    <w:p w:rsidR="00771667" w:rsidRPr="003B7D35" w:rsidRDefault="00771667" w:rsidP="00771667">
      <w:pPr>
        <w:numPr>
          <w:ilvl w:val="0"/>
          <w:numId w:val="95"/>
        </w:numPr>
        <w:spacing w:after="200" w:line="276" w:lineRule="auto"/>
        <w:contextualSpacing/>
        <w:jc w:val="left"/>
        <w:rPr>
          <w:rFonts w:ascii="Times New Roman" w:eastAsia="Times New Roman" w:hAnsi="Times New Roman"/>
          <w:b/>
          <w:bCs/>
          <w:color w:val="333333"/>
          <w:sz w:val="22"/>
          <w:szCs w:val="22"/>
          <w:lang w:eastAsia="fr-FR"/>
        </w:rPr>
      </w:pPr>
      <w:r w:rsidRPr="003B7D35">
        <w:rPr>
          <w:rFonts w:ascii="Times New Roman" w:eastAsia="Times New Roman" w:hAnsi="Times New Roman"/>
          <w:b/>
          <w:bCs/>
          <w:color w:val="333333"/>
          <w:sz w:val="22"/>
          <w:szCs w:val="22"/>
          <w:lang w:eastAsia="fr-FR"/>
        </w:rPr>
        <w:t>Généralités sur le Genre</w:t>
      </w:r>
    </w:p>
    <w:p w:rsidR="00771667" w:rsidRPr="003B7D35" w:rsidRDefault="00771667" w:rsidP="00771667">
      <w:pPr>
        <w:ind w:left="720"/>
        <w:contextualSpacing/>
        <w:rPr>
          <w:rFonts w:ascii="Times New Roman" w:eastAsia="Times New Roman" w:hAnsi="Times New Roman"/>
          <w:b/>
          <w:bCs/>
          <w:color w:val="333333"/>
          <w:sz w:val="22"/>
          <w:szCs w:val="22"/>
          <w:lang w:eastAsia="fr-FR"/>
        </w:rPr>
      </w:pPr>
    </w:p>
    <w:p w:rsidR="00771667" w:rsidRPr="003B7D35" w:rsidRDefault="00F12E0C" w:rsidP="00771667">
      <w:pPr>
        <w:numPr>
          <w:ilvl w:val="1"/>
          <w:numId w:val="95"/>
        </w:numPr>
        <w:spacing w:after="200" w:line="276" w:lineRule="auto"/>
        <w:contextualSpacing/>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Définition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Le genre fait référence aux </w:t>
      </w:r>
      <w:r w:rsidRPr="003B7D35">
        <w:rPr>
          <w:rFonts w:ascii="Times New Roman" w:eastAsia="Times New Roman" w:hAnsi="Times New Roman"/>
          <w:bCs/>
          <w:sz w:val="22"/>
          <w:szCs w:val="22"/>
          <w:lang w:eastAsia="fr-FR"/>
        </w:rPr>
        <w:t xml:space="preserve">« rôles » sociaux </w:t>
      </w:r>
      <w:r w:rsidRPr="003B7D35">
        <w:rPr>
          <w:rFonts w:ascii="Times New Roman" w:eastAsia="Times New Roman" w:hAnsi="Times New Roman"/>
          <w:sz w:val="22"/>
          <w:szCs w:val="22"/>
          <w:lang w:eastAsia="fr-FR"/>
        </w:rPr>
        <w:t xml:space="preserve">attribués à chaque sexe et aux </w:t>
      </w:r>
      <w:r w:rsidRPr="003B7D35">
        <w:rPr>
          <w:rFonts w:ascii="Times New Roman" w:eastAsia="Times New Roman" w:hAnsi="Times New Roman"/>
          <w:bCs/>
          <w:sz w:val="22"/>
          <w:szCs w:val="22"/>
          <w:lang w:eastAsia="fr-FR"/>
        </w:rPr>
        <w:t>« rapports » sociaux entre les sexes</w:t>
      </w:r>
      <w:r w:rsidRPr="003B7D35">
        <w:rPr>
          <w:rFonts w:ascii="Times New Roman" w:eastAsia="Times New Roman" w:hAnsi="Times New Roman"/>
          <w:sz w:val="22"/>
          <w:szCs w:val="22"/>
          <w:lang w:eastAsia="fr-FR"/>
        </w:rPr>
        <w:t>.</w:t>
      </w:r>
      <w:r w:rsidR="0061152F" w:rsidRPr="003B7D35">
        <w:rPr>
          <w:rFonts w:ascii="Times New Roman" w:eastAsia="Times New Roman" w:hAnsi="Times New Roman"/>
          <w:sz w:val="22"/>
          <w:szCs w:val="22"/>
          <w:lang w:eastAsia="fr-FR"/>
        </w:rPr>
        <w:t xml:space="preserve"> Contrairement aux différences</w:t>
      </w:r>
      <w:r w:rsidRPr="003B7D35">
        <w:rPr>
          <w:rFonts w:ascii="Times New Roman" w:eastAsia="Times New Roman" w:hAnsi="Times New Roman"/>
          <w:sz w:val="22"/>
          <w:szCs w:val="22"/>
          <w:lang w:eastAsia="fr-FR"/>
        </w:rPr>
        <w:t xml:space="preserve"> </w:t>
      </w:r>
      <w:r w:rsidR="0061152F" w:rsidRPr="003B7D35">
        <w:rPr>
          <w:rFonts w:ascii="Times New Roman" w:eastAsia="Times New Roman" w:hAnsi="Times New Roman"/>
          <w:sz w:val="22"/>
          <w:szCs w:val="22"/>
          <w:lang w:eastAsia="fr-FR"/>
        </w:rPr>
        <w:t xml:space="preserve">biologiques qui existent entre </w:t>
      </w:r>
      <w:r w:rsidRPr="003B7D35">
        <w:rPr>
          <w:rFonts w:ascii="Times New Roman" w:eastAsia="Times New Roman" w:hAnsi="Times New Roman"/>
          <w:sz w:val="22"/>
          <w:szCs w:val="22"/>
          <w:lang w:eastAsia="fr-FR"/>
        </w:rPr>
        <w:t>les hommes et les femmes, ces rôles et rapports sociaux de sexe ne sont pas figés</w:t>
      </w:r>
      <w:r w:rsidR="0061152F"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ils évoluent dans le temps</w:t>
      </w:r>
      <w:r w:rsidR="0061152F"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 xml:space="preserve">ils sont dynamiques, </w:t>
      </w:r>
      <w:r w:rsidR="0061152F" w:rsidRPr="003B7D35">
        <w:rPr>
          <w:rFonts w:ascii="Times New Roman" w:eastAsia="Times New Roman" w:hAnsi="Times New Roman"/>
          <w:sz w:val="22"/>
          <w:szCs w:val="22"/>
          <w:lang w:eastAsia="fr-FR"/>
        </w:rPr>
        <w:t xml:space="preserve">ils </w:t>
      </w:r>
      <w:r w:rsidRPr="003B7D35">
        <w:rPr>
          <w:rFonts w:ascii="Times New Roman" w:eastAsia="Times New Roman" w:hAnsi="Times New Roman"/>
          <w:sz w:val="22"/>
          <w:szCs w:val="22"/>
          <w:lang w:eastAsia="fr-FR"/>
        </w:rPr>
        <w:t>influencent et sont influencés par divers facteurs et en fonction des caractéristiques sociales, économiques, culturelles, religieuses de chaque société. Les rôles sociaux et les rapports sociaux de  sexe</w:t>
      </w:r>
      <w:r w:rsidR="0061152F" w:rsidRPr="003B7D35">
        <w:rPr>
          <w:rFonts w:ascii="Times New Roman" w:eastAsia="Times New Roman" w:hAnsi="Times New Roman"/>
          <w:sz w:val="22"/>
          <w:szCs w:val="22"/>
          <w:lang w:eastAsia="fr-FR"/>
        </w:rPr>
        <w:t xml:space="preserve"> sont source de stéréotypes </w:t>
      </w:r>
      <w:r w:rsidRPr="003B7D35">
        <w:rPr>
          <w:rFonts w:ascii="Times New Roman" w:eastAsia="Times New Roman" w:hAnsi="Times New Roman"/>
          <w:sz w:val="22"/>
          <w:szCs w:val="22"/>
          <w:lang w:eastAsia="fr-FR"/>
        </w:rPr>
        <w:t>et créent des discriminations et des inégalités en  majorité à l’égard des femmes mais au</w:t>
      </w:r>
      <w:r w:rsidR="0061152F" w:rsidRPr="003B7D35">
        <w:rPr>
          <w:rFonts w:ascii="Times New Roman" w:eastAsia="Times New Roman" w:hAnsi="Times New Roman"/>
          <w:sz w:val="22"/>
          <w:szCs w:val="22"/>
          <w:lang w:eastAsia="fr-FR"/>
        </w:rPr>
        <w:t xml:space="preserve">ssi, dans certains domaines, à </w:t>
      </w:r>
      <w:r w:rsidRPr="003B7D35">
        <w:rPr>
          <w:rFonts w:ascii="Times New Roman" w:eastAsia="Times New Roman" w:hAnsi="Times New Roman"/>
          <w:sz w:val="22"/>
          <w:szCs w:val="22"/>
          <w:lang w:eastAsia="fr-FR"/>
        </w:rPr>
        <w:t>l’égard des hommes. Ces rôles sociaux déterminent les relations de pouvoir entre les deux sexes, fixent les droits et les de</w:t>
      </w:r>
      <w:r w:rsidR="0061152F" w:rsidRPr="003B7D35">
        <w:rPr>
          <w:rFonts w:ascii="Times New Roman" w:eastAsia="Times New Roman" w:hAnsi="Times New Roman"/>
          <w:sz w:val="22"/>
          <w:szCs w:val="22"/>
          <w:lang w:eastAsia="fr-FR"/>
        </w:rPr>
        <w:t xml:space="preserve">voirs des femmes et des hommes et </w:t>
      </w:r>
      <w:r w:rsidRPr="003B7D35">
        <w:rPr>
          <w:rFonts w:ascii="Times New Roman" w:eastAsia="Times New Roman" w:hAnsi="Times New Roman"/>
          <w:sz w:val="22"/>
          <w:szCs w:val="22"/>
          <w:lang w:eastAsia="fr-FR"/>
        </w:rPr>
        <w:t>modèlent leurs comportements, leurs aspira</w:t>
      </w:r>
      <w:r w:rsidR="0061152F" w:rsidRPr="003B7D35">
        <w:rPr>
          <w:rFonts w:ascii="Times New Roman" w:eastAsia="Times New Roman" w:hAnsi="Times New Roman"/>
          <w:sz w:val="22"/>
          <w:szCs w:val="22"/>
          <w:lang w:eastAsia="fr-FR"/>
        </w:rPr>
        <w:t>tions, leurs choix de vie.</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L’approche genre et développement (GED) cherche à assurer une répartition égale des opportunités, des ressources et des bénéfices entre les différents groupes de la </w:t>
      </w:r>
      <w:r w:rsidR="0061152F" w:rsidRPr="003B7D35">
        <w:rPr>
          <w:rFonts w:ascii="Times New Roman" w:eastAsia="Times New Roman" w:hAnsi="Times New Roman"/>
          <w:sz w:val="22"/>
          <w:szCs w:val="22"/>
          <w:lang w:eastAsia="fr-FR"/>
        </w:rPr>
        <w:t xml:space="preserve">population visée par un projet ou </w:t>
      </w:r>
      <w:r w:rsidRPr="003B7D35">
        <w:rPr>
          <w:rFonts w:ascii="Times New Roman" w:eastAsia="Times New Roman" w:hAnsi="Times New Roman"/>
          <w:sz w:val="22"/>
          <w:szCs w:val="22"/>
          <w:lang w:eastAsia="fr-FR"/>
        </w:rPr>
        <w:t>une intervention.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bCs/>
          <w:iCs/>
          <w:sz w:val="22"/>
          <w:szCs w:val="22"/>
          <w:lang w:eastAsia="fr-FR"/>
        </w:rPr>
        <w:t xml:space="preserve">L’approche </w:t>
      </w:r>
      <w:r w:rsidRPr="003B7D35">
        <w:rPr>
          <w:rFonts w:ascii="Times New Roman" w:eastAsia="Times New Roman" w:hAnsi="Times New Roman"/>
          <w:sz w:val="22"/>
          <w:szCs w:val="22"/>
          <w:lang w:eastAsia="fr-FR"/>
        </w:rPr>
        <w:t xml:space="preserve">se fonde sur les relations femmes / hommes </w:t>
      </w:r>
      <w:r w:rsidR="0061152F" w:rsidRPr="003B7D35">
        <w:rPr>
          <w:rFonts w:ascii="Times New Roman" w:eastAsia="Times New Roman" w:hAnsi="Times New Roman"/>
          <w:sz w:val="22"/>
          <w:szCs w:val="22"/>
          <w:lang w:eastAsia="fr-FR"/>
        </w:rPr>
        <w:t>déterminée par</w:t>
      </w:r>
      <w:r w:rsidRPr="003B7D35">
        <w:rPr>
          <w:rFonts w:ascii="Times New Roman" w:eastAsia="Times New Roman" w:hAnsi="Times New Roman"/>
          <w:sz w:val="22"/>
          <w:szCs w:val="22"/>
          <w:lang w:eastAsia="fr-FR"/>
        </w:rPr>
        <w:t xml:space="preserve"> la société et non plus sur les femmes en tant que groupe. </w:t>
      </w:r>
      <w:r w:rsidR="0061152F" w:rsidRPr="003B7D35">
        <w:rPr>
          <w:rFonts w:ascii="Times New Roman" w:eastAsia="Times New Roman" w:hAnsi="Times New Roman"/>
          <w:sz w:val="22"/>
          <w:szCs w:val="22"/>
          <w:lang w:eastAsia="fr-FR"/>
        </w:rPr>
        <w:t>Elle</w:t>
      </w:r>
      <w:r w:rsidRPr="003B7D35">
        <w:rPr>
          <w:rFonts w:ascii="Times New Roman" w:eastAsia="Times New Roman" w:hAnsi="Times New Roman"/>
          <w:sz w:val="22"/>
          <w:szCs w:val="22"/>
          <w:lang w:eastAsia="fr-FR"/>
        </w:rPr>
        <w:t xml:space="preserve"> est centrée sur les forces sociales, économiques, politiques et culturelles qui déterminent la façon dont les hommes et les femmes peuvent partic</w:t>
      </w:r>
      <w:r w:rsidR="0061152F" w:rsidRPr="003B7D35">
        <w:rPr>
          <w:rFonts w:ascii="Times New Roman" w:eastAsia="Times New Roman" w:hAnsi="Times New Roman"/>
          <w:sz w:val="22"/>
          <w:szCs w:val="22"/>
          <w:lang w:eastAsia="fr-FR"/>
        </w:rPr>
        <w:t>iper à un projet, en tirer des bénéfices</w:t>
      </w:r>
      <w:r w:rsidRPr="003B7D35">
        <w:rPr>
          <w:rFonts w:ascii="Times New Roman" w:eastAsia="Times New Roman" w:hAnsi="Times New Roman"/>
          <w:sz w:val="22"/>
          <w:szCs w:val="22"/>
          <w:lang w:eastAsia="fr-FR"/>
        </w:rPr>
        <w:t xml:space="preserve"> et contrôler s</w:t>
      </w:r>
      <w:r w:rsidR="0061152F" w:rsidRPr="003B7D35">
        <w:rPr>
          <w:rFonts w:ascii="Times New Roman" w:eastAsia="Times New Roman" w:hAnsi="Times New Roman"/>
          <w:sz w:val="22"/>
          <w:szCs w:val="22"/>
          <w:lang w:eastAsia="fr-FR"/>
        </w:rPr>
        <w:t>es ressources et ses activités.</w:t>
      </w:r>
      <w:r w:rsidRPr="003B7D35">
        <w:rPr>
          <w:rFonts w:ascii="Times New Roman" w:eastAsia="Times New Roman" w:hAnsi="Times New Roman"/>
          <w:sz w:val="22"/>
          <w:szCs w:val="22"/>
          <w:lang w:eastAsia="fr-FR"/>
        </w:rPr>
        <w:t xml:space="preserve"> Elle consiste </w:t>
      </w:r>
      <w:r w:rsidR="0061152F" w:rsidRPr="003B7D35">
        <w:rPr>
          <w:rFonts w:ascii="Times New Roman" w:eastAsia="Times New Roman" w:hAnsi="Times New Roman"/>
          <w:sz w:val="22"/>
          <w:szCs w:val="22"/>
          <w:lang w:eastAsia="fr-FR"/>
        </w:rPr>
        <w:t xml:space="preserve">également </w:t>
      </w:r>
      <w:r w:rsidRPr="003B7D35">
        <w:rPr>
          <w:rFonts w:ascii="Times New Roman" w:eastAsia="Times New Roman" w:hAnsi="Times New Roman"/>
          <w:sz w:val="22"/>
          <w:szCs w:val="22"/>
          <w:lang w:eastAsia="fr-FR"/>
        </w:rPr>
        <w:t>à fa</w:t>
      </w:r>
      <w:r w:rsidR="0061152F" w:rsidRPr="003B7D35">
        <w:rPr>
          <w:rFonts w:ascii="Times New Roman" w:eastAsia="Times New Roman" w:hAnsi="Times New Roman"/>
          <w:sz w:val="22"/>
          <w:szCs w:val="22"/>
          <w:lang w:eastAsia="fr-FR"/>
        </w:rPr>
        <w:t>ciliter</w:t>
      </w:r>
      <w:r w:rsidRPr="003B7D35">
        <w:rPr>
          <w:rFonts w:ascii="Times New Roman" w:eastAsia="Times New Roman" w:hAnsi="Times New Roman"/>
          <w:sz w:val="22"/>
          <w:szCs w:val="22"/>
          <w:lang w:eastAsia="fr-FR"/>
        </w:rPr>
        <w:t xml:space="preserve"> une prise de conscience et à </w:t>
      </w:r>
      <w:r w:rsidR="0061152F" w:rsidRPr="003B7D35">
        <w:rPr>
          <w:rFonts w:ascii="Times New Roman" w:eastAsia="Times New Roman" w:hAnsi="Times New Roman"/>
          <w:sz w:val="22"/>
          <w:szCs w:val="22"/>
          <w:lang w:eastAsia="fr-FR"/>
        </w:rPr>
        <w:t xml:space="preserve">mettre en œuvre </w:t>
      </w:r>
      <w:r w:rsidRPr="003B7D35">
        <w:rPr>
          <w:rFonts w:ascii="Times New Roman" w:eastAsia="Times New Roman" w:hAnsi="Times New Roman"/>
          <w:sz w:val="22"/>
          <w:szCs w:val="22"/>
          <w:lang w:eastAsia="fr-FR"/>
        </w:rPr>
        <w:t>des stratégies et des outils</w:t>
      </w:r>
      <w:r w:rsidR="0061152F" w:rsidRPr="003B7D35">
        <w:rPr>
          <w:rFonts w:ascii="Times New Roman" w:eastAsia="Times New Roman" w:hAnsi="Times New Roman"/>
          <w:sz w:val="22"/>
          <w:szCs w:val="22"/>
          <w:lang w:eastAsia="fr-FR"/>
        </w:rPr>
        <w:t xml:space="preserve"> pour l’égalité et l’inclusion.</w:t>
      </w:r>
    </w:p>
    <w:p w:rsidR="00771667" w:rsidRPr="003B7D35" w:rsidRDefault="00771667" w:rsidP="00771667">
      <w:pPr>
        <w:autoSpaceDE w:val="0"/>
        <w:autoSpaceDN w:val="0"/>
        <w:adjustRightInd w:val="0"/>
        <w:rPr>
          <w:rFonts w:ascii="Times New Roman" w:eastAsia="Times New Roman" w:hAnsi="Times New Roman"/>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L’intégration de la dimension ge</w:t>
      </w:r>
      <w:r w:rsidR="0061152F" w:rsidRPr="003B7D35">
        <w:rPr>
          <w:rFonts w:ascii="Times New Roman" w:eastAsia="Times New Roman" w:hAnsi="Times New Roman"/>
          <w:sz w:val="22"/>
          <w:szCs w:val="22"/>
          <w:lang w:eastAsia="fr-FR"/>
        </w:rPr>
        <w:t xml:space="preserve">nre </w:t>
      </w:r>
      <w:r w:rsidRPr="003B7D35">
        <w:rPr>
          <w:rFonts w:ascii="Times New Roman" w:eastAsia="Times New Roman" w:hAnsi="Times New Roman"/>
          <w:sz w:val="22"/>
          <w:szCs w:val="22"/>
          <w:lang w:eastAsia="fr-FR"/>
        </w:rPr>
        <w:t xml:space="preserve">a pour objectif de s’assurer que les besoins et les priorités des femmes et des hommes sont pris en compte ; </w:t>
      </w:r>
      <w:r w:rsidR="00F12E0C" w:rsidRPr="003B7D35">
        <w:rPr>
          <w:rFonts w:ascii="Times New Roman" w:eastAsia="Times New Roman" w:hAnsi="Times New Roman"/>
          <w:sz w:val="22"/>
          <w:szCs w:val="22"/>
          <w:lang w:eastAsia="fr-FR"/>
        </w:rPr>
        <w:t>en réalité, elle vise</w:t>
      </w:r>
      <w:r w:rsidRPr="003B7D35">
        <w:rPr>
          <w:rFonts w:ascii="Times New Roman" w:eastAsia="Times New Roman" w:hAnsi="Times New Roman"/>
          <w:sz w:val="22"/>
          <w:szCs w:val="22"/>
          <w:lang w:eastAsia="fr-FR"/>
        </w:rPr>
        <w:t xml:space="preserve"> une meilleure efficacité et une plus grande équité dans les programmes et</w:t>
      </w:r>
      <w:r w:rsidR="0061152F" w:rsidRPr="003B7D35">
        <w:rPr>
          <w:rFonts w:ascii="Times New Roman" w:eastAsia="Times New Roman" w:hAnsi="Times New Roman"/>
          <w:sz w:val="22"/>
          <w:szCs w:val="22"/>
          <w:lang w:eastAsia="fr-FR"/>
        </w:rPr>
        <w:t xml:space="preserve"> les</w:t>
      </w:r>
      <w:r w:rsidRPr="003B7D35">
        <w:rPr>
          <w:rFonts w:ascii="Times New Roman" w:eastAsia="Times New Roman" w:hAnsi="Times New Roman"/>
          <w:sz w:val="22"/>
          <w:szCs w:val="22"/>
          <w:lang w:eastAsia="fr-FR"/>
        </w:rPr>
        <w:t xml:space="preserve"> projets de développement. </w:t>
      </w:r>
      <w:bookmarkStart w:id="157" w:name="_Toc456112456"/>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Dans cette perspective, intégrer le genre dans le projet de </w:t>
      </w:r>
      <w:r w:rsidRPr="003B7D35">
        <w:rPr>
          <w:rFonts w:ascii="Times New Roman" w:eastAsia="Times New Roman" w:hAnsi="Times New Roman"/>
          <w:bCs/>
          <w:sz w:val="22"/>
          <w:szCs w:val="22"/>
          <w:lang w:eastAsia="fr-FR"/>
        </w:rPr>
        <w:t xml:space="preserve">promotion d’une finance novatrice d’adaptation communautaire autour des réserves naturelles communautaires </w:t>
      </w:r>
      <w:r w:rsidRPr="003B7D35">
        <w:rPr>
          <w:rFonts w:ascii="Times New Roman" w:eastAsia="Times New Roman" w:hAnsi="Times New Roman"/>
          <w:sz w:val="22"/>
          <w:szCs w:val="22"/>
          <w:lang w:eastAsia="fr-FR"/>
        </w:rPr>
        <w:t xml:space="preserve">revient à </w:t>
      </w:r>
      <w:r w:rsidRPr="003B7D35">
        <w:rPr>
          <w:rFonts w:ascii="Times New Roman" w:eastAsia="Times New Roman" w:hAnsi="Times New Roman"/>
          <w:bCs/>
          <w:iCs/>
          <w:sz w:val="22"/>
          <w:szCs w:val="22"/>
          <w:lang w:eastAsia="fr-FR"/>
        </w:rPr>
        <w:t>promouvoir un développement équitable</w:t>
      </w:r>
      <w:r w:rsidRPr="003B7D35">
        <w:rPr>
          <w:rFonts w:ascii="Times New Roman" w:eastAsia="Times New Roman" w:hAnsi="Times New Roman"/>
          <w:sz w:val="22"/>
          <w:szCs w:val="22"/>
          <w:lang w:eastAsia="fr-FR"/>
        </w:rPr>
        <w:t xml:space="preserve"> dans les différentes zones d’intervention du projet. Sa pertinence apparaît évidente pour atteindre les objectifs d’</w:t>
      </w:r>
      <w:r w:rsidR="00537B55" w:rsidRPr="003B7D35">
        <w:rPr>
          <w:rFonts w:ascii="Times New Roman" w:eastAsia="Times New Roman" w:hAnsi="Times New Roman"/>
          <w:sz w:val="22"/>
          <w:szCs w:val="22"/>
          <w:lang w:eastAsia="fr-FR"/>
        </w:rPr>
        <w:t>adaptation aux changements climatiques</w:t>
      </w:r>
      <w:r w:rsidRPr="003B7D35">
        <w:rPr>
          <w:rFonts w:ascii="Times New Roman" w:eastAsia="Times New Roman" w:hAnsi="Times New Roman"/>
          <w:sz w:val="22"/>
          <w:szCs w:val="22"/>
          <w:lang w:eastAsia="fr-FR"/>
        </w:rPr>
        <w:t>. Mais elle suppose une rupture.</w:t>
      </w:r>
      <w:bookmarkEnd w:id="157"/>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61152F" w:rsidP="00771667">
      <w:pPr>
        <w:numPr>
          <w:ilvl w:val="1"/>
          <w:numId w:val="95"/>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
          <w:sz w:val="22"/>
          <w:szCs w:val="22"/>
          <w:shd w:val="clear" w:color="auto" w:fill="FFFFFF"/>
          <w:lang w:eastAsia="fr-FR"/>
        </w:rPr>
        <w:t>É</w:t>
      </w:r>
      <w:r w:rsidR="00771667" w:rsidRPr="003B7D35">
        <w:rPr>
          <w:rFonts w:ascii="Times New Roman" w:eastAsia="Times New Roman" w:hAnsi="Times New Roman"/>
          <w:b/>
          <w:sz w:val="22"/>
          <w:szCs w:val="22"/>
          <w:shd w:val="clear" w:color="auto" w:fill="FFFFFF"/>
          <w:lang w:eastAsia="fr-FR"/>
        </w:rPr>
        <w:t>quité et égalité de genre au Sénégal</w:t>
      </w:r>
      <w:r w:rsidR="002575A2" w:rsidRPr="003B7D35">
        <w:rPr>
          <w:rFonts w:ascii="Times New Roman" w:eastAsia="Times New Roman" w:hAnsi="Times New Roman"/>
          <w:sz w:val="22"/>
          <w:szCs w:val="22"/>
          <w:shd w:val="clear" w:color="auto" w:fill="FFFFFF"/>
          <w:lang w:eastAsia="fr-FR"/>
        </w:rPr>
        <w:t> :</w:t>
      </w:r>
    </w:p>
    <w:p w:rsidR="00771667" w:rsidRPr="003B7D35" w:rsidRDefault="00771667" w:rsidP="00771667">
      <w:pPr>
        <w:autoSpaceDE w:val="0"/>
        <w:autoSpaceDN w:val="0"/>
        <w:adjustRightInd w:val="0"/>
        <w:spacing w:after="0"/>
        <w:rPr>
          <w:rFonts w:ascii="Times New Roman" w:eastAsia="Times New Roman" w:hAnsi="Times New Roman"/>
          <w:sz w:val="22"/>
          <w:szCs w:val="22"/>
          <w:shd w:val="clear" w:color="auto" w:fill="FFFFFF"/>
          <w:lang w:eastAsia="fr-FR"/>
        </w:rPr>
      </w:pPr>
    </w:p>
    <w:p w:rsidR="00771667" w:rsidRPr="003B7D35" w:rsidRDefault="00771667" w:rsidP="00771667">
      <w:pPr>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 xml:space="preserve">L’analyse des causes, </w:t>
      </w:r>
      <w:r w:rsidR="0061152F" w:rsidRPr="003B7D35">
        <w:rPr>
          <w:rFonts w:ascii="Times New Roman" w:eastAsia="Times New Roman" w:hAnsi="Times New Roman"/>
          <w:bCs/>
          <w:sz w:val="22"/>
          <w:szCs w:val="22"/>
          <w:lang w:eastAsia="fr-FR"/>
        </w:rPr>
        <w:t xml:space="preserve">des </w:t>
      </w:r>
      <w:r w:rsidRPr="003B7D35">
        <w:rPr>
          <w:rFonts w:ascii="Times New Roman" w:eastAsia="Times New Roman" w:hAnsi="Times New Roman"/>
          <w:bCs/>
          <w:sz w:val="22"/>
          <w:szCs w:val="22"/>
          <w:lang w:eastAsia="fr-FR"/>
        </w:rPr>
        <w:t>déterminants et manifestations et le vécu de la pauvreté au Sénégal a permis d'élaborer une stratégie axée sur plusieurs points dont le genre</w:t>
      </w:r>
      <w:r w:rsidR="0061152F" w:rsidRPr="003B7D35">
        <w:rPr>
          <w:rFonts w:ascii="Times New Roman" w:eastAsia="Times New Roman" w:hAnsi="Times New Roman"/>
          <w:bCs/>
          <w:sz w:val="22"/>
          <w:szCs w:val="22"/>
          <w:lang w:eastAsia="fr-FR"/>
        </w:rPr>
        <w:t> :</w:t>
      </w:r>
    </w:p>
    <w:p w:rsidR="00771667" w:rsidRPr="003B7D35" w:rsidRDefault="00D2405E"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 création de richesse </w:t>
      </w:r>
      <w:r w:rsidR="0061152F" w:rsidRPr="003B7D35">
        <w:rPr>
          <w:rFonts w:ascii="Times New Roman" w:eastAsia="Times New Roman" w:hAnsi="Times New Roman"/>
          <w:bCs/>
          <w:sz w:val="22"/>
          <w:szCs w:val="22"/>
          <w:lang w:eastAsia="fr-FR"/>
        </w:rPr>
        <w:t>;</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 renforcement des capacités et la promotion des services sociaux de base</w:t>
      </w:r>
      <w:r w:rsidR="00D2405E" w:rsidRPr="003B7D35">
        <w:rPr>
          <w:rFonts w:ascii="Times New Roman" w:eastAsia="Times New Roman" w:hAnsi="Times New Roman"/>
          <w:bCs/>
          <w:sz w:val="22"/>
          <w:szCs w:val="22"/>
          <w:lang w:eastAsia="fr-FR"/>
        </w:rPr>
        <w:t> ;</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l’amélioration des conditions</w:t>
      </w:r>
      <w:r w:rsidR="00D2405E" w:rsidRPr="003B7D35">
        <w:rPr>
          <w:rFonts w:ascii="Times New Roman" w:eastAsia="Times New Roman" w:hAnsi="Times New Roman"/>
          <w:bCs/>
          <w:sz w:val="22"/>
          <w:szCs w:val="22"/>
          <w:lang w:eastAsia="fr-FR"/>
        </w:rPr>
        <w:t xml:space="preserve"> de vie des groupes vulnérables </w:t>
      </w:r>
      <w:r w:rsidRPr="003B7D35">
        <w:rPr>
          <w:rFonts w:ascii="Times New Roman" w:eastAsia="Times New Roman" w:hAnsi="Times New Roman"/>
          <w:bCs/>
          <w:sz w:val="22"/>
          <w:szCs w:val="22"/>
          <w:lang w:eastAsia="fr-FR"/>
        </w:rPr>
        <w:t>;</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l'approche participative de mise en œuvre et de suivi - évaluation basée sur la décentralisatio</w:t>
      </w:r>
      <w:r w:rsidR="0061152F" w:rsidRPr="003B7D35">
        <w:rPr>
          <w:rFonts w:ascii="Times New Roman" w:eastAsia="Times New Roman" w:hAnsi="Times New Roman"/>
          <w:bCs/>
          <w:sz w:val="22"/>
          <w:szCs w:val="22"/>
          <w:lang w:eastAsia="fr-FR"/>
        </w:rPr>
        <w:t>n du pilotage et de l’exécution ;</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l’intégration de l’approche du genre qui reconnaît et part de la spécificité  des besoins en vue d’améliorer l’impact des interventions et d’assurer l’équité.</w:t>
      </w:r>
    </w:p>
    <w:p w:rsidR="00771667" w:rsidRPr="003B7D35" w:rsidRDefault="00771667" w:rsidP="00771667">
      <w:pPr>
        <w:spacing w:after="0"/>
        <w:ind w:left="1068"/>
        <w:rPr>
          <w:rFonts w:ascii="Times New Roman" w:eastAsia="Times New Roman" w:hAnsi="Times New Roman"/>
          <w:bCs/>
          <w:sz w:val="22"/>
          <w:szCs w:val="22"/>
          <w:lang w:eastAsia="fr-FR"/>
        </w:rPr>
      </w:pPr>
    </w:p>
    <w:p w:rsidR="00771667" w:rsidRPr="003B7D35" w:rsidRDefault="00771667" w:rsidP="00771667">
      <w:pPr>
        <w:spacing w:after="0"/>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 Sénégal a signé et ratifié différentes conventions internationales relatives au droit</w:t>
      </w:r>
      <w:r w:rsidR="0061152F" w:rsidRPr="003B7D35">
        <w:rPr>
          <w:rFonts w:ascii="Times New Roman" w:eastAsia="Times New Roman" w:hAnsi="Times New Roman"/>
          <w:bCs/>
          <w:sz w:val="22"/>
          <w:szCs w:val="22"/>
          <w:lang w:eastAsia="fr-FR"/>
        </w:rPr>
        <w:t xml:space="preserve"> de l’homme de manière générale </w:t>
      </w:r>
      <w:r w:rsidRPr="003B7D35">
        <w:rPr>
          <w:rFonts w:ascii="Times New Roman" w:eastAsia="Times New Roman" w:hAnsi="Times New Roman"/>
          <w:bCs/>
          <w:sz w:val="22"/>
          <w:szCs w:val="22"/>
          <w:lang w:eastAsia="fr-FR"/>
        </w:rPr>
        <w:t>(droit économique, socio</w:t>
      </w:r>
      <w:r w:rsidR="0061152F" w:rsidRPr="003B7D35">
        <w:rPr>
          <w:rFonts w:ascii="Times New Roman" w:eastAsia="Times New Roman" w:hAnsi="Times New Roman"/>
          <w:bCs/>
          <w:sz w:val="22"/>
          <w:szCs w:val="22"/>
          <w:lang w:eastAsia="fr-FR"/>
        </w:rPr>
        <w:t>culturel,</w:t>
      </w:r>
      <w:r w:rsidRPr="003B7D35">
        <w:rPr>
          <w:rFonts w:ascii="Times New Roman" w:eastAsia="Times New Roman" w:hAnsi="Times New Roman"/>
          <w:bCs/>
          <w:sz w:val="22"/>
          <w:szCs w:val="22"/>
          <w:lang w:eastAsia="fr-FR"/>
        </w:rPr>
        <w:t xml:space="preserve"> civil et politique</w:t>
      </w:r>
      <w:r w:rsidR="0061152F" w:rsidRPr="003B7D35">
        <w:rPr>
          <w:rFonts w:ascii="Times New Roman" w:eastAsia="Times New Roman" w:hAnsi="Times New Roman"/>
          <w:bCs/>
          <w:sz w:val="22"/>
          <w:szCs w:val="22"/>
          <w:lang w:eastAsia="fr-FR"/>
        </w:rPr>
        <w:t>,</w:t>
      </w:r>
      <w:r w:rsidRPr="003B7D35">
        <w:rPr>
          <w:rFonts w:ascii="Times New Roman" w:eastAsia="Times New Roman" w:hAnsi="Times New Roman"/>
          <w:bCs/>
          <w:sz w:val="22"/>
          <w:szCs w:val="22"/>
          <w:lang w:eastAsia="fr-FR"/>
        </w:rPr>
        <w:t xml:space="preserve"> etc.)</w:t>
      </w:r>
      <w:r w:rsidR="0061152F" w:rsidRPr="003B7D35">
        <w:rPr>
          <w:rFonts w:ascii="Times New Roman" w:eastAsia="Times New Roman" w:hAnsi="Times New Roman"/>
          <w:bCs/>
          <w:sz w:val="22"/>
          <w:szCs w:val="22"/>
          <w:lang w:eastAsia="fr-FR"/>
        </w:rPr>
        <w:t xml:space="preserve"> </w:t>
      </w:r>
      <w:r w:rsidRPr="003B7D35">
        <w:rPr>
          <w:rFonts w:ascii="Times New Roman" w:eastAsia="Times New Roman" w:hAnsi="Times New Roman"/>
          <w:bCs/>
          <w:sz w:val="22"/>
          <w:szCs w:val="22"/>
          <w:lang w:eastAsia="fr-FR"/>
        </w:rPr>
        <w:t>parmi lesquelles</w:t>
      </w:r>
      <w:r w:rsidR="0061152F" w:rsidRPr="003B7D35">
        <w:rPr>
          <w:rFonts w:ascii="Times New Roman" w:eastAsia="Times New Roman" w:hAnsi="Times New Roman"/>
          <w:bCs/>
          <w:sz w:val="22"/>
          <w:szCs w:val="22"/>
          <w:lang w:eastAsia="fr-FR"/>
        </w:rPr>
        <w:t xml:space="preserve"> on compte</w:t>
      </w:r>
      <w:r w:rsidR="002575A2" w:rsidRPr="003B7D35">
        <w:rPr>
          <w:rFonts w:ascii="Times New Roman" w:eastAsia="Times New Roman" w:hAnsi="Times New Roman"/>
          <w:bCs/>
          <w:sz w:val="22"/>
          <w:szCs w:val="22"/>
          <w:lang w:eastAsia="fr-FR"/>
        </w:rPr>
        <w:t> :</w:t>
      </w:r>
    </w:p>
    <w:p w:rsidR="00771667" w:rsidRPr="003B7D35" w:rsidRDefault="00771667" w:rsidP="00771667">
      <w:pPr>
        <w:spacing w:after="0"/>
        <w:rPr>
          <w:rFonts w:ascii="Times New Roman" w:eastAsia="Times New Roman" w:hAnsi="Times New Roman"/>
          <w:bCs/>
          <w:sz w:val="22"/>
          <w:szCs w:val="22"/>
          <w:lang w:eastAsia="fr-FR"/>
        </w:rPr>
      </w:pP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Cs/>
          <w:sz w:val="22"/>
          <w:szCs w:val="22"/>
          <w:lang w:eastAsia="fr-FR"/>
        </w:rPr>
        <w:t>l</w:t>
      </w:r>
      <w:r w:rsidR="00771667" w:rsidRPr="003B7D35">
        <w:rPr>
          <w:rFonts w:ascii="Times New Roman" w:eastAsia="Times New Roman" w:hAnsi="Times New Roman"/>
          <w:sz w:val="22"/>
          <w:szCs w:val="22"/>
          <w:lang w:eastAsia="fr-FR"/>
        </w:rPr>
        <w:t xml:space="preserve">a Convention sur l’élimination de toutes les formes de discrimination à l’égard des femmes, adoptée en 1979 et </w:t>
      </w:r>
      <w:r w:rsidR="00D2405E" w:rsidRPr="003B7D35">
        <w:rPr>
          <w:rFonts w:ascii="Times New Roman" w:eastAsia="Times New Roman" w:hAnsi="Times New Roman"/>
          <w:sz w:val="22"/>
          <w:szCs w:val="22"/>
          <w:lang w:eastAsia="fr-FR"/>
        </w:rPr>
        <w:t>ratifiée par le Sénégal en 1985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e protocole facultatif à la Convention sur l’élimination de toutes les formes de discrimination à l’égard des femmes,</w:t>
      </w:r>
      <w:r w:rsidR="00D2405E" w:rsidRPr="003B7D35">
        <w:rPr>
          <w:rFonts w:ascii="Times New Roman" w:eastAsia="Times New Roman" w:hAnsi="Times New Roman"/>
          <w:sz w:val="22"/>
          <w:szCs w:val="22"/>
          <w:lang w:eastAsia="fr-FR"/>
        </w:rPr>
        <w:t xml:space="preserve"> ratifié par le Sénégal en 2002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la </w:t>
      </w:r>
      <w:r w:rsidR="00771667" w:rsidRPr="003B7D35">
        <w:rPr>
          <w:rFonts w:ascii="Times New Roman" w:eastAsia="Times New Roman" w:hAnsi="Times New Roman"/>
          <w:sz w:val="22"/>
          <w:szCs w:val="22"/>
          <w:lang w:eastAsia="fr-FR"/>
        </w:rPr>
        <w:t xml:space="preserve">Charte Africaine des Droits de l’Homme et </w:t>
      </w:r>
      <w:r w:rsidR="00D2405E" w:rsidRPr="003B7D35">
        <w:rPr>
          <w:rFonts w:ascii="Times New Roman" w:eastAsia="Times New Roman" w:hAnsi="Times New Roman"/>
          <w:sz w:val="22"/>
          <w:szCs w:val="22"/>
          <w:lang w:eastAsia="fr-FR"/>
        </w:rPr>
        <w:t>des Peuples, ratifiée en 1982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e protocole à la Charte Africaine des Droits de l’Homme et des Peuples, relatif aux droits des femmes, ratifié le 1er Décembre 2004.</w:t>
      </w:r>
    </w:p>
    <w:p w:rsidR="00771667" w:rsidRPr="003B7D35" w:rsidRDefault="00771667" w:rsidP="00771667">
      <w:pPr>
        <w:autoSpaceDE w:val="0"/>
        <w:autoSpaceDN w:val="0"/>
        <w:adjustRightInd w:val="0"/>
        <w:spacing w:after="0"/>
        <w:ind w:left="1068"/>
        <w:contextualSpacing/>
        <w:rPr>
          <w:rFonts w:ascii="Times New Roman" w:eastAsia="Times New Roman" w:hAnsi="Times New Roman"/>
          <w:sz w:val="22"/>
          <w:szCs w:val="22"/>
          <w:lang w:eastAsia="fr-FR"/>
        </w:rPr>
      </w:pP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‘égalité entre l’homme et la fe</w:t>
      </w:r>
      <w:r w:rsidRPr="003B7D35">
        <w:rPr>
          <w:rFonts w:ascii="Times New Roman" w:eastAsia="Times New Roman" w:hAnsi="Times New Roman"/>
          <w:sz w:val="22"/>
          <w:szCs w:val="22"/>
          <w:lang w:eastAsia="fr-FR"/>
        </w:rPr>
        <w:t>mme est garantie par la C</w:t>
      </w:r>
      <w:r w:rsidR="00771667" w:rsidRPr="003B7D35">
        <w:rPr>
          <w:rFonts w:ascii="Times New Roman" w:eastAsia="Times New Roman" w:hAnsi="Times New Roman"/>
          <w:sz w:val="22"/>
          <w:szCs w:val="22"/>
          <w:lang w:eastAsia="fr-FR"/>
        </w:rPr>
        <w:t>onstitution (référendum d</w:t>
      </w:r>
      <w:r w:rsidRPr="003B7D35">
        <w:rPr>
          <w:rFonts w:ascii="Times New Roman" w:eastAsia="Times New Roman" w:hAnsi="Times New Roman"/>
          <w:sz w:val="22"/>
          <w:szCs w:val="22"/>
          <w:lang w:eastAsia="fr-FR"/>
        </w:rPr>
        <w:t>u 7 janvier 2001) qui proclame : « L</w:t>
      </w:r>
      <w:r w:rsidR="00771667" w:rsidRPr="003B7D35">
        <w:rPr>
          <w:rFonts w:ascii="Times New Roman" w:eastAsia="Times New Roman" w:hAnsi="Times New Roman"/>
          <w:sz w:val="22"/>
          <w:szCs w:val="22"/>
          <w:lang w:eastAsia="fr-FR"/>
        </w:rPr>
        <w:t>’accès de tous les citoyens, sans discrimination à l’exercice du pouvoir à tous les niveaux, l’égal accès de tous les citoyens aux services publics, le rejet et l’élimination sous toutes les formes de l’injustice, des inégalités et des discriminations</w:t>
      </w:r>
      <w:r w:rsidRPr="003B7D35">
        <w:rPr>
          <w:rFonts w:ascii="Times New Roman" w:eastAsia="Times New Roman" w:hAnsi="Times New Roman"/>
          <w:sz w:val="22"/>
          <w:szCs w:val="22"/>
          <w:lang w:eastAsia="fr-FR"/>
        </w:rPr>
        <w:t> </w:t>
      </w:r>
      <w:r w:rsidR="00771667" w:rsidRPr="003B7D35">
        <w:rPr>
          <w:rFonts w:ascii="Times New Roman" w:eastAsia="Times New Roman" w:hAnsi="Times New Roman"/>
          <w:sz w:val="22"/>
          <w:szCs w:val="22"/>
          <w:lang w:eastAsia="fr-FR"/>
        </w:rPr>
        <w:t>».</w:t>
      </w: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articles 7, 18 et 25 de la C</w:t>
      </w:r>
      <w:r w:rsidR="00771667" w:rsidRPr="003B7D35">
        <w:rPr>
          <w:rFonts w:ascii="Times New Roman" w:eastAsia="Times New Roman" w:hAnsi="Times New Roman"/>
          <w:sz w:val="22"/>
          <w:szCs w:val="22"/>
          <w:lang w:eastAsia="fr-FR"/>
        </w:rPr>
        <w:t>onstit</w:t>
      </w:r>
      <w:r w:rsidRPr="003B7D35">
        <w:rPr>
          <w:rFonts w:ascii="Times New Roman" w:eastAsia="Times New Roman" w:hAnsi="Times New Roman"/>
          <w:sz w:val="22"/>
          <w:szCs w:val="22"/>
          <w:lang w:eastAsia="fr-FR"/>
        </w:rPr>
        <w:t xml:space="preserve">ution soulignent respectivement : </w:t>
      </w:r>
      <w:r w:rsidR="00771667" w:rsidRPr="003B7D35">
        <w:rPr>
          <w:rFonts w:ascii="Times New Roman" w:eastAsia="Times New Roman" w:hAnsi="Times New Roman"/>
          <w:sz w:val="22"/>
          <w:szCs w:val="22"/>
          <w:lang w:eastAsia="fr-FR"/>
        </w:rPr>
        <w:t>la protection cont</w:t>
      </w:r>
      <w:r w:rsidRPr="003B7D35">
        <w:rPr>
          <w:rFonts w:ascii="Times New Roman" w:eastAsia="Times New Roman" w:hAnsi="Times New Roman"/>
          <w:sz w:val="22"/>
          <w:szCs w:val="22"/>
          <w:lang w:eastAsia="fr-FR"/>
        </w:rPr>
        <w:t>re toutes mutilations physiques ;</w:t>
      </w:r>
      <w:r w:rsidR="00771667" w:rsidRPr="003B7D35">
        <w:rPr>
          <w:rFonts w:ascii="Times New Roman" w:eastAsia="Times New Roman" w:hAnsi="Times New Roman"/>
          <w:sz w:val="22"/>
          <w:szCs w:val="22"/>
          <w:lang w:eastAsia="fr-FR"/>
        </w:rPr>
        <w:t xml:space="preserve"> l’interdiction et la punition du mariage forcé dans les conditions fixées par la loi ; l’interdiction de la discrimination entre l’homme et la femme devant l’emploi.</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Au niveau des codes en vigueur, lois et règlements nationaux bon nombre de dispositions nationales ayant un impact sur la situation de l’égalité et de l’équité de genre existent</w:t>
      </w:r>
      <w:r w:rsidR="0061152F"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notamment dans le domaine de la famille (Code de la famille, Code de la nationalité), dans le domaine du travail (Code du travail et de la sécurité sociale, Code général des impôts), au niveau pénal (Code de procédure pénale), et sur le plan foncier (Code foncier).</w:t>
      </w: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À</w:t>
      </w:r>
      <w:r w:rsidR="00771667" w:rsidRPr="003B7D35">
        <w:rPr>
          <w:rFonts w:ascii="Times New Roman" w:eastAsia="Times New Roman" w:hAnsi="Times New Roman"/>
          <w:sz w:val="22"/>
          <w:szCs w:val="22"/>
          <w:lang w:eastAsia="fr-FR"/>
        </w:rPr>
        <w:t xml:space="preserve"> ces dispositions s’ajoutent d’autres lois</w:t>
      </w:r>
      <w:r w:rsidR="002575A2" w:rsidRPr="003B7D35">
        <w:rPr>
          <w:rFonts w:ascii="Times New Roman" w:eastAsia="Times New Roman" w:hAnsi="Times New Roman"/>
          <w:sz w:val="22"/>
          <w:szCs w:val="22"/>
          <w:lang w:eastAsia="fr-FR"/>
        </w:rPr>
        <w:t> :</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a loi n° 2010-11 du 28 mai 2010 instituant la parité absolue Homme-Femme au Sénégal dans toutes les institutions totalement ou partiellement électives</w:t>
      </w:r>
      <w:r w:rsidR="00D2405E" w:rsidRPr="003B7D35">
        <w:rPr>
          <w:rFonts w:ascii="Times New Roman" w:eastAsia="Times New Roman" w:hAnsi="Times New Roman"/>
          <w:sz w:val="22"/>
          <w:szCs w:val="22"/>
          <w:lang w:eastAsia="fr-FR"/>
        </w:rPr>
        <w:t> </w:t>
      </w:r>
      <w:r w:rsidR="00771667" w:rsidRPr="003B7D35">
        <w:rPr>
          <w:rFonts w:ascii="Times New Roman" w:eastAsia="Times New Roman" w:hAnsi="Times New Roman"/>
          <w:sz w:val="22"/>
          <w:szCs w:val="22"/>
          <w:lang w:eastAsia="fr-FR"/>
        </w:rPr>
        <w:t>; adoptée par l’Assemblée Nationale le 14 mai 2010 et par le Sénat le 19 mai 2010.</w:t>
      </w:r>
    </w:p>
    <w:p w:rsidR="00771667" w:rsidRPr="003B7D35" w:rsidRDefault="0061152F" w:rsidP="0061152F">
      <w:pPr>
        <w:numPr>
          <w:ilvl w:val="0"/>
          <w:numId w:val="92"/>
        </w:numPr>
        <w:autoSpaceDE w:val="0"/>
        <w:autoSpaceDN w:val="0"/>
        <w:adjustRightInd w:val="0"/>
        <w:spacing w:after="0" w:line="276" w:lineRule="auto"/>
        <w:ind w:hanging="359"/>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 Stratégie Nationale pour l'égalité et l'é</w:t>
      </w:r>
      <w:r w:rsidR="00771667" w:rsidRPr="003B7D35">
        <w:rPr>
          <w:rFonts w:ascii="Times New Roman" w:eastAsia="Times New Roman" w:hAnsi="Times New Roman"/>
          <w:sz w:val="22"/>
          <w:szCs w:val="22"/>
          <w:lang w:eastAsia="fr-FR"/>
        </w:rPr>
        <w:t>quit</w:t>
      </w:r>
      <w:r w:rsidR="00EE71EC" w:rsidRPr="003B7D35">
        <w:rPr>
          <w:rFonts w:ascii="Times New Roman" w:eastAsia="Times New Roman" w:hAnsi="Times New Roman"/>
          <w:sz w:val="22"/>
          <w:szCs w:val="22"/>
          <w:lang w:eastAsia="fr-FR"/>
        </w:rPr>
        <w:t xml:space="preserve">é de Genre (SNEEG) élaborée et validée en </w:t>
      </w:r>
      <w:r w:rsidR="00771667" w:rsidRPr="003B7D35">
        <w:rPr>
          <w:rFonts w:ascii="Times New Roman" w:eastAsia="Times New Roman" w:hAnsi="Times New Roman"/>
          <w:sz w:val="22"/>
          <w:szCs w:val="22"/>
          <w:lang w:eastAsia="fr-FR"/>
        </w:rPr>
        <w:t>2005.</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À c</w:t>
      </w:r>
      <w:r w:rsidR="00EE71EC" w:rsidRPr="003B7D35">
        <w:rPr>
          <w:rFonts w:ascii="Times New Roman" w:eastAsia="Times New Roman" w:hAnsi="Times New Roman"/>
          <w:sz w:val="22"/>
          <w:szCs w:val="22"/>
          <w:lang w:eastAsia="fr-FR"/>
        </w:rPr>
        <w:t>ôté de ces lois et dispositions</w:t>
      </w:r>
      <w:r w:rsidRPr="003B7D35">
        <w:rPr>
          <w:rFonts w:ascii="Times New Roman" w:eastAsia="Times New Roman" w:hAnsi="Times New Roman"/>
          <w:sz w:val="22"/>
          <w:szCs w:val="22"/>
          <w:lang w:eastAsia="fr-FR"/>
        </w:rPr>
        <w:t xml:space="preserve"> en charge</w:t>
      </w:r>
      <w:r w:rsidR="00EE71EC" w:rsidRPr="003B7D35">
        <w:rPr>
          <w:rFonts w:ascii="Times New Roman" w:eastAsia="Times New Roman" w:hAnsi="Times New Roman"/>
          <w:sz w:val="22"/>
          <w:szCs w:val="22"/>
          <w:lang w:eastAsia="fr-FR"/>
        </w:rPr>
        <w:t xml:space="preserve"> de la promotion du genre, </w:t>
      </w:r>
      <w:r w:rsidRPr="003B7D35">
        <w:rPr>
          <w:rFonts w:ascii="Times New Roman" w:eastAsia="Times New Roman" w:hAnsi="Times New Roman"/>
          <w:sz w:val="22"/>
          <w:szCs w:val="22"/>
          <w:lang w:eastAsia="fr-FR"/>
        </w:rPr>
        <w:t>des mécanismes d’appui ont été mis en place</w:t>
      </w:r>
      <w:r w:rsidR="00EE71EC" w:rsidRPr="003B7D35">
        <w:rPr>
          <w:rFonts w:ascii="Times New Roman" w:eastAsia="Times New Roman" w:hAnsi="Times New Roman"/>
          <w:sz w:val="22"/>
          <w:szCs w:val="22"/>
          <w:lang w:eastAsia="fr-FR"/>
        </w:rPr>
        <w:t>, particulièrement</w:t>
      </w:r>
      <w:r w:rsidRPr="003B7D35">
        <w:rPr>
          <w:rFonts w:ascii="Times New Roman" w:eastAsia="Times New Roman" w:hAnsi="Times New Roman"/>
          <w:sz w:val="22"/>
          <w:szCs w:val="22"/>
          <w:lang w:eastAsia="fr-FR"/>
        </w:rPr>
        <w:t xml:space="preserve"> un point focal genre</w:t>
      </w:r>
      <w:r w:rsidR="00EE71EC"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dans chaque ministère et un Comité consultatif de la femme qui regroupe les représentants des organisations de femmes, des syndicats, des ONG, des partis politiques. Le comit</w:t>
      </w:r>
      <w:r w:rsidR="00EE71EC" w:rsidRPr="003B7D35">
        <w:rPr>
          <w:rFonts w:ascii="Times New Roman" w:eastAsia="Times New Roman" w:hAnsi="Times New Roman"/>
          <w:sz w:val="22"/>
          <w:szCs w:val="22"/>
          <w:lang w:eastAsia="fr-FR"/>
        </w:rPr>
        <w:t>é consultatif</w:t>
      </w:r>
      <w:r w:rsidRPr="003B7D35">
        <w:rPr>
          <w:rFonts w:ascii="Times New Roman" w:eastAsia="Times New Roman" w:hAnsi="Times New Roman"/>
          <w:sz w:val="22"/>
          <w:szCs w:val="22"/>
          <w:lang w:eastAsia="fr-FR"/>
        </w:rPr>
        <w:t xml:space="preserve"> est chargé de donner des avis sur les questions majeures relatives à la promotion de la femme.</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Ce dispositif institutionnel d’appui en faveur du genre est également soutenu par des programmes et projets développés en partenariat avec la communauté internationale en faveur de la promotion de la femme.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sz w:val="22"/>
          <w:szCs w:val="22"/>
          <w:lang w:eastAsia="fr-FR"/>
        </w:rPr>
        <w:t>Il est cependant à noter</w:t>
      </w:r>
      <w:r w:rsidRPr="003B7D35">
        <w:rPr>
          <w:rFonts w:ascii="Times New Roman" w:eastAsia="Times New Roman" w:hAnsi="Times New Roman"/>
          <w:b/>
          <w:sz w:val="22"/>
          <w:szCs w:val="22"/>
          <w:lang w:eastAsia="fr-FR"/>
        </w:rPr>
        <w:t xml:space="preserve"> </w:t>
      </w:r>
      <w:r w:rsidRPr="003B7D35">
        <w:rPr>
          <w:rFonts w:ascii="Times New Roman" w:eastAsia="Times New Roman" w:hAnsi="Times New Roman"/>
          <w:sz w:val="22"/>
          <w:szCs w:val="22"/>
          <w:lang w:eastAsia="fr-FR"/>
        </w:rPr>
        <w:t>que</w:t>
      </w:r>
      <w:r w:rsidRPr="003B7D35">
        <w:rPr>
          <w:rFonts w:ascii="Times New Roman" w:eastAsia="Times New Roman" w:hAnsi="Times New Roman"/>
          <w:b/>
          <w:sz w:val="22"/>
          <w:szCs w:val="22"/>
          <w:lang w:eastAsia="fr-FR"/>
        </w:rPr>
        <w:t xml:space="preserve"> </w:t>
      </w:r>
      <w:r w:rsidRPr="003B7D35">
        <w:rPr>
          <w:rFonts w:ascii="Times New Roman" w:eastAsia="Calibri" w:hAnsi="Times New Roman"/>
          <w:sz w:val="22"/>
          <w:szCs w:val="22"/>
        </w:rPr>
        <w:t>l’application des textes nationaux favorables à l’équité et à l’égalité de genre est non effective, de même que la faible traduction dans la législation nationale des dispositions incitées par l’adoption des instruments internationaux por</w:t>
      </w:r>
      <w:r w:rsidR="00EE71EC" w:rsidRPr="003B7D35">
        <w:rPr>
          <w:rFonts w:ascii="Times New Roman" w:eastAsia="Calibri" w:hAnsi="Times New Roman"/>
          <w:sz w:val="22"/>
          <w:szCs w:val="22"/>
        </w:rPr>
        <w:t>tant sur les droits des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Sur le plan politique, public et syndical, les femmes sont présentes à tous les postes et ont acquis de grandes avancées en termes de nombre de postes de ministres, de députés et d’élues locales.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Malgré tout, le plus important réside dans le vécu quotidien, cadre d’évolution des modes de vie des femmes qui restent confrontées à des problèmes spécifiques en particulier en milieu rural où elles constituent près de 70% de la force de travail et assurent un peu plus de 80</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 la production agricole avec un accès limité aux moyens de production. Elles sont très vulnérables à la pauvreté et sont  confrontées au manque de ressources et de revenus.</w:t>
      </w:r>
    </w:p>
    <w:p w:rsidR="00771667" w:rsidRPr="003B7D35" w:rsidRDefault="00771667" w:rsidP="00771667">
      <w:pPr>
        <w:rPr>
          <w:rFonts w:ascii="Times New Roman" w:eastAsia="Calibri" w:hAnsi="Times New Roman"/>
          <w:sz w:val="22"/>
          <w:szCs w:val="22"/>
        </w:rPr>
      </w:pPr>
    </w:p>
    <w:p w:rsidR="00771667" w:rsidRPr="003B7D35" w:rsidRDefault="00771667" w:rsidP="00771667">
      <w:pPr>
        <w:rPr>
          <w:rFonts w:ascii="Times New Roman" w:eastAsia="Calibri" w:hAnsi="Times New Roman"/>
          <w:sz w:val="22"/>
          <w:szCs w:val="22"/>
        </w:rPr>
      </w:pPr>
    </w:p>
    <w:p w:rsidR="00771667" w:rsidRPr="003B7D35" w:rsidRDefault="00771667" w:rsidP="00771667">
      <w:pPr>
        <w:numPr>
          <w:ilvl w:val="0"/>
          <w:numId w:val="95"/>
        </w:numPr>
        <w:spacing w:after="200"/>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Bonnes pratiq</w:t>
      </w:r>
      <w:r w:rsidR="00EE71EC" w:rsidRPr="003B7D35">
        <w:rPr>
          <w:rFonts w:ascii="Times New Roman" w:eastAsia="Times New Roman" w:hAnsi="Times New Roman"/>
          <w:b/>
          <w:sz w:val="22"/>
          <w:szCs w:val="22"/>
          <w:lang w:eastAsia="fr-FR"/>
        </w:rPr>
        <w:t xml:space="preserve">ues d’intégration du genre dans </w:t>
      </w:r>
      <w:r w:rsidRPr="003B7D35">
        <w:rPr>
          <w:rFonts w:ascii="Times New Roman" w:eastAsia="Times New Roman" w:hAnsi="Times New Roman"/>
          <w:b/>
          <w:sz w:val="22"/>
          <w:szCs w:val="22"/>
          <w:lang w:eastAsia="fr-FR"/>
        </w:rPr>
        <w:t>un programme de développement</w:t>
      </w:r>
      <w:r w:rsidR="00EE71EC" w:rsidRPr="003B7D35">
        <w:rPr>
          <w:rFonts w:ascii="Times New Roman" w:eastAsia="Times New Roman" w:hAnsi="Times New Roman"/>
          <w:b/>
          <w:sz w:val="22"/>
          <w:szCs w:val="22"/>
          <w:lang w:eastAsia="fr-FR"/>
        </w:rPr>
        <w:t> </w:t>
      </w:r>
      <w:r w:rsidRPr="003B7D35">
        <w:rPr>
          <w:rFonts w:ascii="Times New Roman" w:eastAsia="Times New Roman" w:hAnsi="Times New Roman"/>
          <w:b/>
          <w:sz w:val="22"/>
          <w:szCs w:val="22"/>
          <w:lang w:eastAsia="fr-FR"/>
        </w:rPr>
        <w:t xml:space="preserve">: </w:t>
      </w:r>
      <w:r w:rsidR="00EE71EC" w:rsidRPr="003B7D35">
        <w:rPr>
          <w:rFonts w:ascii="Times New Roman" w:eastAsia="Times New Roman" w:hAnsi="Times New Roman"/>
          <w:b/>
          <w:sz w:val="22"/>
          <w:szCs w:val="22"/>
          <w:lang w:eastAsia="fr-FR"/>
        </w:rPr>
        <w:t>e</w:t>
      </w:r>
      <w:r w:rsidRPr="003B7D35">
        <w:rPr>
          <w:rFonts w:ascii="Times New Roman" w:eastAsia="Times New Roman" w:hAnsi="Times New Roman"/>
          <w:b/>
          <w:sz w:val="22"/>
          <w:szCs w:val="22"/>
          <w:lang w:eastAsia="fr-FR"/>
        </w:rPr>
        <w:t>xemple du Millénnium Challenge Account  -MCA Sénégal</w:t>
      </w: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b/>
          <w:noProof/>
          <w:sz w:val="22"/>
          <w:szCs w:val="22"/>
          <w:lang w:eastAsia="fr-FR"/>
        </w:rPr>
      </w:pP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noProof/>
          <w:sz w:val="22"/>
          <w:szCs w:val="22"/>
          <w:lang w:eastAsia="fr-FR"/>
        </w:rPr>
      </w:pPr>
      <w:r w:rsidRPr="003B7D35">
        <w:rPr>
          <w:rFonts w:ascii="Times New Roman" w:eastAsia="Times New Roman" w:hAnsi="Times New Roman"/>
          <w:b/>
          <w:noProof/>
          <w:sz w:val="22"/>
          <w:szCs w:val="22"/>
          <w:lang w:eastAsia="fr-FR"/>
        </w:rPr>
        <w:t>Contexte</w:t>
      </w: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noProof/>
          <w:sz w:val="22"/>
          <w:szCs w:val="22"/>
          <w:lang w:eastAsia="fr-FR"/>
        </w:rPr>
      </w:pPr>
      <w:r w:rsidRPr="003B7D35">
        <w:rPr>
          <w:rFonts w:ascii="Times New Roman" w:eastAsia="Times New Roman" w:hAnsi="Times New Roman"/>
          <w:noProof/>
          <w:sz w:val="22"/>
          <w:szCs w:val="22"/>
          <w:lang w:eastAsia="fr-FR"/>
        </w:rPr>
        <w:t>Dans sa politique d’appui à la croissance et à la lutte contre la pauvreté dans certains pays les moins avancés, le gouvernement américain a mis en place le Millenium Challenge Corporation (MCC) pour aider les pays éligibles à mieux lutter contre la pauvreté à travers des financements conséquents.</w:t>
      </w:r>
    </w:p>
    <w:p w:rsidR="00771667" w:rsidRPr="003B7D35" w:rsidRDefault="00771667" w:rsidP="00771667">
      <w:pPr>
        <w:spacing w:after="0"/>
        <w:rPr>
          <w:rFonts w:ascii="Times New Roman" w:eastAsia="Times New Roman" w:hAnsi="Times New Roman"/>
          <w:noProof/>
          <w:sz w:val="22"/>
          <w:szCs w:val="22"/>
          <w:lang w:eastAsia="fr-FR"/>
        </w:rPr>
      </w:pPr>
      <w:r w:rsidRPr="003B7D35">
        <w:rPr>
          <w:rFonts w:ascii="Times New Roman" w:eastAsia="Times New Roman" w:hAnsi="Times New Roman"/>
          <w:noProof/>
          <w:sz w:val="22"/>
          <w:szCs w:val="22"/>
          <w:lang w:eastAsia="fr-FR"/>
        </w:rPr>
        <w:t>C’est dans cette perspective que le MCC et le gouvernement du Sénégal ont si</w:t>
      </w:r>
      <w:r w:rsidR="00EE71EC" w:rsidRPr="003B7D35">
        <w:rPr>
          <w:rFonts w:ascii="Times New Roman" w:eastAsia="Times New Roman" w:hAnsi="Times New Roman"/>
          <w:noProof/>
          <w:sz w:val="22"/>
          <w:szCs w:val="22"/>
          <w:lang w:eastAsia="fr-FR"/>
        </w:rPr>
        <w:t>gné</w:t>
      </w:r>
      <w:r w:rsidRPr="003B7D35">
        <w:rPr>
          <w:rFonts w:ascii="Times New Roman" w:eastAsia="Times New Roman" w:hAnsi="Times New Roman"/>
          <w:noProof/>
          <w:sz w:val="22"/>
          <w:szCs w:val="22"/>
          <w:lang w:eastAsia="fr-FR"/>
        </w:rPr>
        <w:t xml:space="preserve"> en septembre 2009 pour une durée de cinq ans un accord de subvention i.e. un Compact  de </w:t>
      </w:r>
    </w:p>
    <w:p w:rsidR="00771667" w:rsidRPr="003B7D35" w:rsidRDefault="00771667" w:rsidP="00771667">
      <w:pPr>
        <w:spacing w:after="0"/>
        <w:rPr>
          <w:rFonts w:ascii="Times New Roman" w:hAnsi="Times New Roman"/>
          <w:snapToGrid w:val="0"/>
          <w:sz w:val="22"/>
          <w:szCs w:val="22"/>
        </w:rPr>
      </w:pPr>
      <w:r w:rsidRPr="003B7D35">
        <w:rPr>
          <w:rFonts w:ascii="Times New Roman" w:eastAsia="Times New Roman" w:hAnsi="Times New Roman"/>
          <w:noProof/>
          <w:sz w:val="22"/>
          <w:szCs w:val="22"/>
          <w:lang w:eastAsia="fr-FR"/>
        </w:rPr>
        <w:t>540 millions</w:t>
      </w:r>
      <w:r w:rsidR="00EE71EC" w:rsidRPr="003B7D35">
        <w:rPr>
          <w:rFonts w:ascii="Times New Roman" w:eastAsia="Times New Roman" w:hAnsi="Times New Roman"/>
          <w:noProof/>
          <w:sz w:val="22"/>
          <w:szCs w:val="22"/>
          <w:lang w:eastAsia="fr-FR"/>
        </w:rPr>
        <w:t xml:space="preserve"> de dollars</w:t>
      </w:r>
      <w:r w:rsidRPr="003B7D35">
        <w:rPr>
          <w:rFonts w:ascii="Times New Roman" w:eastAsia="Times New Roman" w:hAnsi="Times New Roman"/>
          <w:noProof/>
          <w:sz w:val="22"/>
          <w:szCs w:val="22"/>
          <w:lang w:eastAsia="fr-FR"/>
        </w:rPr>
        <w:t xml:space="preserve"> pour le financement de projets de développement ciblant les secteurs de l’agriculture, du transport et des infrastructures sociales. </w:t>
      </w:r>
      <w:r w:rsidRPr="003B7D35">
        <w:rPr>
          <w:rFonts w:ascii="Times New Roman" w:hAnsi="Times New Roman"/>
          <w:snapToGrid w:val="0"/>
          <w:sz w:val="22"/>
          <w:szCs w:val="22"/>
        </w:rPr>
        <w:t>Compte tenu des inégalités constatées entre hommes et femmes dans les pays en voie de développement, inégalités qui renforcent la féminisation de la pauvreté et sa transmission intergénérationnelle, le MCC a mis un accent particulier sur l’intégration du genre dans la mise en œuvre de toutes les activités initiées dans le compact</w:t>
      </w:r>
      <w:r w:rsidR="00EE71EC" w:rsidRPr="003B7D35">
        <w:rPr>
          <w:rFonts w:ascii="Times New Roman" w:hAnsi="Times New Roman"/>
          <w:snapToGrid w:val="0"/>
          <w:sz w:val="22"/>
          <w:szCs w:val="22"/>
        </w:rPr>
        <w:t>. Cette intégration du genre</w:t>
      </w:r>
      <w:r w:rsidRPr="003B7D35">
        <w:rPr>
          <w:rFonts w:ascii="Times New Roman" w:hAnsi="Times New Roman"/>
          <w:snapToGrid w:val="0"/>
          <w:sz w:val="22"/>
          <w:szCs w:val="22"/>
        </w:rPr>
        <w:t xml:space="preserve"> qui a revêtu une dimension transversale est basée sur la politique genre du MCC,</w:t>
      </w:r>
      <w:r w:rsidR="00EE71EC" w:rsidRPr="003B7D35">
        <w:rPr>
          <w:rFonts w:ascii="Times New Roman" w:hAnsi="Times New Roman"/>
          <w:snapToGrid w:val="0"/>
          <w:sz w:val="22"/>
          <w:szCs w:val="22"/>
        </w:rPr>
        <w:t xml:space="preserve"> sur</w:t>
      </w:r>
      <w:r w:rsidRPr="003B7D35">
        <w:rPr>
          <w:rFonts w:ascii="Times New Roman" w:hAnsi="Times New Roman"/>
          <w:snapToGrid w:val="0"/>
          <w:sz w:val="22"/>
          <w:szCs w:val="22"/>
        </w:rPr>
        <w:t xml:space="preserve"> la politique opérationnelle de la Banq</w:t>
      </w:r>
      <w:r w:rsidR="008A656D" w:rsidRPr="003B7D35">
        <w:rPr>
          <w:rFonts w:ascii="Times New Roman" w:hAnsi="Times New Roman"/>
          <w:snapToGrid w:val="0"/>
          <w:sz w:val="22"/>
          <w:szCs w:val="22"/>
        </w:rPr>
        <w:t>ue m</w:t>
      </w:r>
      <w:r w:rsidRPr="003B7D35">
        <w:rPr>
          <w:rFonts w:ascii="Times New Roman" w:hAnsi="Times New Roman"/>
          <w:snapToGrid w:val="0"/>
          <w:sz w:val="22"/>
          <w:szCs w:val="22"/>
        </w:rPr>
        <w:t xml:space="preserve">ondiale en matière de réinstallation involontaire (OP4.12) et </w:t>
      </w:r>
      <w:r w:rsidR="00EE71EC" w:rsidRPr="003B7D35">
        <w:rPr>
          <w:rFonts w:ascii="Times New Roman" w:hAnsi="Times New Roman"/>
          <w:snapToGrid w:val="0"/>
          <w:sz w:val="22"/>
          <w:szCs w:val="22"/>
        </w:rPr>
        <w:t xml:space="preserve">sur </w:t>
      </w:r>
      <w:r w:rsidRPr="003B7D35">
        <w:rPr>
          <w:rFonts w:ascii="Times New Roman" w:hAnsi="Times New Roman"/>
          <w:snapToGrid w:val="0"/>
          <w:sz w:val="22"/>
          <w:szCs w:val="22"/>
        </w:rPr>
        <w:t xml:space="preserve">les politiques du Sénégal en matière d’égalité et d’équité de genre. </w:t>
      </w:r>
    </w:p>
    <w:p w:rsidR="00771667" w:rsidRPr="003B7D35" w:rsidRDefault="00771667" w:rsidP="00771667">
      <w:pPr>
        <w:overflowPunct w:val="0"/>
        <w:autoSpaceDE w:val="0"/>
        <w:autoSpaceDN w:val="0"/>
        <w:adjustRightInd w:val="0"/>
        <w:spacing w:after="0" w:line="360" w:lineRule="auto"/>
        <w:textAlignment w:val="baseline"/>
        <w:rPr>
          <w:rFonts w:ascii="Times New Roman" w:hAnsi="Times New Roman"/>
          <w:snapToGrid w:val="0"/>
          <w:sz w:val="22"/>
          <w:szCs w:val="22"/>
          <w:lang w:eastAsia="fr-FR"/>
        </w:rPr>
      </w:pPr>
    </w:p>
    <w:p w:rsidR="00771667" w:rsidRPr="003B7D35" w:rsidRDefault="00771667" w:rsidP="00771667">
      <w:pPr>
        <w:overflowPunct w:val="0"/>
        <w:autoSpaceDE w:val="0"/>
        <w:autoSpaceDN w:val="0"/>
        <w:adjustRightInd w:val="0"/>
        <w:spacing w:after="0" w:line="360" w:lineRule="auto"/>
        <w:textAlignment w:val="baseline"/>
        <w:rPr>
          <w:rFonts w:ascii="Times New Roman" w:hAnsi="Times New Roman"/>
          <w:snapToGrid w:val="0"/>
          <w:sz w:val="22"/>
          <w:szCs w:val="22"/>
          <w:lang w:eastAsia="fr-FR"/>
        </w:rPr>
      </w:pPr>
      <w:r w:rsidRPr="003B7D35">
        <w:rPr>
          <w:rFonts w:ascii="Times New Roman" w:hAnsi="Times New Roman"/>
          <w:snapToGrid w:val="0"/>
          <w:sz w:val="22"/>
          <w:szCs w:val="22"/>
          <w:lang w:eastAsia="fr-FR"/>
        </w:rPr>
        <w:t>Les activités initiées dans le compact se déclinent comme suit</w:t>
      </w:r>
      <w:r w:rsidR="002575A2" w:rsidRPr="003B7D35">
        <w:rPr>
          <w:rFonts w:ascii="Times New Roman" w:hAnsi="Times New Roman"/>
          <w:snapToGrid w:val="0"/>
          <w:sz w:val="22"/>
          <w:szCs w:val="22"/>
          <w:lang w:eastAsia="fr-FR"/>
        </w:rPr>
        <w:t> :</w:t>
      </w: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sz w:val="22"/>
          <w:szCs w:val="22"/>
          <w:lang w:eastAsia="fr-FR"/>
        </w:rPr>
      </w:pPr>
      <w:r w:rsidRPr="003B7D35">
        <w:rPr>
          <w:rFonts w:ascii="Times New Roman" w:eastAsia="Times New Roman" w:hAnsi="Times New Roman"/>
          <w:noProof/>
          <w:sz w:val="22"/>
          <w:szCs w:val="22"/>
          <w:lang w:eastAsia="fr-FR"/>
        </w:rPr>
        <w:t>le volet routier qui couvre : a) </w:t>
      </w:r>
      <w:r w:rsidR="00771667" w:rsidRPr="003B7D35">
        <w:rPr>
          <w:rFonts w:ascii="Times New Roman" w:eastAsia="Times New Roman" w:hAnsi="Times New Roman"/>
          <w:noProof/>
          <w:sz w:val="22"/>
          <w:szCs w:val="22"/>
          <w:lang w:eastAsia="fr-FR"/>
        </w:rPr>
        <w:t>la réhabilitation de la route nationale N° 2  tronçon Richard To</w:t>
      </w:r>
      <w:r w:rsidRPr="003B7D35">
        <w:rPr>
          <w:rFonts w:ascii="Times New Roman" w:eastAsia="Times New Roman" w:hAnsi="Times New Roman"/>
          <w:noProof/>
          <w:sz w:val="22"/>
          <w:szCs w:val="22"/>
          <w:lang w:eastAsia="fr-FR"/>
        </w:rPr>
        <w:t xml:space="preserve">ll- N’Dioum long de 121, 6 km </w:t>
      </w:r>
      <w:r w:rsidR="00771667" w:rsidRPr="003B7D35">
        <w:rPr>
          <w:rFonts w:ascii="Times New Roman" w:eastAsia="Times New Roman" w:hAnsi="Times New Roman"/>
          <w:noProof/>
          <w:sz w:val="22"/>
          <w:szCs w:val="22"/>
          <w:lang w:eastAsia="fr-FR"/>
        </w:rPr>
        <w:t>et la const</w:t>
      </w:r>
      <w:r w:rsidRPr="003B7D35">
        <w:rPr>
          <w:rFonts w:ascii="Times New Roman" w:eastAsia="Times New Roman" w:hAnsi="Times New Roman"/>
          <w:noProof/>
          <w:sz w:val="22"/>
          <w:szCs w:val="22"/>
          <w:lang w:eastAsia="fr-FR"/>
        </w:rPr>
        <w:t>ruction du pont de N’Dioum ; b) </w:t>
      </w:r>
      <w:r w:rsidR="00771667" w:rsidRPr="003B7D35">
        <w:rPr>
          <w:rFonts w:ascii="Times New Roman" w:eastAsia="Times New Roman" w:hAnsi="Times New Roman"/>
          <w:noProof/>
          <w:sz w:val="22"/>
          <w:szCs w:val="22"/>
          <w:lang w:eastAsia="fr-FR"/>
        </w:rPr>
        <w:t>la construction de la RN6 portant sur la Section Ziguinchor-kolda-vélingara long</w:t>
      </w:r>
      <w:r w:rsidRPr="003B7D35">
        <w:rPr>
          <w:rFonts w:ascii="Times New Roman" w:eastAsia="Times New Roman" w:hAnsi="Times New Roman"/>
          <w:noProof/>
          <w:sz w:val="22"/>
          <w:szCs w:val="22"/>
          <w:lang w:eastAsia="fr-FR"/>
        </w:rPr>
        <w:t>ue</w:t>
      </w:r>
      <w:r w:rsidR="00771667" w:rsidRPr="003B7D35">
        <w:rPr>
          <w:rFonts w:ascii="Times New Roman" w:eastAsia="Times New Roman" w:hAnsi="Times New Roman"/>
          <w:noProof/>
          <w:sz w:val="22"/>
          <w:szCs w:val="22"/>
          <w:lang w:eastAsia="fr-FR"/>
        </w:rPr>
        <w:t xml:space="preserve"> de 256 km et la construction du pont de Kolda. L’objectif  principal de ce volet est de </w:t>
      </w:r>
      <w:r w:rsidR="00771667" w:rsidRPr="003B7D35">
        <w:rPr>
          <w:rFonts w:ascii="Times New Roman" w:eastAsia="Times New Roman" w:hAnsi="Times New Roman"/>
          <w:sz w:val="22"/>
          <w:szCs w:val="22"/>
          <w:lang w:eastAsia="fr-FR"/>
        </w:rPr>
        <w:t xml:space="preserve">stimuler le trafic intérieur et </w:t>
      </w:r>
      <w:r w:rsidRPr="003B7D35">
        <w:rPr>
          <w:rFonts w:ascii="Times New Roman" w:eastAsia="Times New Roman" w:hAnsi="Times New Roman"/>
          <w:sz w:val="22"/>
          <w:szCs w:val="22"/>
          <w:lang w:eastAsia="fr-FR"/>
        </w:rPr>
        <w:t>transfrontalier et</w:t>
      </w:r>
      <w:r w:rsidR="00771667" w:rsidRPr="003B7D35">
        <w:rPr>
          <w:rFonts w:ascii="Times New Roman" w:eastAsia="Times New Roman" w:hAnsi="Times New Roman"/>
          <w:sz w:val="22"/>
          <w:szCs w:val="22"/>
          <w:lang w:eastAsia="fr-FR"/>
        </w:rPr>
        <w:t xml:space="preserve"> le commerce et de </w:t>
      </w:r>
      <w:r w:rsidRPr="003B7D35">
        <w:rPr>
          <w:rFonts w:ascii="Times New Roman" w:eastAsia="Times New Roman" w:hAnsi="Times New Roman"/>
          <w:sz w:val="22"/>
          <w:szCs w:val="22"/>
          <w:lang w:eastAsia="fr-FR"/>
        </w:rPr>
        <w:t xml:space="preserve">fournir </w:t>
      </w:r>
      <w:r w:rsidR="00771667" w:rsidRPr="003B7D35">
        <w:rPr>
          <w:rFonts w:ascii="Times New Roman" w:eastAsia="Times New Roman" w:hAnsi="Times New Roman"/>
          <w:sz w:val="22"/>
          <w:szCs w:val="22"/>
          <w:lang w:eastAsia="fr-FR"/>
        </w:rPr>
        <w:t xml:space="preserve">un accès fiable toute l’année aux marchés, </w:t>
      </w:r>
      <w:r w:rsidRPr="003B7D35">
        <w:rPr>
          <w:rFonts w:ascii="Times New Roman" w:eastAsia="Times New Roman" w:hAnsi="Times New Roman"/>
          <w:sz w:val="22"/>
          <w:szCs w:val="22"/>
          <w:lang w:eastAsia="fr-FR"/>
        </w:rPr>
        <w:t xml:space="preserve">aux </w:t>
      </w:r>
      <w:r w:rsidR="00771667" w:rsidRPr="003B7D35">
        <w:rPr>
          <w:rFonts w:ascii="Times New Roman" w:eastAsia="Times New Roman" w:hAnsi="Times New Roman"/>
          <w:sz w:val="22"/>
          <w:szCs w:val="22"/>
          <w:lang w:eastAsia="fr-FR"/>
        </w:rPr>
        <w:t xml:space="preserve">écoles et </w:t>
      </w:r>
      <w:r w:rsidRPr="003B7D35">
        <w:rPr>
          <w:rFonts w:ascii="Times New Roman" w:eastAsia="Times New Roman" w:hAnsi="Times New Roman"/>
          <w:sz w:val="22"/>
          <w:szCs w:val="22"/>
          <w:lang w:eastAsia="fr-FR"/>
        </w:rPr>
        <w:t>aux</w:t>
      </w:r>
      <w:r w:rsidR="00771667" w:rsidRPr="003B7D35">
        <w:rPr>
          <w:rFonts w:ascii="Times New Roman" w:eastAsia="Times New Roman" w:hAnsi="Times New Roman"/>
          <w:sz w:val="22"/>
          <w:szCs w:val="22"/>
          <w:lang w:eastAsia="fr-FR"/>
        </w:rPr>
        <w:t xml:space="preserve"> hôpitaux, y compris pendant la saison des pluies.</w:t>
      </w:r>
    </w:p>
    <w:p w:rsidR="00771667" w:rsidRPr="003B7D35" w:rsidRDefault="00771667" w:rsidP="00771667">
      <w:pPr>
        <w:overflowPunct w:val="0"/>
        <w:autoSpaceDE w:val="0"/>
        <w:autoSpaceDN w:val="0"/>
        <w:adjustRightInd w:val="0"/>
        <w:spacing w:after="0" w:line="360" w:lineRule="auto"/>
        <w:textAlignment w:val="baseline"/>
        <w:rPr>
          <w:rFonts w:ascii="Times New Roman" w:eastAsia="Times New Roman" w:hAnsi="Times New Roman"/>
          <w:noProof/>
          <w:sz w:val="22"/>
          <w:szCs w:val="22"/>
          <w:lang w:eastAsia="fr-FR"/>
        </w:rPr>
      </w:pPr>
    </w:p>
    <w:p w:rsidR="00771667" w:rsidRPr="003B7D35" w:rsidRDefault="00EE71EC" w:rsidP="00771667">
      <w:pPr>
        <w:numPr>
          <w:ilvl w:val="0"/>
          <w:numId w:val="93"/>
        </w:numPr>
        <w:autoSpaceDE w:val="0"/>
        <w:autoSpaceDN w:val="0"/>
        <w:adjustRightInd w:val="0"/>
        <w:spacing w:after="0"/>
        <w:contextualSpacing/>
        <w:rPr>
          <w:rFonts w:ascii="Times New Roman" w:eastAsia="Times New Roman" w:hAnsi="Times New Roman"/>
          <w:sz w:val="22"/>
          <w:szCs w:val="22"/>
          <w:lang w:eastAsia="fr-FR"/>
        </w:rPr>
      </w:pPr>
      <w:r w:rsidRPr="003B7D35">
        <w:rPr>
          <w:rFonts w:ascii="Times New Roman" w:eastAsia="Times New Roman" w:hAnsi="Times New Roman"/>
          <w:noProof/>
          <w:sz w:val="22"/>
          <w:szCs w:val="22"/>
          <w:lang w:eastAsia="fr-FR"/>
        </w:rPr>
        <w:t>l</w:t>
      </w:r>
      <w:r w:rsidR="00771667" w:rsidRPr="003B7D35">
        <w:rPr>
          <w:rFonts w:ascii="Times New Roman" w:eastAsia="Times New Roman" w:hAnsi="Times New Roman"/>
          <w:noProof/>
          <w:sz w:val="22"/>
          <w:szCs w:val="22"/>
          <w:lang w:eastAsia="fr-FR"/>
        </w:rPr>
        <w:t xml:space="preserve">e Projet </w:t>
      </w:r>
      <w:r w:rsidRPr="003B7D35">
        <w:rPr>
          <w:rFonts w:ascii="Times New Roman" w:eastAsia="Times New Roman" w:hAnsi="Times New Roman"/>
          <w:sz w:val="22"/>
          <w:szCs w:val="22"/>
          <w:lang w:eastAsia="fr-FR"/>
        </w:rPr>
        <w:t xml:space="preserve">irrigation et gestion des ressources en eau, </w:t>
      </w:r>
      <w:r w:rsidR="00771667" w:rsidRPr="003B7D35">
        <w:rPr>
          <w:rFonts w:ascii="Times New Roman" w:eastAsia="Times New Roman" w:hAnsi="Times New Roman"/>
          <w:sz w:val="22"/>
          <w:szCs w:val="22"/>
          <w:lang w:eastAsia="fr-FR"/>
        </w:rPr>
        <w:t xml:space="preserve">qui a pour objectif </w:t>
      </w:r>
      <w:r w:rsidRPr="003B7D35">
        <w:rPr>
          <w:rFonts w:ascii="Times New Roman" w:eastAsia="Times New Roman" w:hAnsi="Times New Roman"/>
          <w:sz w:val="22"/>
          <w:szCs w:val="22"/>
          <w:lang w:eastAsia="fr-FR"/>
        </w:rPr>
        <w:t>principal d’accroitre</w:t>
      </w:r>
      <w:r w:rsidR="00771667" w:rsidRPr="003B7D35">
        <w:rPr>
          <w:rFonts w:ascii="Times New Roman" w:eastAsia="Times New Roman" w:hAnsi="Times New Roman"/>
          <w:sz w:val="22"/>
          <w:szCs w:val="22"/>
          <w:lang w:eastAsia="fr-FR"/>
        </w:rPr>
        <w:t xml:space="preserve"> les volumes d’eau et la disponibilité permanente des ressources en eau d’irrigation dans la Vallée du fleuve Sénégal. Ce projet comporte quatre activités.</w:t>
      </w:r>
    </w:p>
    <w:p w:rsidR="00771667" w:rsidRPr="003B7D35" w:rsidRDefault="00771667" w:rsidP="00771667">
      <w:pPr>
        <w:autoSpaceDE w:val="0"/>
        <w:autoSpaceDN w:val="0"/>
        <w:adjustRightInd w:val="0"/>
        <w:spacing w:after="0"/>
        <w:rPr>
          <w:rFonts w:ascii="Times New Roman" w:eastAsia="Times New Roman" w:hAnsi="Times New Roman"/>
          <w:b/>
          <w:bCs/>
          <w:sz w:val="22"/>
          <w:szCs w:val="22"/>
          <w:lang w:eastAsia="fr-FR"/>
        </w:rPr>
      </w:pPr>
    </w:p>
    <w:p w:rsidR="00771667" w:rsidRPr="003B7D35" w:rsidRDefault="00771667" w:rsidP="00771667">
      <w:pPr>
        <w:numPr>
          <w:ilvl w:val="0"/>
          <w:numId w:val="94"/>
        </w:numPr>
        <w:spacing w:after="20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Cs/>
          <w:sz w:val="22"/>
          <w:szCs w:val="22"/>
          <w:lang w:eastAsia="fr-FR"/>
        </w:rPr>
        <w:t>L’Activité « Delta</w:t>
      </w:r>
      <w:r w:rsidRPr="003B7D35">
        <w:rPr>
          <w:rFonts w:ascii="Times New Roman" w:eastAsia="Times New Roman" w:hAnsi="Times New Roman"/>
          <w:b/>
          <w:bCs/>
          <w:sz w:val="22"/>
          <w:szCs w:val="22"/>
          <w:lang w:eastAsia="fr-FR"/>
        </w:rPr>
        <w:t xml:space="preserve"> »</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Cette activité vise une amélioration des débits qui transitent par le réseau d’adducteurs du delta qui alimente de nombreux périmètres irrigués et qui pourrait desservir d’importantes superficies irrigables.</w:t>
      </w:r>
    </w:p>
    <w:p w:rsidR="00771667" w:rsidRPr="003B7D35" w:rsidRDefault="00EE71EC"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projet comporte</w:t>
      </w:r>
      <w:r w:rsidR="00771667" w:rsidRPr="003B7D35">
        <w:rPr>
          <w:rFonts w:ascii="Times New Roman" w:eastAsia="Times New Roman" w:hAnsi="Times New Roman"/>
          <w:sz w:val="22"/>
          <w:szCs w:val="22"/>
          <w:lang w:eastAsia="fr-FR"/>
        </w:rPr>
        <w:t xml:space="preserve"> également une activité de construction d’un réseau de drainage. </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L’Activité « Podor »</w:t>
      </w:r>
    </w:p>
    <w:p w:rsidR="00771667" w:rsidRPr="003B7D35" w:rsidRDefault="00EE71EC"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L’Activité</w:t>
      </w:r>
      <w:r w:rsidR="00771667" w:rsidRPr="003B7D35">
        <w:rPr>
          <w:rFonts w:ascii="Times New Roman" w:eastAsia="Times New Roman" w:hAnsi="Times New Roman"/>
          <w:sz w:val="22"/>
          <w:szCs w:val="22"/>
          <w:lang w:eastAsia="fr-FR"/>
        </w:rPr>
        <w:t xml:space="preserve"> Podor est centré</w:t>
      </w:r>
      <w:r w:rsidR="001A56FB">
        <w:rPr>
          <w:rFonts w:ascii="Times New Roman" w:eastAsia="Times New Roman" w:hAnsi="Times New Roman"/>
          <w:sz w:val="22"/>
          <w:szCs w:val="22"/>
          <w:lang w:eastAsia="fr-FR"/>
        </w:rPr>
        <w:t>e</w:t>
      </w:r>
      <w:r w:rsidR="00771667" w:rsidRPr="003B7D35">
        <w:rPr>
          <w:rFonts w:ascii="Times New Roman" w:eastAsia="Times New Roman" w:hAnsi="Times New Roman"/>
          <w:sz w:val="22"/>
          <w:szCs w:val="22"/>
          <w:lang w:eastAsia="fr-FR"/>
        </w:rPr>
        <w:t xml:space="preserve"> sur le site de N’Galenka.  </w:t>
      </w:r>
    </w:p>
    <w:p w:rsidR="00EE71EC"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L’objectif visé est de développer des canaux d’irrigation et de drainage et des infrastructures connexes sur le site pour une superficie de 440 ha.</w:t>
      </w:r>
    </w:p>
    <w:p w:rsidR="00EE71EC" w:rsidRPr="003B7D35" w:rsidRDefault="00EE71EC"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L’Activité foncière</w:t>
      </w:r>
    </w:p>
    <w:p w:rsidR="00771667" w:rsidRPr="003B7D35" w:rsidRDefault="00771667" w:rsidP="00771667">
      <w:pPr>
        <w:autoSpaceDE w:val="0"/>
        <w:autoSpaceDN w:val="0"/>
        <w:adjustRightInd w:val="0"/>
        <w:spacing w:after="0"/>
        <w:rPr>
          <w:rFonts w:ascii="Times New Roman" w:hAnsi="Times New Roman"/>
          <w:sz w:val="22"/>
          <w:szCs w:val="22"/>
        </w:rPr>
      </w:pPr>
      <w:r w:rsidRPr="003B7D35">
        <w:rPr>
          <w:rFonts w:ascii="Times New Roman" w:hAnsi="Times New Roman"/>
          <w:sz w:val="22"/>
          <w:szCs w:val="22"/>
        </w:rPr>
        <w:t>Le projet de sécurisation foncière est exécuté dans toutes les zones géographiques du projet d’irrigation et ses éventuelles extensions</w:t>
      </w:r>
      <w:r w:rsidR="00EE71EC" w:rsidRPr="003B7D35">
        <w:rPr>
          <w:rFonts w:ascii="Times New Roman" w:hAnsi="Times New Roman"/>
          <w:sz w:val="22"/>
          <w:szCs w:val="22"/>
        </w:rPr>
        <w:t>.</w:t>
      </w:r>
    </w:p>
    <w:p w:rsidR="00771667" w:rsidRPr="003B7D35" w:rsidRDefault="00771667" w:rsidP="00771667">
      <w:pPr>
        <w:autoSpaceDE w:val="0"/>
        <w:autoSpaceDN w:val="0"/>
        <w:adjustRightInd w:val="0"/>
        <w:spacing w:after="0"/>
        <w:ind w:left="720"/>
        <w:contextualSpacing/>
        <w:rPr>
          <w:rFonts w:ascii="Times New Roman" w:eastAsia="Times New Roman" w:hAnsi="Times New Roman"/>
          <w:bCs/>
          <w:sz w:val="22"/>
          <w:szCs w:val="22"/>
          <w:lang w:eastAsia="fr-FR"/>
        </w:rPr>
      </w:pPr>
    </w:p>
    <w:p w:rsidR="00771667" w:rsidRPr="003B7D35" w:rsidRDefault="00EE71EC"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Les mesures de sauvegarde s</w:t>
      </w:r>
      <w:r w:rsidR="00771667" w:rsidRPr="003B7D35">
        <w:rPr>
          <w:rFonts w:ascii="Times New Roman" w:eastAsia="Times New Roman" w:hAnsi="Times New Roman"/>
          <w:bCs/>
          <w:sz w:val="22"/>
          <w:szCs w:val="22"/>
          <w:lang w:eastAsia="fr-FR"/>
        </w:rPr>
        <w:t>ociales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Mettent en exergue l’importance d’intégrer les femmes et les groupes vulnérables dans</w:t>
      </w:r>
      <w:r w:rsidR="00EE71EC"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tout le processus étant donné qu’ils sont défavorisés par rap</w:t>
      </w:r>
      <w:r w:rsidR="00EE71EC" w:rsidRPr="003B7D35">
        <w:rPr>
          <w:rFonts w:ascii="Times New Roman" w:eastAsia="Times New Roman" w:hAnsi="Times New Roman"/>
          <w:sz w:val="22"/>
          <w:szCs w:val="22"/>
          <w:lang w:eastAsia="fr-FR"/>
        </w:rPr>
        <w:t>port à l’accès aux ressources.</w:t>
      </w:r>
    </w:p>
    <w:p w:rsidR="00771667" w:rsidRPr="003B7D35" w:rsidRDefault="00771667" w:rsidP="00771667">
      <w:pPr>
        <w:autoSpaceDE w:val="0"/>
        <w:autoSpaceDN w:val="0"/>
        <w:adjustRightInd w:val="0"/>
        <w:spacing w:after="0"/>
        <w:rPr>
          <w:rFonts w:ascii="Times New Roman" w:eastAsia="Times New Roman" w:hAnsi="Times New Roman"/>
          <w:b/>
          <w:bCs/>
          <w:sz w:val="22"/>
          <w:szCs w:val="22"/>
          <w:lang w:eastAsia="fr-FR"/>
        </w:rPr>
      </w:pP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w:t>
      </w:r>
      <w:r w:rsidR="00771667" w:rsidRPr="003B7D35">
        <w:rPr>
          <w:rFonts w:ascii="Times New Roman" w:eastAsia="Times New Roman" w:hAnsi="Times New Roman"/>
          <w:bCs/>
          <w:sz w:val="22"/>
          <w:szCs w:val="22"/>
          <w:lang w:eastAsia="fr-FR"/>
        </w:rPr>
        <w:t>es actions environnementales et sociales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projet d’irrigation et de gestion des ressources en eau comportent des actions de</w:t>
      </w:r>
      <w:r w:rsidR="00EE71EC"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 xml:space="preserve">mitigation des </w:t>
      </w:r>
      <w:r w:rsidR="00EE71EC" w:rsidRPr="003B7D35">
        <w:rPr>
          <w:rFonts w:ascii="Times New Roman" w:eastAsia="Times New Roman" w:hAnsi="Times New Roman"/>
          <w:sz w:val="22"/>
          <w:szCs w:val="22"/>
          <w:lang w:eastAsia="fr-FR"/>
        </w:rPr>
        <w:t>incidences. Ces actions sont proposées dans le cadre du P</w:t>
      </w:r>
      <w:r w:rsidRPr="003B7D35">
        <w:rPr>
          <w:rFonts w:ascii="Times New Roman" w:eastAsia="Times New Roman" w:hAnsi="Times New Roman"/>
          <w:sz w:val="22"/>
          <w:szCs w:val="22"/>
          <w:lang w:eastAsia="fr-FR"/>
        </w:rPr>
        <w:t xml:space="preserve">lan de gestion environnemental et social, santé et sécurité </w:t>
      </w:r>
      <w:r w:rsidR="00EE71EC" w:rsidRPr="003B7D35">
        <w:rPr>
          <w:rFonts w:ascii="Times New Roman" w:eastAsia="Times New Roman" w:hAnsi="Times New Roman"/>
          <w:sz w:val="22"/>
          <w:szCs w:val="22"/>
          <w:lang w:eastAsia="fr-FR"/>
        </w:rPr>
        <w:t>et englobent</w:t>
      </w:r>
      <w:r w:rsidR="002575A2"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(i)</w:t>
      </w:r>
      <w:r w:rsidR="00EE71EC"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les acti</w:t>
      </w:r>
      <w:r w:rsidR="00B0195E">
        <w:rPr>
          <w:rFonts w:ascii="Times New Roman" w:eastAsia="Times New Roman" w:hAnsi="Times New Roman"/>
          <w:sz w:val="22"/>
          <w:szCs w:val="22"/>
          <w:lang w:eastAsia="fr-FR"/>
        </w:rPr>
        <w:t>ons de reboisement, les actions</w:t>
      </w:r>
      <w:r w:rsidRPr="003B7D35">
        <w:rPr>
          <w:rFonts w:ascii="Times New Roman" w:eastAsia="Times New Roman" w:hAnsi="Times New Roman"/>
          <w:sz w:val="22"/>
          <w:szCs w:val="22"/>
          <w:lang w:eastAsia="fr-FR"/>
        </w:rPr>
        <w:t xml:space="preserve"> d’IEC/sensibilisation et lutte contre les maladies hydriques et IST/ Sida, etc.</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Les actions sociales et g</w:t>
      </w:r>
      <w:r w:rsidR="00771667" w:rsidRPr="003B7D35">
        <w:rPr>
          <w:rFonts w:ascii="Times New Roman" w:eastAsia="Times New Roman" w:hAnsi="Times New Roman"/>
          <w:bCs/>
          <w:sz w:val="22"/>
          <w:szCs w:val="22"/>
          <w:lang w:eastAsia="fr-FR"/>
        </w:rPr>
        <w:t>enre</w:t>
      </w:r>
    </w:p>
    <w:p w:rsidR="00771667" w:rsidRPr="003B7D35" w:rsidRDefault="00EE71EC"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Ces actions visent</w:t>
      </w:r>
      <w:r w:rsidR="00771667" w:rsidRPr="003B7D35">
        <w:rPr>
          <w:rFonts w:ascii="Times New Roman" w:eastAsia="Times New Roman" w:hAnsi="Times New Roman"/>
          <w:sz w:val="22"/>
          <w:szCs w:val="22"/>
          <w:lang w:eastAsia="fr-FR"/>
        </w:rPr>
        <w:t xml:space="preserve"> globalement à contribuer à la réduction de la pauvreté à travers la mise en œuvre d’activités génératrices de revenus en faveur des couches vulnérables, riveraines de la zone d’intervention des différents projets initiés dans le compact.  </w:t>
      </w: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numPr>
          <w:ilvl w:val="1"/>
          <w:numId w:val="93"/>
        </w:numPr>
        <w:spacing w:after="200" w:line="276" w:lineRule="auto"/>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Quelques résultats de l’intégration du genre dans les activités du compact </w:t>
      </w:r>
    </w:p>
    <w:p w:rsidR="00771667" w:rsidRPr="003B7D35" w:rsidRDefault="00771667" w:rsidP="00771667">
      <w:pPr>
        <w:autoSpaceDE w:val="0"/>
        <w:autoSpaceDN w:val="0"/>
        <w:adjustRightInd w:val="0"/>
        <w:spacing w:after="0"/>
        <w:rPr>
          <w:rFonts w:ascii="Times New Roman" w:hAnsi="Times New Roman"/>
          <w:color w:val="1F1F1F"/>
          <w:sz w:val="22"/>
          <w:szCs w:val="22"/>
        </w:rPr>
      </w:pPr>
      <w:r w:rsidRPr="003B7D35">
        <w:rPr>
          <w:rFonts w:ascii="Times New Roman" w:hAnsi="Times New Roman"/>
          <w:color w:val="1F1F1F"/>
          <w:sz w:val="22"/>
          <w:szCs w:val="22"/>
        </w:rPr>
        <w:t>Avant l’entame des ac</w:t>
      </w:r>
      <w:r w:rsidR="00EE71EC" w:rsidRPr="003B7D35">
        <w:rPr>
          <w:rFonts w:ascii="Times New Roman" w:hAnsi="Times New Roman"/>
          <w:color w:val="1F1F1F"/>
          <w:sz w:val="22"/>
          <w:szCs w:val="22"/>
        </w:rPr>
        <w:t>tivités du compact, MCA-Sénégal</w:t>
      </w:r>
      <w:r w:rsidRPr="003B7D35">
        <w:rPr>
          <w:rFonts w:ascii="Times New Roman" w:hAnsi="Times New Roman"/>
          <w:color w:val="1F1F1F"/>
          <w:sz w:val="22"/>
          <w:szCs w:val="22"/>
        </w:rPr>
        <w:t xml:space="preserve"> s’est fixé des objectif</w:t>
      </w:r>
      <w:r w:rsidR="00EE71EC" w:rsidRPr="003B7D35">
        <w:rPr>
          <w:rFonts w:ascii="Times New Roman" w:hAnsi="Times New Roman"/>
          <w:color w:val="1F1F1F"/>
          <w:sz w:val="22"/>
          <w:szCs w:val="22"/>
        </w:rPr>
        <w:t>s très clairs en</w:t>
      </w:r>
      <w:r w:rsidR="001A56FB">
        <w:rPr>
          <w:rFonts w:ascii="Times New Roman" w:hAnsi="Times New Roman"/>
          <w:color w:val="1F1F1F"/>
          <w:sz w:val="22"/>
          <w:szCs w:val="22"/>
        </w:rPr>
        <w:t xml:space="preserve"> </w:t>
      </w:r>
      <w:r w:rsidR="00EE71EC" w:rsidRPr="003B7D35">
        <w:rPr>
          <w:rFonts w:ascii="Times New Roman" w:hAnsi="Times New Roman"/>
          <w:color w:val="1F1F1F"/>
          <w:sz w:val="22"/>
          <w:szCs w:val="22"/>
        </w:rPr>
        <w:t>terme</w:t>
      </w:r>
      <w:r w:rsidR="001A56FB">
        <w:rPr>
          <w:rFonts w:ascii="Times New Roman" w:hAnsi="Times New Roman"/>
          <w:color w:val="1F1F1F"/>
          <w:sz w:val="22"/>
          <w:szCs w:val="22"/>
        </w:rPr>
        <w:t>s</w:t>
      </w:r>
      <w:r w:rsidR="00EE71EC" w:rsidRPr="003B7D35">
        <w:rPr>
          <w:rFonts w:ascii="Times New Roman" w:hAnsi="Times New Roman"/>
          <w:color w:val="1F1F1F"/>
          <w:sz w:val="22"/>
          <w:szCs w:val="22"/>
        </w:rPr>
        <w:t xml:space="preserve"> d’égalité d’accès pour les femmes et l</w:t>
      </w:r>
      <w:r w:rsidRPr="003B7D35">
        <w:rPr>
          <w:rFonts w:ascii="Times New Roman" w:hAnsi="Times New Roman"/>
          <w:color w:val="1F1F1F"/>
          <w:sz w:val="22"/>
          <w:szCs w:val="22"/>
        </w:rPr>
        <w:t>es hommes a</w:t>
      </w:r>
      <w:r w:rsidR="00EE71EC" w:rsidRPr="003B7D35">
        <w:rPr>
          <w:rFonts w:ascii="Times New Roman" w:hAnsi="Times New Roman"/>
          <w:color w:val="1F1F1F"/>
          <w:sz w:val="22"/>
          <w:szCs w:val="22"/>
        </w:rPr>
        <w:t xml:space="preserve">ux séances d’information et de </w:t>
      </w:r>
      <w:r w:rsidRPr="003B7D35">
        <w:rPr>
          <w:rFonts w:ascii="Times New Roman" w:hAnsi="Times New Roman"/>
          <w:color w:val="1F1F1F"/>
          <w:sz w:val="22"/>
          <w:szCs w:val="22"/>
        </w:rPr>
        <w:t>sensibilisation dans les projets d’irri</w:t>
      </w:r>
      <w:r w:rsidR="00EE71EC" w:rsidRPr="003B7D35">
        <w:rPr>
          <w:rFonts w:ascii="Times New Roman" w:hAnsi="Times New Roman"/>
          <w:color w:val="1F1F1F"/>
          <w:sz w:val="22"/>
          <w:szCs w:val="22"/>
        </w:rPr>
        <w:t>gation et les projets routiers, aux activités économiques et aux activités d’accompagnement pour mitiger les incidences des travaux routiers, mais également en terme</w:t>
      </w:r>
      <w:r w:rsidR="001A56FB">
        <w:rPr>
          <w:rFonts w:ascii="Times New Roman" w:hAnsi="Times New Roman"/>
          <w:color w:val="1F1F1F"/>
          <w:sz w:val="22"/>
          <w:szCs w:val="22"/>
        </w:rPr>
        <w:t>s</w:t>
      </w:r>
      <w:r w:rsidR="00EE71EC" w:rsidRPr="003B7D35">
        <w:rPr>
          <w:rFonts w:ascii="Times New Roman" w:hAnsi="Times New Roman"/>
          <w:color w:val="1F1F1F"/>
          <w:sz w:val="22"/>
          <w:szCs w:val="22"/>
        </w:rPr>
        <w:t xml:space="preserve"> </w:t>
      </w:r>
      <w:r w:rsidRPr="003B7D35">
        <w:rPr>
          <w:rFonts w:ascii="Times New Roman" w:hAnsi="Times New Roman"/>
          <w:color w:val="1F1F1F"/>
          <w:sz w:val="22"/>
          <w:szCs w:val="22"/>
        </w:rPr>
        <w:t xml:space="preserve">d’accès et de contrôle améliorés des groupes vulnérables aux terres aménagées. </w:t>
      </w:r>
      <w:r w:rsidRPr="003B7D35">
        <w:rPr>
          <w:rFonts w:ascii="Times New Roman" w:eastAsia="Calibri" w:hAnsi="Times New Roman"/>
          <w:sz w:val="22"/>
          <w:szCs w:val="22"/>
        </w:rPr>
        <w:t>Les besoins sexospécifiques ont été identifiés avant l’entame des activités et pris en compte dans la mise en œuvre.</w:t>
      </w:r>
    </w:p>
    <w:p w:rsidR="00EE71EC" w:rsidRPr="003B7D35" w:rsidRDefault="00771667" w:rsidP="00771667">
      <w:pPr>
        <w:rPr>
          <w:rFonts w:ascii="Times New Roman" w:eastAsia="Calibri" w:hAnsi="Times New Roman"/>
          <w:sz w:val="22"/>
          <w:szCs w:val="22"/>
          <w:lang w:eastAsia="fr-FR"/>
        </w:rPr>
      </w:pPr>
      <w:r w:rsidRPr="003B7D35">
        <w:rPr>
          <w:rFonts w:ascii="Times New Roman" w:eastAsia="Calibri" w:hAnsi="Times New Roman"/>
          <w:sz w:val="22"/>
          <w:szCs w:val="22"/>
          <w:lang w:eastAsia="fr-FR"/>
        </w:rPr>
        <w:t>Les résultats de l’intégration du social /genre par les entreprise</w:t>
      </w:r>
      <w:r w:rsidR="00EE71EC" w:rsidRPr="003B7D35">
        <w:rPr>
          <w:rFonts w:ascii="Times New Roman" w:eastAsia="Calibri" w:hAnsi="Times New Roman"/>
          <w:sz w:val="22"/>
          <w:szCs w:val="22"/>
          <w:lang w:eastAsia="fr-FR"/>
        </w:rPr>
        <w:t>s chargées de la mise en œuvre</w:t>
      </w:r>
      <w:r w:rsidRPr="003B7D35">
        <w:rPr>
          <w:rFonts w:ascii="Times New Roman" w:eastAsia="Calibri" w:hAnsi="Times New Roman"/>
          <w:sz w:val="22"/>
          <w:szCs w:val="22"/>
          <w:lang w:eastAsia="fr-FR"/>
        </w:rPr>
        <w:t xml:space="preserve"> sont appréciés à trois niveaux</w:t>
      </w:r>
      <w:r w:rsidR="002575A2" w:rsidRPr="003B7D35">
        <w:rPr>
          <w:rFonts w:ascii="Times New Roman" w:eastAsia="Calibri" w:hAnsi="Times New Roman"/>
          <w:sz w:val="22"/>
          <w:szCs w:val="22"/>
          <w:lang w:eastAsia="fr-FR"/>
        </w:rPr>
        <w:t> :</w:t>
      </w:r>
      <w:r w:rsidR="00EE71EC" w:rsidRPr="003B7D35">
        <w:rPr>
          <w:rFonts w:ascii="Times New Roman" w:eastAsia="Calibri" w:hAnsi="Times New Roman"/>
          <w:sz w:val="22"/>
          <w:szCs w:val="22"/>
          <w:lang w:eastAsia="fr-FR"/>
        </w:rPr>
        <w:t xml:space="preserve"> institutionnel, opérationnel et communautaire.</w:t>
      </w:r>
    </w:p>
    <w:p w:rsidR="00771667" w:rsidRPr="003B7D35" w:rsidRDefault="00771667" w:rsidP="00771667">
      <w:pPr>
        <w:numPr>
          <w:ilvl w:val="12"/>
          <w:numId w:val="0"/>
        </w:numPr>
        <w:tabs>
          <w:tab w:val="left" w:pos="431"/>
          <w:tab w:val="left" w:pos="885"/>
          <w:tab w:val="left" w:leader="dot" w:pos="8199"/>
          <w:tab w:val="right" w:pos="8709"/>
        </w:tabs>
        <w:rPr>
          <w:rFonts w:ascii="Times New Roman" w:eastAsia="Times New Roman" w:hAnsi="Times New Roman"/>
          <w:sz w:val="22"/>
          <w:szCs w:val="22"/>
          <w:lang w:eastAsia="fr-FR"/>
        </w:rPr>
      </w:pPr>
      <w:r w:rsidRPr="003B7D35">
        <w:rPr>
          <w:rFonts w:ascii="Times New Roman" w:eastAsia="Times New Roman" w:hAnsi="Times New Roman"/>
          <w:b/>
          <w:sz w:val="22"/>
          <w:szCs w:val="22"/>
          <w:lang w:eastAsia="fr-FR"/>
        </w:rPr>
        <w:t>Sur le plan institutionnel</w:t>
      </w:r>
      <w:r w:rsidRPr="003B7D35">
        <w:rPr>
          <w:rFonts w:ascii="Times New Roman" w:eastAsia="Times New Roman" w:hAnsi="Times New Roman"/>
          <w:sz w:val="22"/>
          <w:szCs w:val="22"/>
          <w:lang w:eastAsia="fr-FR"/>
        </w:rPr>
        <w:t xml:space="preserve">, chaque entreprise a recruté un responsable social/genre qui a </w:t>
      </w:r>
      <w:r w:rsidRPr="003B7D35">
        <w:rPr>
          <w:rFonts w:ascii="Times New Roman" w:hAnsi="Times New Roman"/>
          <w:sz w:val="22"/>
          <w:szCs w:val="22"/>
        </w:rPr>
        <w:t>é</w:t>
      </w:r>
      <w:r w:rsidRPr="003B7D35">
        <w:rPr>
          <w:rFonts w:ascii="Times New Roman" w:eastAsia="Times New Roman" w:hAnsi="Times New Roman"/>
          <w:sz w:val="22"/>
          <w:szCs w:val="22"/>
          <w:lang w:eastAsia="fr-FR"/>
        </w:rPr>
        <w:t>laboré un plan d’intégration social/ ge</w:t>
      </w:r>
      <w:r w:rsidR="00EE71EC" w:rsidRPr="003B7D35">
        <w:rPr>
          <w:rFonts w:ascii="Times New Roman" w:eastAsia="Times New Roman" w:hAnsi="Times New Roman"/>
          <w:sz w:val="22"/>
          <w:szCs w:val="22"/>
          <w:lang w:eastAsia="fr-FR"/>
        </w:rPr>
        <w:t>nre en se basant sur le Plan d’intégration s</w:t>
      </w:r>
      <w:r w:rsidRPr="003B7D35">
        <w:rPr>
          <w:rFonts w:ascii="Times New Roman" w:eastAsia="Times New Roman" w:hAnsi="Times New Roman"/>
          <w:sz w:val="22"/>
          <w:szCs w:val="22"/>
          <w:lang w:eastAsia="fr-FR"/>
        </w:rPr>
        <w:t xml:space="preserve">ocial/ </w:t>
      </w:r>
      <w:r w:rsidR="00EE71EC" w:rsidRPr="003B7D35">
        <w:rPr>
          <w:rFonts w:ascii="Times New Roman" w:eastAsia="Times New Roman" w:hAnsi="Times New Roman"/>
          <w:sz w:val="22"/>
          <w:szCs w:val="22"/>
          <w:lang w:eastAsia="fr-FR"/>
        </w:rPr>
        <w:t>g</w:t>
      </w:r>
      <w:r w:rsidRPr="003B7D35">
        <w:rPr>
          <w:rFonts w:ascii="Times New Roman" w:eastAsia="Times New Roman" w:hAnsi="Times New Roman"/>
          <w:sz w:val="22"/>
          <w:szCs w:val="22"/>
          <w:lang w:eastAsia="fr-FR"/>
        </w:rPr>
        <w:t>enre de MCA-S (PISG) et sur</w:t>
      </w:r>
      <w:r w:rsidR="00EE71EC" w:rsidRPr="003B7D35">
        <w:rPr>
          <w:rFonts w:ascii="Times New Roman" w:eastAsia="Times New Roman" w:hAnsi="Times New Roman"/>
          <w:sz w:val="22"/>
          <w:szCs w:val="22"/>
          <w:lang w:eastAsia="fr-FR"/>
        </w:rPr>
        <w:t xml:space="preserve"> la politique genre de MCC et </w:t>
      </w:r>
      <w:r w:rsidRPr="003B7D35">
        <w:rPr>
          <w:rFonts w:ascii="Times New Roman" w:eastAsia="Times New Roman" w:hAnsi="Times New Roman"/>
          <w:sz w:val="22"/>
          <w:szCs w:val="22"/>
          <w:lang w:eastAsia="fr-FR"/>
        </w:rPr>
        <w:t xml:space="preserve">s’est </w:t>
      </w:r>
      <w:r w:rsidRPr="003B7D35">
        <w:rPr>
          <w:rFonts w:ascii="Times New Roman" w:hAnsi="Times New Roman"/>
          <w:sz w:val="22"/>
          <w:szCs w:val="22"/>
        </w:rPr>
        <w:t>assuré de son exécution effective et efficiente</w:t>
      </w:r>
      <w:r w:rsidR="00EE71EC" w:rsidRPr="003B7D35">
        <w:rPr>
          <w:rFonts w:ascii="Times New Roman" w:hAnsi="Times New Roman"/>
          <w:sz w:val="22"/>
          <w:szCs w:val="22"/>
        </w:rPr>
        <w:t xml:space="preserve">. </w:t>
      </w:r>
      <w:r w:rsidRPr="003B7D35">
        <w:rPr>
          <w:rFonts w:ascii="Times New Roman" w:eastAsia="Times New Roman" w:hAnsi="Times New Roman"/>
          <w:sz w:val="22"/>
          <w:szCs w:val="22"/>
          <w:lang w:eastAsia="fr-FR"/>
        </w:rPr>
        <w:t>Le plan d’in</w:t>
      </w:r>
      <w:r w:rsidR="00EE71EC" w:rsidRPr="003B7D35">
        <w:rPr>
          <w:rFonts w:ascii="Times New Roman" w:eastAsia="Times New Roman" w:hAnsi="Times New Roman"/>
          <w:sz w:val="22"/>
          <w:szCs w:val="22"/>
          <w:lang w:eastAsia="fr-FR"/>
        </w:rPr>
        <w:t>tégration genre a pour objectif</w:t>
      </w:r>
      <w:r w:rsidRPr="003B7D35">
        <w:rPr>
          <w:rFonts w:ascii="Times New Roman" w:eastAsia="Times New Roman" w:hAnsi="Times New Roman"/>
          <w:sz w:val="22"/>
          <w:szCs w:val="22"/>
          <w:lang w:eastAsia="fr-FR"/>
        </w:rPr>
        <w:t xml:space="preserve"> de proposer un ensemble de mesures pour une intégration de la dimension genre dans toutes les activités initiées dans un projet ou une activité donnée du compac</w:t>
      </w:r>
      <w:r w:rsidR="00EE71EC" w:rsidRPr="003B7D35">
        <w:rPr>
          <w:rFonts w:ascii="Times New Roman" w:eastAsia="Times New Roman" w:hAnsi="Times New Roman"/>
          <w:sz w:val="22"/>
          <w:szCs w:val="22"/>
          <w:lang w:eastAsia="fr-FR"/>
        </w:rPr>
        <w:t xml:space="preserve">t. Sa mise en œuvre a été </w:t>
      </w:r>
      <w:r w:rsidRPr="003B7D35">
        <w:rPr>
          <w:rFonts w:ascii="Times New Roman" w:eastAsia="Times New Roman" w:hAnsi="Times New Roman"/>
          <w:sz w:val="22"/>
          <w:szCs w:val="22"/>
          <w:lang w:eastAsia="fr-FR"/>
        </w:rPr>
        <w:t xml:space="preserve">tributaire de sa validation par le MCA/Sénégal. </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Times New Roman" w:hAnsi="Times New Roman"/>
          <w:b/>
          <w:sz w:val="22"/>
          <w:szCs w:val="22"/>
          <w:lang w:eastAsia="fr-FR"/>
        </w:rPr>
        <w:t>Sur le plan opérationnel</w:t>
      </w:r>
      <w:r w:rsidRPr="003B7D35">
        <w:rPr>
          <w:rFonts w:ascii="Times New Roman" w:eastAsia="Times New Roman" w:hAnsi="Times New Roman"/>
          <w:sz w:val="22"/>
          <w:szCs w:val="22"/>
          <w:lang w:eastAsia="fr-FR"/>
        </w:rPr>
        <w:t xml:space="preserve">, des ONG locales ont été recrutées </w:t>
      </w:r>
      <w:r w:rsidRPr="003B7D35">
        <w:rPr>
          <w:rFonts w:ascii="Times New Roman" w:eastAsia="Arial" w:hAnsi="Times New Roman"/>
          <w:color w:val="000000"/>
          <w:sz w:val="22"/>
          <w:szCs w:val="22"/>
          <w:lang w:eastAsia="fr-FR"/>
        </w:rPr>
        <w:t>pour la mise en œuvre du plan d’intégration social/ genre qui s’articule de manière générale sur</w:t>
      </w:r>
      <w:r w:rsidR="00111169" w:rsidRPr="003B7D35">
        <w:rPr>
          <w:rFonts w:ascii="Times New Roman" w:eastAsia="Arial" w:hAnsi="Times New Roman"/>
          <w:color w:val="000000"/>
          <w:sz w:val="22"/>
          <w:szCs w:val="22"/>
          <w:lang w:eastAsia="fr-FR"/>
        </w:rPr>
        <w:t xml:space="preserve"> le </w:t>
      </w:r>
      <w:r w:rsidRPr="003B7D35">
        <w:rPr>
          <w:rFonts w:ascii="Times New Roman" w:eastAsia="Arial" w:hAnsi="Times New Roman"/>
          <w:color w:val="000000"/>
          <w:sz w:val="22"/>
          <w:szCs w:val="22"/>
          <w:lang w:eastAsia="fr-FR"/>
        </w:rPr>
        <w:t>recrutement de la main d’œuvre locale et celle féminine sur le chantier (recrutement de femmes pointeur, signaleuses, opératrice labo, secrétaire, technicienne de surface etc.)</w:t>
      </w:r>
      <w:r w:rsidR="00111169" w:rsidRPr="003B7D35">
        <w:rPr>
          <w:rFonts w:ascii="Times New Roman" w:eastAsia="Arial" w:hAnsi="Times New Roman"/>
          <w:color w:val="000000"/>
          <w:sz w:val="22"/>
          <w:szCs w:val="22"/>
          <w:lang w:eastAsia="fr-FR"/>
        </w:rPr>
        <w:t>, sur</w:t>
      </w:r>
      <w:r w:rsidRPr="003B7D35">
        <w:rPr>
          <w:rFonts w:ascii="Times New Roman" w:eastAsia="Arial" w:hAnsi="Times New Roman"/>
          <w:color w:val="000000"/>
          <w:sz w:val="22"/>
          <w:szCs w:val="22"/>
          <w:lang w:eastAsia="fr-FR"/>
        </w:rPr>
        <w:t xml:space="preserve"> l’implication effective des femmes et des jeunes dans les sessions d’information et de sensibilisation pendant les travaux,</w:t>
      </w:r>
      <w:r w:rsidR="00111169" w:rsidRPr="003B7D35">
        <w:rPr>
          <w:rFonts w:ascii="Times New Roman" w:eastAsia="Arial" w:hAnsi="Times New Roman"/>
          <w:color w:val="000000"/>
          <w:sz w:val="22"/>
          <w:szCs w:val="22"/>
          <w:lang w:eastAsia="fr-FR"/>
        </w:rPr>
        <w:t xml:space="preserve"> sur</w:t>
      </w:r>
      <w:r w:rsidRPr="003B7D35">
        <w:rPr>
          <w:rFonts w:ascii="Times New Roman" w:eastAsia="Arial" w:hAnsi="Times New Roman"/>
          <w:color w:val="000000"/>
          <w:sz w:val="22"/>
          <w:szCs w:val="22"/>
          <w:lang w:eastAsia="fr-FR"/>
        </w:rPr>
        <w:t xml:space="preserve"> la gestion des plaintes émanant des populations locales y compris les couches vulnérables</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la participation et l’implication effective des femmes dans l’aménagement des bosquets villageois</w:t>
      </w:r>
      <w:r w:rsidR="00111169" w:rsidRPr="003B7D35">
        <w:rPr>
          <w:rFonts w:ascii="Times New Roman" w:eastAsia="Arial" w:hAnsi="Times New Roman"/>
          <w:color w:val="000000"/>
          <w:sz w:val="22"/>
          <w:szCs w:val="22"/>
          <w:lang w:eastAsia="fr-FR"/>
        </w:rPr>
        <w:t xml:space="preserve"> et</w:t>
      </w:r>
      <w:r w:rsidRPr="003B7D35">
        <w:rPr>
          <w:rFonts w:ascii="Times New Roman" w:eastAsia="Arial" w:hAnsi="Times New Roman"/>
          <w:color w:val="000000"/>
          <w:sz w:val="22"/>
          <w:szCs w:val="22"/>
          <w:lang w:eastAsia="fr-FR"/>
        </w:rPr>
        <w:t xml:space="preserve"> dans les communautés rurales ciblées et</w:t>
      </w:r>
      <w:r w:rsidR="00111169" w:rsidRPr="003B7D35">
        <w:rPr>
          <w:rFonts w:ascii="Times New Roman" w:eastAsia="Arial" w:hAnsi="Times New Roman"/>
          <w:color w:val="000000"/>
          <w:sz w:val="22"/>
          <w:szCs w:val="22"/>
          <w:lang w:eastAsia="fr-FR"/>
        </w:rPr>
        <w:t xml:space="preserve"> sur</w:t>
      </w:r>
      <w:r w:rsidRPr="003B7D35">
        <w:rPr>
          <w:rFonts w:ascii="Times New Roman" w:eastAsia="Arial" w:hAnsi="Times New Roman"/>
          <w:color w:val="000000"/>
          <w:sz w:val="22"/>
          <w:szCs w:val="22"/>
          <w:lang w:eastAsia="fr-FR"/>
        </w:rPr>
        <w:t xml:space="preserve"> la mise en œuvre de mesures d’accompagnement social/genre.</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Pour le volet routier</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les ONG ont démarré</w:t>
      </w:r>
      <w:r w:rsidR="00111169" w:rsidRPr="003B7D35">
        <w:rPr>
          <w:rFonts w:ascii="Times New Roman" w:eastAsia="Arial" w:hAnsi="Times New Roman"/>
          <w:color w:val="000000"/>
          <w:sz w:val="22"/>
          <w:szCs w:val="22"/>
          <w:lang w:eastAsia="fr-FR"/>
        </w:rPr>
        <w:t xml:space="preserve"> par la sensibilisation du</w:t>
      </w:r>
      <w:r w:rsidRPr="003B7D35">
        <w:rPr>
          <w:rFonts w:ascii="Times New Roman" w:eastAsia="Arial" w:hAnsi="Times New Roman"/>
          <w:color w:val="000000"/>
          <w:sz w:val="22"/>
          <w:szCs w:val="22"/>
          <w:lang w:eastAsia="fr-FR"/>
        </w:rPr>
        <w:t xml:space="preserve"> personnel des e</w:t>
      </w:r>
      <w:r w:rsidR="00111169" w:rsidRPr="003B7D35">
        <w:rPr>
          <w:rFonts w:ascii="Times New Roman" w:eastAsia="Arial" w:hAnsi="Times New Roman"/>
          <w:color w:val="000000"/>
          <w:sz w:val="22"/>
          <w:szCs w:val="22"/>
          <w:lang w:eastAsia="fr-FR"/>
        </w:rPr>
        <w:t>ntreprises (y compris les sous-traitants)</w:t>
      </w:r>
      <w:r w:rsidRPr="003B7D35">
        <w:rPr>
          <w:rFonts w:ascii="Times New Roman" w:eastAsia="Arial" w:hAnsi="Times New Roman"/>
          <w:color w:val="000000"/>
          <w:sz w:val="22"/>
          <w:szCs w:val="22"/>
          <w:lang w:eastAsia="fr-FR"/>
        </w:rPr>
        <w:t xml:space="preserve"> afin de les amener à prendre conscience des </w:t>
      </w:r>
      <w:r w:rsidRPr="003B7D35">
        <w:rPr>
          <w:rFonts w:ascii="Times New Roman" w:hAnsi="Times New Roman"/>
          <w:sz w:val="22"/>
          <w:szCs w:val="22"/>
        </w:rPr>
        <w:t>désé</w:t>
      </w:r>
      <w:r w:rsidR="00111169" w:rsidRPr="003B7D35">
        <w:rPr>
          <w:rFonts w:ascii="Times New Roman" w:hAnsi="Times New Roman"/>
          <w:sz w:val="22"/>
          <w:szCs w:val="22"/>
        </w:rPr>
        <w:t xml:space="preserve">quilibres qui existent dans les rapports de pouvoir et de </w:t>
      </w:r>
      <w:r w:rsidRPr="003B7D35">
        <w:rPr>
          <w:rFonts w:ascii="Times New Roman" w:hAnsi="Times New Roman"/>
          <w:sz w:val="22"/>
          <w:szCs w:val="22"/>
        </w:rPr>
        <w:t>leur</w:t>
      </w:r>
      <w:r w:rsidRPr="003B7D35">
        <w:rPr>
          <w:rFonts w:ascii="Times New Roman" w:eastAsia="Arial" w:hAnsi="Times New Roman"/>
          <w:color w:val="000000"/>
          <w:sz w:val="22"/>
          <w:szCs w:val="22"/>
          <w:lang w:eastAsia="fr-FR"/>
        </w:rPr>
        <w:t xml:space="preserve"> permettre de mieux comprendre les enjeux liés au genre et son intégration dans les activités du projet.</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 xml:space="preserve">La sensibilisation des populations des zones d’influence des projets routiers pendant toute la durée des travaux a porté principalement sur les différentes activités menées, les différents impacts, les moyens de mitigation et de bonification mis en place, sur la sécurité routière, la protection de l’environnement, les thèmes liés au social/genre, les mesures d’accompagnement social/ genre, etc. </w:t>
      </w:r>
    </w:p>
    <w:p w:rsidR="00771667" w:rsidRPr="003B7D35" w:rsidRDefault="00771667" w:rsidP="00771667">
      <w:pPr>
        <w:spacing w:after="0"/>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Concernant ce dernier point, un focu</w:t>
      </w:r>
      <w:r w:rsidR="00111169" w:rsidRPr="003B7D35">
        <w:rPr>
          <w:rFonts w:ascii="Times New Roman" w:eastAsia="Arial" w:hAnsi="Times New Roman"/>
          <w:color w:val="000000"/>
          <w:sz w:val="22"/>
          <w:szCs w:val="22"/>
          <w:lang w:eastAsia="fr-FR"/>
        </w:rPr>
        <w:t xml:space="preserve">s particulier a été mis sur la </w:t>
      </w:r>
      <w:r w:rsidRPr="003B7D35">
        <w:rPr>
          <w:rFonts w:ascii="Times New Roman" w:eastAsia="Arial" w:hAnsi="Times New Roman"/>
          <w:color w:val="000000"/>
          <w:sz w:val="22"/>
          <w:szCs w:val="22"/>
          <w:lang w:eastAsia="fr-FR"/>
        </w:rPr>
        <w:t>promotion de l’autonomisation économique des femmes, des jeunes et des personnes vivant avec un handicap</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à travers des activités génératrices de revenus et un vaste programme de formation et de renforcement de</w:t>
      </w:r>
      <w:r w:rsidR="00111169" w:rsidRPr="003B7D35">
        <w:rPr>
          <w:rFonts w:ascii="Times New Roman" w:eastAsia="Arial" w:hAnsi="Times New Roman"/>
          <w:color w:val="000000"/>
          <w:sz w:val="22"/>
          <w:szCs w:val="22"/>
          <w:lang w:eastAsia="fr-FR"/>
        </w:rPr>
        <w:t>s</w:t>
      </w:r>
      <w:r w:rsidRPr="003B7D35">
        <w:rPr>
          <w:rFonts w:ascii="Times New Roman" w:eastAsia="Arial" w:hAnsi="Times New Roman"/>
          <w:color w:val="000000"/>
          <w:sz w:val="22"/>
          <w:szCs w:val="22"/>
          <w:lang w:eastAsia="fr-FR"/>
        </w:rPr>
        <w:t xml:space="preserve"> capacités.</w:t>
      </w:r>
    </w:p>
    <w:p w:rsidR="00771667" w:rsidRPr="003B7D35" w:rsidRDefault="00771667" w:rsidP="00771667">
      <w:pPr>
        <w:spacing w:after="0"/>
        <w:rPr>
          <w:rFonts w:ascii="Times New Roman" w:eastAsia="Arial" w:hAnsi="Times New Roman"/>
          <w:color w:val="000000"/>
          <w:sz w:val="22"/>
          <w:szCs w:val="22"/>
          <w:lang w:eastAsia="fr-FR"/>
        </w:rPr>
      </w:pPr>
    </w:p>
    <w:p w:rsidR="00771667" w:rsidRPr="003B7D35" w:rsidRDefault="00771667" w:rsidP="00771667">
      <w:pPr>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Sur le plan communautaire</w:t>
      </w:r>
      <w:r w:rsidR="00111169" w:rsidRPr="003B7D35">
        <w:rPr>
          <w:rFonts w:ascii="Times New Roman" w:eastAsia="Times New Roman" w:hAnsi="Times New Roman"/>
          <w:b/>
          <w:sz w:val="22"/>
          <w:szCs w:val="22"/>
          <w:lang w:eastAsia="fr-FR"/>
        </w:rPr>
        <w:t>, a</w:t>
      </w:r>
      <w:r w:rsidRPr="003B7D35">
        <w:rPr>
          <w:rFonts w:ascii="Times New Roman" w:eastAsia="Times New Roman" w:hAnsi="Times New Roman"/>
          <w:b/>
          <w:sz w:val="22"/>
          <w:szCs w:val="22"/>
          <w:lang w:eastAsia="fr-FR"/>
        </w:rPr>
        <w:t>u</w:t>
      </w:r>
      <w:r w:rsidRPr="003B7D35">
        <w:rPr>
          <w:rFonts w:ascii="Times New Roman" w:eastAsia="Times New Roman" w:hAnsi="Times New Roman"/>
          <w:noProof/>
          <w:sz w:val="22"/>
          <w:szCs w:val="22"/>
          <w:lang w:eastAsia="fr-FR"/>
        </w:rPr>
        <w:t xml:space="preserve"> niveau des zones d’influence des projets et conjointement avec les ONG en charge de la mise en œuvre des plans  d’</w:t>
      </w:r>
      <w:r w:rsidR="00111169" w:rsidRPr="003B7D35">
        <w:rPr>
          <w:rFonts w:ascii="Times New Roman" w:eastAsia="Times New Roman" w:hAnsi="Times New Roman"/>
          <w:noProof/>
          <w:sz w:val="22"/>
          <w:szCs w:val="22"/>
          <w:lang w:eastAsia="fr-FR"/>
        </w:rPr>
        <w:t>actions, une</w:t>
      </w:r>
      <w:r w:rsidRPr="003B7D35">
        <w:rPr>
          <w:rFonts w:ascii="Times New Roman" w:eastAsia="Times New Roman" w:hAnsi="Times New Roman"/>
          <w:noProof/>
          <w:sz w:val="22"/>
          <w:szCs w:val="22"/>
          <w:lang w:eastAsia="fr-FR"/>
        </w:rPr>
        <w:t xml:space="preserve"> identification des besoins a été </w:t>
      </w:r>
      <w:r w:rsidR="00111169" w:rsidRPr="003B7D35">
        <w:rPr>
          <w:rFonts w:ascii="Times New Roman" w:eastAsia="Times New Roman" w:hAnsi="Times New Roman"/>
          <w:noProof/>
          <w:sz w:val="22"/>
          <w:szCs w:val="22"/>
          <w:lang w:eastAsia="fr-FR"/>
        </w:rPr>
        <w:t>effectuée afin de ré</w:t>
      </w:r>
      <w:r w:rsidRPr="003B7D35">
        <w:rPr>
          <w:rFonts w:ascii="Times New Roman" w:eastAsia="Times New Roman" w:hAnsi="Times New Roman"/>
          <w:noProof/>
          <w:sz w:val="22"/>
          <w:szCs w:val="22"/>
          <w:lang w:eastAsia="fr-FR"/>
        </w:rPr>
        <w:t>pertorier les besoins des populations vulnérables selon leurs expressions</w:t>
      </w:r>
      <w:r w:rsidR="00111169" w:rsidRPr="003B7D35">
        <w:rPr>
          <w:rFonts w:ascii="Times New Roman" w:eastAsia="Times New Roman" w:hAnsi="Times New Roman"/>
          <w:noProof/>
          <w:sz w:val="22"/>
          <w:szCs w:val="22"/>
          <w:lang w:eastAsia="fr-FR"/>
        </w:rPr>
        <w:t xml:space="preserve"> et d’élaborer un plan d’action sociale</w:t>
      </w:r>
      <w:r w:rsidRPr="003B7D35">
        <w:rPr>
          <w:rFonts w:ascii="Times New Roman" w:eastAsia="Times New Roman" w:hAnsi="Times New Roman"/>
          <w:noProof/>
          <w:sz w:val="22"/>
          <w:szCs w:val="22"/>
          <w:lang w:eastAsia="fr-FR"/>
        </w:rPr>
        <w:t>.</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plan d’action</w:t>
      </w:r>
      <w:r w:rsidR="00111169" w:rsidRPr="003B7D35">
        <w:rPr>
          <w:rFonts w:ascii="Times New Roman" w:eastAsia="Times New Roman" w:hAnsi="Times New Roman"/>
          <w:sz w:val="22"/>
          <w:szCs w:val="22"/>
          <w:lang w:eastAsia="fr-FR"/>
        </w:rPr>
        <w:t xml:space="preserve"> sociale</w:t>
      </w:r>
      <w:r w:rsidRPr="003B7D35">
        <w:rPr>
          <w:rFonts w:ascii="Times New Roman" w:eastAsia="Times New Roman" w:hAnsi="Times New Roman"/>
          <w:sz w:val="22"/>
          <w:szCs w:val="22"/>
          <w:lang w:eastAsia="fr-FR"/>
        </w:rPr>
        <w:t xml:space="preserve"> vise globalement à contribuer à la réduction de la pauvreté à travers des sessions de formation et de renforcement de</w:t>
      </w:r>
      <w:r w:rsidR="00111169" w:rsidRPr="003B7D35">
        <w:rPr>
          <w:rFonts w:ascii="Times New Roman" w:eastAsia="Times New Roman" w:hAnsi="Times New Roman"/>
          <w:sz w:val="22"/>
          <w:szCs w:val="22"/>
          <w:lang w:eastAsia="fr-FR"/>
        </w:rPr>
        <w:t>s capacités et grâce à</w:t>
      </w:r>
      <w:r w:rsidRPr="003B7D35">
        <w:rPr>
          <w:rFonts w:ascii="Times New Roman" w:eastAsia="Times New Roman" w:hAnsi="Times New Roman"/>
          <w:sz w:val="22"/>
          <w:szCs w:val="22"/>
          <w:lang w:eastAsia="fr-FR"/>
        </w:rPr>
        <w:t xml:space="preserve"> la mise en œuvre d’activités génératrices de revenus en faveur des couches vulnérables (projets maraichers, d’embouche</w:t>
      </w:r>
      <w:r w:rsidR="006F1C40" w:rsidRPr="003B7D35">
        <w:rPr>
          <w:rFonts w:ascii="Times New Roman" w:eastAsia="Times New Roman" w:hAnsi="Times New Roman"/>
          <w:sz w:val="22"/>
          <w:szCs w:val="22"/>
          <w:lang w:eastAsia="fr-FR"/>
        </w:rPr>
        <w:t xml:space="preserve"> ou avicole). Il vise également</w:t>
      </w:r>
      <w:r w:rsidRPr="003B7D35">
        <w:rPr>
          <w:rFonts w:ascii="Times New Roman" w:eastAsia="Times New Roman" w:hAnsi="Times New Roman"/>
          <w:sz w:val="22"/>
          <w:szCs w:val="22"/>
          <w:lang w:eastAsia="fr-FR"/>
        </w:rPr>
        <w:t xml:space="preserve"> à assurer la sécurité alimentaire à travers l’accès des femmes à la terre. </w:t>
      </w:r>
      <w:bookmarkStart w:id="158" w:name="_Toc418935271"/>
      <w:r w:rsidRPr="003B7D35">
        <w:rPr>
          <w:rFonts w:ascii="Times New Roman" w:eastAsia="Times New Roman" w:hAnsi="Times New Roman"/>
          <w:sz w:val="22"/>
          <w:szCs w:val="22"/>
          <w:lang w:eastAsia="fr-FR"/>
        </w:rPr>
        <w:t>Par exemple</w:t>
      </w:r>
      <w:r w:rsidR="006F1C40"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au niveau </w:t>
      </w:r>
      <w:r w:rsidRPr="003B7D35">
        <w:rPr>
          <w:rFonts w:ascii="Times New Roman" w:eastAsia="Arial" w:hAnsi="Times New Roman"/>
          <w:color w:val="000000"/>
          <w:sz w:val="22"/>
          <w:szCs w:val="22"/>
          <w:lang w:eastAsia="fr-FR"/>
        </w:rPr>
        <w:t xml:space="preserve">de la cuvette de N’galenka, </w:t>
      </w:r>
      <w:r w:rsidRPr="003B7D35">
        <w:rPr>
          <w:rFonts w:ascii="Times New Roman" w:eastAsia="Times New Roman" w:hAnsi="Times New Roman"/>
          <w:sz w:val="22"/>
          <w:szCs w:val="22"/>
          <w:lang w:eastAsia="fr-FR"/>
        </w:rPr>
        <w:t xml:space="preserve">le projet Dental MCA Ngalenka a intégré la dimension genre dès la phase de planification. Les femmes à travers leurs groupements ont participé activement à toutes les rencontres avec </w:t>
      </w:r>
      <w:r w:rsidR="006F1C40" w:rsidRPr="003B7D35">
        <w:rPr>
          <w:rFonts w:ascii="Times New Roman" w:eastAsia="Times New Roman" w:hAnsi="Times New Roman"/>
          <w:sz w:val="22"/>
          <w:szCs w:val="22"/>
          <w:lang w:eastAsia="fr-FR"/>
        </w:rPr>
        <w:t>acteurs</w:t>
      </w:r>
      <w:r w:rsidRPr="003B7D35">
        <w:rPr>
          <w:rFonts w:ascii="Times New Roman" w:eastAsia="Times New Roman" w:hAnsi="Times New Roman"/>
          <w:sz w:val="22"/>
          <w:szCs w:val="22"/>
          <w:lang w:eastAsia="fr-FR"/>
        </w:rPr>
        <w:t xml:space="preserve"> concernées. Par consensus, 10</w:t>
      </w:r>
      <w:r w:rsidR="00A72504"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des aménagements leur ont été attribués (discrimination positive) ce qui n’exclut pas le fait qu’elles aient eu la possibilité d’acquérir des terres individuellement (0,50</w:t>
      </w:r>
      <w:r w:rsid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ha) dans les GIE-mixtes.  </w:t>
      </w:r>
    </w:p>
    <w:p w:rsidR="00771667" w:rsidRPr="003B7D35" w:rsidRDefault="00771667" w:rsidP="00771667">
      <w:pPr>
        <w:rPr>
          <w:rFonts w:ascii="Times New Roman" w:eastAsia="Times New Roman" w:hAnsi="Times New Roman"/>
          <w:color w:val="000000"/>
          <w:sz w:val="22"/>
          <w:szCs w:val="22"/>
          <w:shd w:val="clear" w:color="auto" w:fill="FFFFFF"/>
          <w:lang w:eastAsia="fr-FR"/>
        </w:rPr>
      </w:pPr>
      <w:r w:rsidRPr="003B7D35">
        <w:rPr>
          <w:rFonts w:ascii="Times New Roman" w:eastAsia="Times New Roman" w:hAnsi="Times New Roman"/>
          <w:sz w:val="22"/>
          <w:szCs w:val="22"/>
          <w:lang w:eastAsia="fr-FR"/>
        </w:rPr>
        <w:t xml:space="preserve">Au niveau de ce projet, MCA a proposé un modèle de négociation inclusive qui a permis aux ayants droit coutumiers, surtout lignagers, d’être sensibilisés à </w:t>
      </w:r>
      <w:r w:rsidR="006F1C40" w:rsidRPr="003B7D35">
        <w:rPr>
          <w:rFonts w:ascii="Times New Roman" w:eastAsia="Times New Roman" w:hAnsi="Times New Roman"/>
          <w:sz w:val="22"/>
          <w:szCs w:val="22"/>
          <w:lang w:eastAsia="fr-FR"/>
        </w:rPr>
        <w:t xml:space="preserve">la nécessité d’inclure l’accès </w:t>
      </w:r>
      <w:r w:rsidRPr="003B7D35">
        <w:rPr>
          <w:rFonts w:ascii="Times New Roman" w:eastAsia="Times New Roman" w:hAnsi="Times New Roman"/>
          <w:sz w:val="22"/>
          <w:szCs w:val="22"/>
          <w:lang w:eastAsia="fr-FR"/>
        </w:rPr>
        <w:t>au foncier les femmes qui représentent une frang</w:t>
      </w:r>
      <w:r w:rsidR="006F1C40" w:rsidRPr="003B7D35">
        <w:rPr>
          <w:rFonts w:ascii="Times New Roman" w:eastAsia="Times New Roman" w:hAnsi="Times New Roman"/>
          <w:sz w:val="22"/>
          <w:szCs w:val="22"/>
          <w:lang w:eastAsia="fr-FR"/>
        </w:rPr>
        <w:t xml:space="preserve">e importante de la population. Des études </w:t>
      </w:r>
      <w:r w:rsidRPr="003B7D35">
        <w:rPr>
          <w:rFonts w:ascii="Times New Roman" w:eastAsia="Times New Roman" w:hAnsi="Times New Roman"/>
          <w:sz w:val="22"/>
          <w:szCs w:val="22"/>
          <w:lang w:eastAsia="fr-FR"/>
        </w:rPr>
        <w:t>d’évaluation ont montré que l’accès</w:t>
      </w:r>
      <w:r w:rsidR="006F1C40" w:rsidRPr="003B7D35">
        <w:rPr>
          <w:rFonts w:ascii="Times New Roman" w:eastAsia="Times New Roman" w:hAnsi="Times New Roman"/>
          <w:color w:val="000000"/>
          <w:sz w:val="22"/>
          <w:szCs w:val="22"/>
          <w:shd w:val="clear" w:color="auto" w:fill="FFFFFF"/>
          <w:lang w:eastAsia="fr-FR"/>
        </w:rPr>
        <w:t xml:space="preserve"> à la terre pour les femmes</w:t>
      </w:r>
      <w:r w:rsidRPr="003B7D35">
        <w:rPr>
          <w:rFonts w:ascii="Times New Roman" w:eastAsia="Times New Roman" w:hAnsi="Times New Roman"/>
          <w:color w:val="000000"/>
          <w:sz w:val="22"/>
          <w:szCs w:val="22"/>
          <w:shd w:val="clear" w:color="auto" w:fill="FFFFFF"/>
          <w:lang w:eastAsia="fr-FR"/>
        </w:rPr>
        <w:t xml:space="preserve"> a été effectiv</w:t>
      </w:r>
      <w:r w:rsidR="006F1C40" w:rsidRPr="003B7D35">
        <w:rPr>
          <w:rFonts w:ascii="Times New Roman" w:eastAsia="Times New Roman" w:hAnsi="Times New Roman"/>
          <w:color w:val="000000"/>
          <w:sz w:val="22"/>
          <w:szCs w:val="22"/>
          <w:shd w:val="clear" w:color="auto" w:fill="FFFFFF"/>
          <w:lang w:eastAsia="fr-FR"/>
        </w:rPr>
        <w:t>ement amélioré dans cette zone,</w:t>
      </w:r>
      <w:r w:rsidRPr="003B7D35">
        <w:rPr>
          <w:rFonts w:ascii="Times New Roman" w:eastAsia="Times New Roman" w:hAnsi="Times New Roman"/>
          <w:color w:val="000000"/>
          <w:sz w:val="22"/>
          <w:szCs w:val="22"/>
          <w:shd w:val="clear" w:color="auto" w:fill="FFFFFF"/>
          <w:lang w:eastAsia="fr-FR"/>
        </w:rPr>
        <w:t xml:space="preserve"> grâce à ces critères d'affectation consensuels. Avant l’intervention du MCA</w:t>
      </w:r>
      <w:r w:rsidR="006F1C40" w:rsidRPr="003B7D35">
        <w:rPr>
          <w:rFonts w:ascii="Times New Roman" w:eastAsia="Times New Roman" w:hAnsi="Times New Roman"/>
          <w:color w:val="000000"/>
          <w:sz w:val="22"/>
          <w:szCs w:val="22"/>
          <w:shd w:val="clear" w:color="auto" w:fill="FFFFFF"/>
          <w:lang w:eastAsia="fr-FR"/>
        </w:rPr>
        <w:t>,</w:t>
      </w:r>
      <w:r w:rsidRPr="003B7D35">
        <w:rPr>
          <w:rFonts w:ascii="Times New Roman" w:eastAsia="Times New Roman" w:hAnsi="Times New Roman"/>
          <w:color w:val="000000"/>
          <w:sz w:val="22"/>
          <w:szCs w:val="22"/>
          <w:shd w:val="clear" w:color="auto" w:fill="FFFFFF"/>
          <w:lang w:eastAsia="fr-FR"/>
        </w:rPr>
        <w:t xml:space="preserve"> les femmes étaient à moins de 7</w:t>
      </w:r>
      <w:r w:rsidR="00A72504" w:rsidRPr="003B7D35">
        <w:rPr>
          <w:rFonts w:ascii="Times New Roman" w:eastAsia="Times New Roman" w:hAnsi="Times New Roman"/>
          <w:color w:val="000000"/>
          <w:sz w:val="22"/>
          <w:szCs w:val="22"/>
          <w:shd w:val="clear" w:color="auto" w:fill="FFFFFF"/>
          <w:lang w:eastAsia="fr-FR"/>
        </w:rPr>
        <w:t> %</w:t>
      </w:r>
      <w:r w:rsidRPr="003B7D35">
        <w:rPr>
          <w:rFonts w:ascii="Times New Roman" w:eastAsia="Times New Roman" w:hAnsi="Times New Roman"/>
          <w:color w:val="000000"/>
          <w:sz w:val="22"/>
          <w:szCs w:val="22"/>
          <w:shd w:val="clear" w:color="auto" w:fill="FFFFFF"/>
          <w:lang w:eastAsia="fr-FR"/>
        </w:rPr>
        <w:t xml:space="preserve"> de titres d’affectation</w:t>
      </w:r>
      <w:r w:rsidR="006F1C40" w:rsidRPr="003B7D35">
        <w:rPr>
          <w:rFonts w:ascii="Times New Roman" w:eastAsia="Times New Roman" w:hAnsi="Times New Roman"/>
          <w:color w:val="000000"/>
          <w:sz w:val="22"/>
          <w:szCs w:val="22"/>
          <w:shd w:val="clear" w:color="auto" w:fill="FFFFFF"/>
          <w:lang w:eastAsia="fr-FR"/>
        </w:rPr>
        <w:t> ;</w:t>
      </w:r>
      <w:r w:rsidRPr="003B7D35">
        <w:rPr>
          <w:rFonts w:ascii="Times New Roman" w:eastAsia="Times New Roman" w:hAnsi="Times New Roman"/>
          <w:color w:val="000000"/>
          <w:sz w:val="22"/>
          <w:szCs w:val="22"/>
          <w:shd w:val="clear" w:color="auto" w:fill="FFFFFF"/>
          <w:lang w:eastAsia="fr-FR"/>
        </w:rPr>
        <w:t xml:space="preserve"> après l’intervention</w:t>
      </w:r>
      <w:r w:rsidR="006F1C40" w:rsidRPr="003B7D35">
        <w:rPr>
          <w:rFonts w:ascii="Times New Roman" w:eastAsia="Times New Roman" w:hAnsi="Times New Roman"/>
          <w:color w:val="000000"/>
          <w:sz w:val="22"/>
          <w:szCs w:val="22"/>
          <w:shd w:val="clear" w:color="auto" w:fill="FFFFFF"/>
          <w:lang w:eastAsia="fr-FR"/>
        </w:rPr>
        <w:t>, ce taux est passé à 27</w:t>
      </w:r>
      <w:r w:rsidR="00A72504" w:rsidRPr="003B7D35">
        <w:rPr>
          <w:rFonts w:ascii="Times New Roman" w:eastAsia="Times New Roman" w:hAnsi="Times New Roman"/>
          <w:color w:val="000000"/>
          <w:sz w:val="22"/>
          <w:szCs w:val="22"/>
          <w:shd w:val="clear" w:color="auto" w:fill="FFFFFF"/>
          <w:lang w:eastAsia="fr-FR"/>
        </w:rPr>
        <w:t> %</w:t>
      </w:r>
      <w:r w:rsidR="006F1C40" w:rsidRPr="003B7D35">
        <w:rPr>
          <w:rFonts w:ascii="Times New Roman" w:eastAsia="Times New Roman" w:hAnsi="Times New Roman"/>
          <w:color w:val="000000"/>
          <w:sz w:val="22"/>
          <w:szCs w:val="22"/>
          <w:shd w:val="clear" w:color="auto" w:fill="FFFFFF"/>
          <w:lang w:eastAsia="fr-FR"/>
        </w:rPr>
        <w:t>.</w:t>
      </w:r>
    </w:p>
    <w:p w:rsidR="00771667" w:rsidRPr="003B7D35" w:rsidRDefault="00771667" w:rsidP="00771667">
      <w:pPr>
        <w:shd w:val="clear" w:color="auto" w:fill="FFFFFF"/>
        <w:spacing w:after="15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Malgré les résultats mitigés (surtout en ce qui concerne le taux de recrutement des femm</w:t>
      </w:r>
      <w:r w:rsidR="006F1C40" w:rsidRPr="003B7D35">
        <w:rPr>
          <w:rFonts w:ascii="Times New Roman" w:eastAsia="Times New Roman" w:hAnsi="Times New Roman"/>
          <w:sz w:val="22"/>
          <w:szCs w:val="22"/>
          <w:lang w:eastAsia="fr-FR"/>
        </w:rPr>
        <w:t>es sur les chantiers routiers),</w:t>
      </w:r>
      <w:r w:rsidRPr="003B7D35">
        <w:rPr>
          <w:rFonts w:ascii="Times New Roman" w:eastAsia="Times New Roman" w:hAnsi="Times New Roman"/>
          <w:sz w:val="22"/>
          <w:szCs w:val="22"/>
          <w:lang w:eastAsia="fr-FR"/>
        </w:rPr>
        <w:t xml:space="preserve"> le Compact a réalisé des projets d’infrastructures routières et d’irrigation d’une portée économique et sociale d’envergur</w:t>
      </w:r>
      <w:r w:rsidR="006F1C40" w:rsidRPr="003B7D35">
        <w:rPr>
          <w:rFonts w:ascii="Times New Roman" w:eastAsia="Times New Roman" w:hAnsi="Times New Roman"/>
          <w:sz w:val="22"/>
          <w:szCs w:val="22"/>
          <w:lang w:eastAsia="fr-FR"/>
        </w:rPr>
        <w:t>e, qui vont aussi bien bénéficier</w:t>
      </w:r>
      <w:r w:rsidRPr="003B7D35">
        <w:rPr>
          <w:rFonts w:ascii="Times New Roman" w:eastAsia="Times New Roman" w:hAnsi="Times New Roman"/>
          <w:sz w:val="22"/>
          <w:szCs w:val="22"/>
          <w:lang w:eastAsia="fr-FR"/>
        </w:rPr>
        <w:t xml:space="preserve"> aux hommes qu’aux fe</w:t>
      </w:r>
      <w:r w:rsidR="006F1C40" w:rsidRPr="003B7D35">
        <w:rPr>
          <w:rFonts w:ascii="Times New Roman" w:eastAsia="Times New Roman" w:hAnsi="Times New Roman"/>
          <w:sz w:val="22"/>
          <w:szCs w:val="22"/>
          <w:lang w:eastAsia="fr-FR"/>
        </w:rPr>
        <w:t>mmes pendant de longues années.</w:t>
      </w:r>
    </w:p>
    <w:p w:rsidR="00771667" w:rsidRPr="003B7D35" w:rsidRDefault="006F1C40" w:rsidP="00771667">
      <w:pPr>
        <w:shd w:val="clear" w:color="auto" w:fill="FFFFFF"/>
        <w:spacing w:after="15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En outre, </w:t>
      </w:r>
      <w:r w:rsidR="00771667" w:rsidRPr="003B7D35">
        <w:rPr>
          <w:rFonts w:ascii="Times New Roman" w:eastAsia="Times New Roman" w:hAnsi="Times New Roman"/>
          <w:sz w:val="22"/>
          <w:szCs w:val="22"/>
          <w:lang w:eastAsia="fr-FR"/>
        </w:rPr>
        <w:t xml:space="preserve">un vaste programme de sécurisation foncière </w:t>
      </w:r>
      <w:r w:rsidRPr="003B7D35">
        <w:rPr>
          <w:rFonts w:ascii="Times New Roman" w:eastAsia="Times New Roman" w:hAnsi="Times New Roman"/>
          <w:sz w:val="22"/>
          <w:szCs w:val="22"/>
          <w:lang w:eastAsia="fr-FR"/>
        </w:rPr>
        <w:t>a été exécuté en faveur de 138 </w:t>
      </w:r>
      <w:r w:rsidR="00771667" w:rsidRPr="003B7D35">
        <w:rPr>
          <w:rFonts w:ascii="Times New Roman" w:eastAsia="Times New Roman" w:hAnsi="Times New Roman"/>
          <w:sz w:val="22"/>
          <w:szCs w:val="22"/>
          <w:lang w:eastAsia="fr-FR"/>
        </w:rPr>
        <w:t>000 ménage</w:t>
      </w:r>
      <w:r w:rsidRPr="003B7D35">
        <w:rPr>
          <w:rFonts w:ascii="Times New Roman" w:eastAsia="Times New Roman" w:hAnsi="Times New Roman"/>
          <w:sz w:val="22"/>
          <w:szCs w:val="22"/>
          <w:lang w:eastAsia="fr-FR"/>
        </w:rPr>
        <w:t>s dans les zones Sud et N</w:t>
      </w:r>
      <w:r w:rsidR="00771667" w:rsidRPr="003B7D35">
        <w:rPr>
          <w:rFonts w:ascii="Times New Roman" w:eastAsia="Times New Roman" w:hAnsi="Times New Roman"/>
          <w:sz w:val="22"/>
          <w:szCs w:val="22"/>
          <w:lang w:eastAsia="fr-FR"/>
        </w:rPr>
        <w:t>ord du pays. Au total, le Co</w:t>
      </w:r>
      <w:r w:rsidRPr="003B7D35">
        <w:rPr>
          <w:rFonts w:ascii="Times New Roman" w:eastAsia="Times New Roman" w:hAnsi="Times New Roman"/>
          <w:sz w:val="22"/>
          <w:szCs w:val="22"/>
          <w:lang w:eastAsia="fr-FR"/>
        </w:rPr>
        <w:t>mpact a permis la création de 4 </w:t>
      </w:r>
      <w:r w:rsidR="00771667" w:rsidRPr="003B7D35">
        <w:rPr>
          <w:rFonts w:ascii="Times New Roman" w:eastAsia="Times New Roman" w:hAnsi="Times New Roman"/>
          <w:sz w:val="22"/>
          <w:szCs w:val="22"/>
          <w:lang w:eastAsia="fr-FR"/>
        </w:rPr>
        <w:t xml:space="preserve">276 emplois dont 370 emplois </w:t>
      </w:r>
      <w:r w:rsidRPr="003B7D35">
        <w:rPr>
          <w:rFonts w:ascii="Times New Roman" w:eastAsia="Times New Roman" w:hAnsi="Times New Roman"/>
          <w:sz w:val="22"/>
          <w:szCs w:val="22"/>
          <w:lang w:eastAsia="fr-FR"/>
        </w:rPr>
        <w:t>attribués à des femmes</w:t>
      </w:r>
      <w:r w:rsidR="00771667" w:rsidRPr="003B7D35">
        <w:rPr>
          <w:rFonts w:ascii="Times New Roman" w:eastAsia="Times New Roman" w:hAnsi="Times New Roman"/>
          <w:sz w:val="22"/>
          <w:szCs w:val="22"/>
          <w:lang w:eastAsia="fr-FR"/>
        </w:rPr>
        <w:t xml:space="preserve"> dans les différentes zones d’intervention et</w:t>
      </w:r>
      <w:r w:rsidRPr="003B7D35">
        <w:rPr>
          <w:rFonts w:ascii="Times New Roman" w:eastAsia="Times New Roman" w:hAnsi="Times New Roman"/>
          <w:sz w:val="22"/>
          <w:szCs w:val="22"/>
          <w:lang w:eastAsia="fr-FR"/>
        </w:rPr>
        <w:t xml:space="preserve"> a</w:t>
      </w:r>
      <w:r w:rsidR="00771667" w:rsidRPr="003B7D35">
        <w:rPr>
          <w:rFonts w:ascii="Times New Roman" w:eastAsia="Times New Roman" w:hAnsi="Times New Roman"/>
          <w:sz w:val="22"/>
          <w:szCs w:val="22"/>
          <w:lang w:eastAsia="fr-FR"/>
        </w:rPr>
        <w:t xml:space="preserve"> amélioré les conditions de vie des couches vulnérables </w:t>
      </w:r>
      <w:r w:rsidRPr="003B7D35">
        <w:rPr>
          <w:rFonts w:ascii="Times New Roman" w:eastAsia="Times New Roman" w:hAnsi="Times New Roman"/>
          <w:sz w:val="22"/>
          <w:szCs w:val="22"/>
          <w:lang w:eastAsia="fr-FR"/>
        </w:rPr>
        <w:t>par le biais d’</w:t>
      </w:r>
      <w:r w:rsidR="00771667" w:rsidRPr="003B7D35">
        <w:rPr>
          <w:rFonts w:ascii="Times New Roman" w:eastAsia="Times New Roman" w:hAnsi="Times New Roman"/>
          <w:sz w:val="22"/>
          <w:szCs w:val="22"/>
          <w:lang w:eastAsia="fr-FR"/>
        </w:rPr>
        <w:t>activités génératrices de revenus.</w:t>
      </w:r>
    </w:p>
    <w:p w:rsidR="00771667" w:rsidRPr="003B7D35" w:rsidRDefault="00771667" w:rsidP="00771667">
      <w:pPr>
        <w:keepNext/>
        <w:numPr>
          <w:ilvl w:val="1"/>
          <w:numId w:val="93"/>
        </w:numPr>
        <w:spacing w:before="240"/>
        <w:contextualSpacing/>
        <w:jc w:val="left"/>
        <w:outlineLvl w:val="0"/>
        <w:rPr>
          <w:rFonts w:ascii="Times New Roman" w:eastAsia="Times New Roman" w:hAnsi="Times New Roman"/>
          <w:b/>
          <w:bCs/>
          <w:kern w:val="32"/>
          <w:sz w:val="22"/>
          <w:szCs w:val="22"/>
          <w:lang w:eastAsia="fr-FR"/>
        </w:rPr>
      </w:pPr>
      <w:bookmarkStart w:id="159" w:name="_Toc456112457"/>
      <w:bookmarkStart w:id="160" w:name="_Toc496886605"/>
      <w:bookmarkStart w:id="161" w:name="_Toc498638442"/>
      <w:r w:rsidRPr="003B7D35">
        <w:rPr>
          <w:rFonts w:ascii="Times New Roman" w:eastAsia="Times New Roman" w:hAnsi="Times New Roman"/>
          <w:b/>
          <w:bCs/>
          <w:kern w:val="32"/>
          <w:sz w:val="22"/>
          <w:szCs w:val="22"/>
          <w:lang w:eastAsia="fr-FR"/>
        </w:rPr>
        <w:t>Les leçons apprises</w:t>
      </w:r>
      <w:bookmarkEnd w:id="158"/>
      <w:bookmarkEnd w:id="159"/>
      <w:bookmarkEnd w:id="160"/>
      <w:bookmarkEnd w:id="161"/>
    </w:p>
    <w:p w:rsidR="00771667" w:rsidRPr="003B7D35" w:rsidRDefault="00771667" w:rsidP="00771667">
      <w:pPr>
        <w:rPr>
          <w:rFonts w:ascii="Times New Roman" w:eastAsia="Calibri" w:hAnsi="Times New Roman"/>
          <w:sz w:val="22"/>
          <w:szCs w:val="22"/>
          <w:lang w:eastAsia="fr-FR"/>
        </w:rPr>
      </w:pPr>
      <w:r w:rsidRPr="003B7D35">
        <w:rPr>
          <w:rFonts w:ascii="Times New Roman" w:eastAsia="Calibri" w:hAnsi="Times New Roman"/>
          <w:sz w:val="22"/>
          <w:szCs w:val="22"/>
          <w:lang w:eastAsia="fr-FR"/>
        </w:rPr>
        <w:t>Des ateliers organisés entre experts genre</w:t>
      </w:r>
      <w:r w:rsidR="006F1C40" w:rsidRPr="003B7D35">
        <w:rPr>
          <w:rFonts w:ascii="Times New Roman" w:eastAsia="Calibri" w:hAnsi="Times New Roman"/>
          <w:sz w:val="22"/>
          <w:szCs w:val="22"/>
          <w:lang w:eastAsia="fr-FR"/>
        </w:rPr>
        <w:t xml:space="preserve"> et des visites d’échange </w:t>
      </w:r>
      <w:r w:rsidRPr="003B7D35">
        <w:rPr>
          <w:rFonts w:ascii="Times New Roman" w:eastAsia="Calibri" w:hAnsi="Times New Roman"/>
          <w:sz w:val="22"/>
          <w:szCs w:val="22"/>
          <w:lang w:eastAsia="fr-FR"/>
        </w:rPr>
        <w:t>effec</w:t>
      </w:r>
      <w:r w:rsidR="006F1C40" w:rsidRPr="003B7D35">
        <w:rPr>
          <w:rFonts w:ascii="Times New Roman" w:eastAsia="Calibri" w:hAnsi="Times New Roman"/>
          <w:sz w:val="22"/>
          <w:szCs w:val="22"/>
          <w:lang w:eastAsia="fr-FR"/>
        </w:rPr>
        <w:t xml:space="preserve">tuées sur des sites permettent </w:t>
      </w:r>
      <w:r w:rsidRPr="003B7D35">
        <w:rPr>
          <w:rFonts w:ascii="Times New Roman" w:eastAsia="Calibri" w:hAnsi="Times New Roman"/>
          <w:sz w:val="22"/>
          <w:szCs w:val="22"/>
          <w:lang w:eastAsia="fr-FR"/>
        </w:rPr>
        <w:t>de dégager des leçons qu’il serait bien d’intégrer dans les futurs projets d’infrastructure pour une intégration efficace du genre.</w:t>
      </w:r>
    </w:p>
    <w:p w:rsidR="00771667" w:rsidRPr="003B7D35" w:rsidRDefault="00771667"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En amont, faire un plaidoyer efficace pour une mise en œuvre d’une politique de genre. Des lenteurs et des blocages dus à la peur du changement et à la volonté de maintenir le statu quo ont été observés dans la mise en œuvre de certaines</w:t>
      </w:r>
      <w:r w:rsidR="006F1C40" w:rsidRPr="003B7D35">
        <w:rPr>
          <w:rFonts w:ascii="Times New Roman" w:eastAsia="Times New Roman" w:hAnsi="Times New Roman"/>
          <w:sz w:val="22"/>
          <w:szCs w:val="22"/>
          <w:lang w:eastAsia="fr-FR"/>
        </w:rPr>
        <w:t xml:space="preserve"> ac</w:t>
      </w:r>
      <w:r w:rsidR="00F12E0C" w:rsidRPr="003B7D35">
        <w:rPr>
          <w:rFonts w:ascii="Times New Roman" w:eastAsia="Times New Roman" w:hAnsi="Times New Roman"/>
          <w:sz w:val="22"/>
          <w:szCs w:val="22"/>
          <w:lang w:eastAsia="fr-FR"/>
        </w:rPr>
        <w:t>tivités liées au genre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Une culture de RSE (responsabilité sociale de l’entreprise) permet de s’approprier plus facilement les</w:t>
      </w:r>
      <w:r w:rsidR="00F12E0C" w:rsidRPr="003B7D35">
        <w:rPr>
          <w:rFonts w:ascii="Times New Roman" w:eastAsia="Calibri" w:hAnsi="Times New Roman"/>
          <w:sz w:val="22"/>
          <w:szCs w:val="22"/>
          <w:lang w:eastAsia="fr-FR"/>
        </w:rPr>
        <w:t xml:space="preserve"> exigences en matière de genre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Times New Roman" w:hAnsi="Times New Roman"/>
          <w:sz w:val="22"/>
          <w:szCs w:val="22"/>
          <w:lang w:eastAsia="fr-FR"/>
        </w:rPr>
        <w:t>En amont, l’</w:t>
      </w:r>
      <w:r w:rsidR="006F1C40"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doit assurer l’éducation et la formation professionnelle des filles pour leur garantir un potentiel technique leur permettant d’accéder à divers postes sur les chantiers routiers ; les femmes devraient également être formées, sensibilisées et informées sur leurs droits d’accès </w:t>
      </w:r>
      <w:r w:rsidR="006F1C40" w:rsidRPr="003B7D35">
        <w:rPr>
          <w:rFonts w:ascii="Times New Roman" w:eastAsia="Times New Roman" w:hAnsi="Times New Roman"/>
          <w:sz w:val="22"/>
          <w:szCs w:val="22"/>
          <w:lang w:eastAsia="fr-FR"/>
        </w:rPr>
        <w:t>aux</w:t>
      </w:r>
      <w:r w:rsidRPr="003B7D35">
        <w:rPr>
          <w:rFonts w:ascii="Times New Roman" w:eastAsia="Times New Roman" w:hAnsi="Times New Roman"/>
          <w:sz w:val="22"/>
          <w:szCs w:val="22"/>
          <w:lang w:eastAsia="fr-FR"/>
        </w:rPr>
        <w:t xml:space="preserve"> ressources vitales telles que la terre, l’eau</w:t>
      </w:r>
      <w:r w:rsidR="006F1C40" w:rsidRPr="003B7D35">
        <w:rPr>
          <w:rFonts w:ascii="Times New Roman" w:eastAsia="Times New Roman" w:hAnsi="Times New Roman"/>
          <w:sz w:val="22"/>
          <w:szCs w:val="22"/>
          <w:lang w:eastAsia="fr-FR"/>
        </w:rPr>
        <w:t>,</w:t>
      </w:r>
      <w:r w:rsidR="00F12E0C" w:rsidRPr="003B7D35">
        <w:rPr>
          <w:rFonts w:ascii="Times New Roman" w:eastAsia="Times New Roman" w:hAnsi="Times New Roman"/>
          <w:sz w:val="22"/>
          <w:szCs w:val="22"/>
          <w:lang w:eastAsia="fr-FR"/>
        </w:rPr>
        <w:t xml:space="preserve"> etc.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La participation active des communautés dans tout processus les concernant est gage d’appropriation, d’acceptati</w:t>
      </w:r>
      <w:r w:rsidR="00F12E0C" w:rsidRPr="003B7D35">
        <w:rPr>
          <w:rFonts w:ascii="Times New Roman" w:eastAsia="Calibri" w:hAnsi="Times New Roman"/>
          <w:sz w:val="22"/>
          <w:szCs w:val="22"/>
          <w:lang w:eastAsia="fr-FR"/>
        </w:rPr>
        <w:t>on sociale et de pérennisation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hAnsi="Times New Roman"/>
          <w:sz w:val="22"/>
          <w:szCs w:val="22"/>
        </w:rPr>
        <w:t xml:space="preserve">Les stéréotypes liés au genre sont tenaces et ne peuvent être combattus sans une réelle volonté politique. Il faut beaucoup de détermination et de patience pour intégrer la </w:t>
      </w:r>
      <w:r w:rsidR="00F12E0C" w:rsidRPr="003B7D35">
        <w:rPr>
          <w:rFonts w:ascii="Times New Roman" w:hAnsi="Times New Roman"/>
          <w:sz w:val="22"/>
          <w:szCs w:val="22"/>
        </w:rPr>
        <w:t>dimension genre dans un projet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Le renforcement des capacités des employés d’une entreprise, des services techniques et</w:t>
      </w:r>
      <w:r w:rsidR="006F1C40" w:rsidRPr="003B7D35">
        <w:rPr>
          <w:rFonts w:ascii="Times New Roman" w:eastAsia="Calibri" w:hAnsi="Times New Roman"/>
          <w:sz w:val="22"/>
          <w:szCs w:val="22"/>
          <w:lang w:eastAsia="fr-FR"/>
        </w:rPr>
        <w:t xml:space="preserve"> des collectivités locales sur </w:t>
      </w:r>
      <w:r w:rsidRPr="003B7D35">
        <w:rPr>
          <w:rFonts w:ascii="Times New Roman" w:eastAsia="Calibri" w:hAnsi="Times New Roman"/>
          <w:sz w:val="22"/>
          <w:szCs w:val="22"/>
          <w:lang w:eastAsia="fr-FR"/>
        </w:rPr>
        <w:t>les questions liées au genre permet une meilleure compréhension des enjeux et</w:t>
      </w:r>
      <w:r w:rsidR="006F1C40" w:rsidRPr="003B7D35">
        <w:rPr>
          <w:rFonts w:ascii="Times New Roman" w:eastAsia="Calibri" w:hAnsi="Times New Roman"/>
          <w:sz w:val="22"/>
          <w:szCs w:val="22"/>
          <w:lang w:eastAsia="fr-FR"/>
        </w:rPr>
        <w:t xml:space="preserve"> facilite l’intégration de l’aspect du</w:t>
      </w:r>
      <w:r w:rsidRPr="003B7D35">
        <w:rPr>
          <w:rFonts w:ascii="Times New Roman" w:eastAsia="Calibri" w:hAnsi="Times New Roman"/>
          <w:sz w:val="22"/>
          <w:szCs w:val="22"/>
          <w:lang w:eastAsia="fr-FR"/>
        </w:rPr>
        <w:t xml:space="preserve"> genre da</w:t>
      </w:r>
      <w:r w:rsidR="00F12E0C" w:rsidRPr="003B7D35">
        <w:rPr>
          <w:rFonts w:ascii="Times New Roman" w:eastAsia="Calibri" w:hAnsi="Times New Roman"/>
          <w:sz w:val="22"/>
          <w:szCs w:val="22"/>
          <w:lang w:eastAsia="fr-FR"/>
        </w:rPr>
        <w:t>ns les projets de développement ;</w:t>
      </w:r>
    </w:p>
    <w:p w:rsidR="00771667" w:rsidRPr="003B7D35" w:rsidRDefault="006F1C40"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L’absence de dispositif</w:t>
      </w:r>
      <w:r w:rsidR="00771667" w:rsidRPr="003B7D35">
        <w:rPr>
          <w:rFonts w:ascii="Times New Roman" w:eastAsia="Times New Roman" w:hAnsi="Times New Roman"/>
          <w:sz w:val="22"/>
          <w:szCs w:val="22"/>
          <w:lang w:eastAsia="fr-FR"/>
        </w:rPr>
        <w:t xml:space="preserve"> et d’arrangement institutionnels appropriés et conformes aux conditions des femmes est un facteur d’échec de politiques ou de stratégies visant à encourager </w:t>
      </w:r>
      <w:r w:rsidRPr="003B7D35">
        <w:rPr>
          <w:rFonts w:ascii="Times New Roman" w:eastAsia="Times New Roman" w:hAnsi="Times New Roman"/>
          <w:sz w:val="22"/>
          <w:szCs w:val="22"/>
          <w:lang w:eastAsia="fr-FR"/>
        </w:rPr>
        <w:t>l’emploi des femmes</w:t>
      </w:r>
      <w:r w:rsidR="00771667" w:rsidRPr="003B7D35">
        <w:rPr>
          <w:rFonts w:ascii="Times New Roman" w:eastAsia="Times New Roman" w:hAnsi="Times New Roman"/>
          <w:sz w:val="22"/>
          <w:szCs w:val="22"/>
          <w:lang w:eastAsia="fr-FR"/>
        </w:rPr>
        <w:t xml:space="preserve"> dans les travaux d’infrastructure</w:t>
      </w:r>
      <w:r w:rsidR="00F12E0C" w:rsidRPr="003B7D35">
        <w:rPr>
          <w:rFonts w:ascii="Times New Roman" w:eastAsia="Times New Roman" w:hAnsi="Times New Roman"/>
          <w:sz w:val="22"/>
          <w:szCs w:val="22"/>
          <w:lang w:eastAsia="fr-FR"/>
        </w:rPr>
        <w:t> ;</w:t>
      </w:r>
    </w:p>
    <w:p w:rsidR="00771667" w:rsidRPr="003B7D35" w:rsidRDefault="00771667"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femmes au même titre que les hommes peuvent travailler dans les projets d’infrastructures si l’opportunité leur est donnée. Le cas des signaleuses au niveau des projets routiers (RN2 et RN6) en</w:t>
      </w:r>
      <w:r w:rsidR="006F1C40" w:rsidRPr="003B7D35">
        <w:rPr>
          <w:rFonts w:ascii="Times New Roman" w:eastAsia="Times New Roman" w:hAnsi="Times New Roman"/>
          <w:sz w:val="22"/>
          <w:szCs w:val="22"/>
          <w:lang w:eastAsia="fr-FR"/>
        </w:rPr>
        <w:t xml:space="preserve"> est une parfaite illustration.</w:t>
      </w:r>
    </w:p>
    <w:p w:rsidR="00771667" w:rsidRPr="003B7D35" w:rsidRDefault="00771667" w:rsidP="00771667">
      <w:pPr>
        <w:ind w:left="360"/>
        <w:rPr>
          <w:rFonts w:ascii="Times New Roman" w:eastAsia="Calibri" w:hAnsi="Times New Roman"/>
          <w:sz w:val="22"/>
          <w:szCs w:val="22"/>
          <w:lang w:eastAsia="fr-FR"/>
        </w:rPr>
      </w:pP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Bibliographie</w:t>
      </w:r>
      <w:r w:rsidR="002575A2" w:rsidRPr="003B7D35">
        <w:rPr>
          <w:rFonts w:ascii="Times New Roman" w:eastAsia="Times New Roman" w:hAnsi="Times New Roman"/>
          <w:b/>
          <w:sz w:val="22"/>
          <w:szCs w:val="22"/>
          <w:lang w:eastAsia="fr-FR"/>
        </w:rPr>
        <w:t> :</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b/>
          <w:sz w:val="22"/>
          <w:szCs w:val="22"/>
          <w:lang w:eastAsia="fr-FR"/>
        </w:rPr>
        <w:t>-</w:t>
      </w:r>
      <w:r w:rsidR="00812D8E" w:rsidRPr="003B7D35">
        <w:rPr>
          <w:rFonts w:ascii="Times New Roman" w:eastAsia="Times New Roman" w:hAnsi="Times New Roman"/>
          <w:sz w:val="22"/>
          <w:szCs w:val="22"/>
          <w:lang w:eastAsia="fr-FR"/>
        </w:rPr>
        <w:t>Ministère de l’environnement et de la protection de la n</w:t>
      </w:r>
      <w:r w:rsidRPr="003B7D35">
        <w:rPr>
          <w:rFonts w:ascii="Times New Roman" w:eastAsia="Times New Roman" w:hAnsi="Times New Roman"/>
          <w:sz w:val="22"/>
          <w:szCs w:val="22"/>
          <w:lang w:eastAsia="fr-FR"/>
        </w:rPr>
        <w:t>ature</w:t>
      </w:r>
      <w:r w:rsidR="00812D8E" w:rsidRPr="003B7D35">
        <w:rPr>
          <w:rFonts w:ascii="Times New Roman" w:eastAsia="Times New Roman" w:hAnsi="Times New Roman"/>
          <w:sz w:val="22"/>
          <w:szCs w:val="22"/>
          <w:lang w:eastAsia="fr-FR"/>
        </w:rPr>
        <w:t> ; Projet de g</w:t>
      </w:r>
      <w:r w:rsidRPr="003B7D35">
        <w:rPr>
          <w:rFonts w:ascii="Times New Roman" w:eastAsia="Times New Roman" w:hAnsi="Times New Roman"/>
          <w:sz w:val="22"/>
          <w:szCs w:val="22"/>
          <w:lang w:eastAsia="fr-FR"/>
        </w:rPr>
        <w:t>estion intégré</w:t>
      </w:r>
      <w:r w:rsidR="00812D8E" w:rsidRPr="003B7D35">
        <w:rPr>
          <w:rFonts w:ascii="Times New Roman" w:eastAsia="Times New Roman" w:hAnsi="Times New Roman"/>
          <w:sz w:val="22"/>
          <w:szCs w:val="22"/>
          <w:lang w:eastAsia="fr-FR"/>
        </w:rPr>
        <w:t>e des écosystèmes du Sénégal</w:t>
      </w:r>
      <w:r w:rsidR="002575A2" w:rsidRPr="003B7D35">
        <w:rPr>
          <w:rFonts w:ascii="Times New Roman" w:eastAsia="Times New Roman" w:hAnsi="Times New Roman"/>
          <w:sz w:val="22"/>
          <w:szCs w:val="22"/>
          <w:lang w:eastAsia="fr-FR"/>
        </w:rPr>
        <w:t> :</w:t>
      </w:r>
      <w:r w:rsidR="00812D8E" w:rsidRPr="003B7D35">
        <w:rPr>
          <w:rFonts w:ascii="Times New Roman" w:eastAsia="Times New Roman" w:hAnsi="Times New Roman"/>
          <w:sz w:val="22"/>
          <w:szCs w:val="22"/>
          <w:lang w:eastAsia="fr-FR"/>
        </w:rPr>
        <w:t xml:space="preserve"> Élaboration d’un plan d</w:t>
      </w:r>
      <w:r w:rsidRPr="003B7D35">
        <w:rPr>
          <w:rFonts w:ascii="Times New Roman" w:eastAsia="Times New Roman" w:hAnsi="Times New Roman"/>
          <w:sz w:val="22"/>
          <w:szCs w:val="22"/>
          <w:lang w:eastAsia="fr-FR"/>
        </w:rPr>
        <w:t>’aménagement, de cogestion et d’utilisation durable des ressources naturelles, d’aires protégées et de leurs périphéries intégrant les terroirs villageois et les réserves naturelles communautaires, Aout 2003</w:t>
      </w:r>
    </w:p>
    <w:p w:rsidR="00771667" w:rsidRPr="00771667"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 L’accès des </w:t>
      </w:r>
      <w:r w:rsidR="00812D8E" w:rsidRPr="003B7D35">
        <w:rPr>
          <w:rFonts w:ascii="Times New Roman" w:eastAsia="Times New Roman" w:hAnsi="Times New Roman"/>
          <w:sz w:val="22"/>
          <w:szCs w:val="22"/>
          <w:lang w:eastAsia="fr-FR"/>
        </w:rPr>
        <w:t>femmes à la terre au Sénégal</w:t>
      </w:r>
      <w:r w:rsidR="002575A2" w:rsidRPr="003B7D35">
        <w:rPr>
          <w:rFonts w:ascii="Times New Roman" w:eastAsia="Times New Roman" w:hAnsi="Times New Roman"/>
          <w:sz w:val="22"/>
          <w:szCs w:val="22"/>
          <w:lang w:eastAsia="fr-FR"/>
        </w:rPr>
        <w:t> :</w:t>
      </w:r>
      <w:r w:rsidR="00812D8E" w:rsidRPr="003B7D35">
        <w:rPr>
          <w:rFonts w:ascii="Times New Roman" w:eastAsia="Times New Roman" w:hAnsi="Times New Roman"/>
          <w:sz w:val="22"/>
          <w:szCs w:val="22"/>
          <w:lang w:eastAsia="fr-FR"/>
        </w:rPr>
        <w:t xml:space="preserve"> u</w:t>
      </w:r>
      <w:r w:rsidRPr="003B7D35">
        <w:rPr>
          <w:rFonts w:ascii="Times New Roman" w:eastAsia="Times New Roman" w:hAnsi="Times New Roman"/>
          <w:sz w:val="22"/>
          <w:szCs w:val="22"/>
          <w:lang w:eastAsia="fr-FR"/>
        </w:rPr>
        <w:t>n chemin</w:t>
      </w:r>
      <w:r w:rsidR="00812D8E" w:rsidRPr="003B7D35">
        <w:rPr>
          <w:rFonts w:ascii="Times New Roman" w:eastAsia="Times New Roman" w:hAnsi="Times New Roman"/>
          <w:sz w:val="22"/>
          <w:szCs w:val="22"/>
          <w:lang w:eastAsia="fr-FR"/>
        </w:rPr>
        <w:t xml:space="preserve"> escarpé ; Dr Fatou Diop Sall, s</w:t>
      </w:r>
      <w:r w:rsidRPr="003B7D35">
        <w:rPr>
          <w:rFonts w:ascii="Times New Roman" w:eastAsia="Times New Roman" w:hAnsi="Times New Roman"/>
          <w:sz w:val="22"/>
          <w:szCs w:val="22"/>
          <w:lang w:eastAsia="fr-FR"/>
        </w:rPr>
        <w:t>ociologue, Section de sociologie de l’UGB (article résumant un rapport d’études</w:t>
      </w:r>
      <w:r w:rsidRPr="00771667">
        <w:rPr>
          <w:rFonts w:ascii="Times New Roman" w:eastAsia="Times New Roman" w:hAnsi="Times New Roman"/>
          <w:sz w:val="22"/>
          <w:szCs w:val="22"/>
          <w:lang w:eastAsia="fr-FR"/>
        </w:rPr>
        <w:t xml:space="preserve"> produit par le GESTES dans le cadre de l’équipe Grafosen/ENDA Pronat)</w:t>
      </w:r>
    </w:p>
    <w:p w:rsidR="00771667" w:rsidRPr="00771667" w:rsidRDefault="00812D8E" w:rsidP="00771667">
      <w:pPr>
        <w:rPr>
          <w:rFonts w:ascii="Times New Roman" w:eastAsia="Times New Roman" w:hAnsi="Times New Roman"/>
          <w:sz w:val="22"/>
          <w:szCs w:val="22"/>
          <w:lang w:eastAsia="fr-FR"/>
        </w:rPr>
      </w:pPr>
      <w:r>
        <w:rPr>
          <w:rFonts w:ascii="Times New Roman" w:eastAsia="Times New Roman" w:hAnsi="Times New Roman"/>
          <w:sz w:val="22"/>
          <w:szCs w:val="22"/>
          <w:lang w:eastAsia="fr-FR"/>
        </w:rPr>
        <w:t>-Ministère de l’environnement et du d</w:t>
      </w:r>
      <w:r w:rsidR="00771667" w:rsidRPr="00771667">
        <w:rPr>
          <w:rFonts w:ascii="Times New Roman" w:eastAsia="Times New Roman" w:hAnsi="Times New Roman"/>
          <w:sz w:val="22"/>
          <w:szCs w:val="22"/>
          <w:lang w:eastAsia="fr-FR"/>
        </w:rPr>
        <w:t>éveloppement durable</w:t>
      </w:r>
      <w:r w:rsidR="002575A2">
        <w:rPr>
          <w:rFonts w:ascii="Times New Roman" w:eastAsia="Times New Roman" w:hAnsi="Times New Roman"/>
          <w:sz w:val="22"/>
          <w:szCs w:val="22"/>
          <w:lang w:eastAsia="fr-FR"/>
        </w:rPr>
        <w:t> :</w:t>
      </w:r>
      <w:r w:rsidR="00771667" w:rsidRPr="00771667">
        <w:rPr>
          <w:rFonts w:ascii="Times New Roman" w:eastAsia="Times New Roman" w:hAnsi="Times New Roman"/>
          <w:sz w:val="22"/>
          <w:szCs w:val="22"/>
          <w:lang w:eastAsia="fr-FR"/>
        </w:rPr>
        <w:t xml:space="preserve"> Stratégie National et Plan National d’Actions pour la biodiversité (Aout 2015)</w:t>
      </w:r>
    </w:p>
    <w:p w:rsidR="00771667" w:rsidRPr="00771667" w:rsidRDefault="00812D8E" w:rsidP="00771667">
      <w:pPr>
        <w:rPr>
          <w:rFonts w:ascii="Times New Roman" w:eastAsia="Times New Roman" w:hAnsi="Times New Roman"/>
          <w:sz w:val="22"/>
          <w:szCs w:val="22"/>
          <w:lang w:eastAsia="fr-FR"/>
        </w:rPr>
      </w:pPr>
      <w:r>
        <w:rPr>
          <w:rFonts w:ascii="Times New Roman" w:eastAsia="Times New Roman" w:hAnsi="Times New Roman"/>
          <w:sz w:val="22"/>
          <w:szCs w:val="22"/>
          <w:lang w:eastAsia="fr-FR"/>
        </w:rPr>
        <w:t>-Ministère de l’économie et des finances ; Direction générale du p</w:t>
      </w:r>
      <w:r w:rsidR="00771667" w:rsidRPr="00771667">
        <w:rPr>
          <w:rFonts w:ascii="Times New Roman" w:eastAsia="Times New Roman" w:hAnsi="Times New Roman"/>
          <w:sz w:val="22"/>
          <w:szCs w:val="22"/>
          <w:lang w:eastAsia="fr-FR"/>
        </w:rPr>
        <w:t xml:space="preserve">lan ; Rapport </w:t>
      </w:r>
      <w:r>
        <w:rPr>
          <w:rFonts w:ascii="Times New Roman" w:eastAsia="Times New Roman" w:hAnsi="Times New Roman"/>
          <w:sz w:val="22"/>
          <w:szCs w:val="22"/>
          <w:lang w:eastAsia="fr-FR"/>
        </w:rPr>
        <w:t>national sur le d</w:t>
      </w:r>
      <w:r w:rsidR="00771667" w:rsidRPr="00771667">
        <w:rPr>
          <w:rFonts w:ascii="Times New Roman" w:eastAsia="Times New Roman" w:hAnsi="Times New Roman"/>
          <w:sz w:val="22"/>
          <w:szCs w:val="22"/>
          <w:lang w:eastAsia="fr-FR"/>
        </w:rPr>
        <w:t>évelop</w:t>
      </w:r>
      <w:r>
        <w:rPr>
          <w:rFonts w:ascii="Times New Roman" w:eastAsia="Times New Roman" w:hAnsi="Times New Roman"/>
          <w:sz w:val="22"/>
          <w:szCs w:val="22"/>
          <w:lang w:eastAsia="fr-FR"/>
        </w:rPr>
        <w:t>pement d</w:t>
      </w:r>
      <w:r w:rsidR="00771667" w:rsidRPr="00771667">
        <w:rPr>
          <w:rFonts w:ascii="Times New Roman" w:eastAsia="Times New Roman" w:hAnsi="Times New Roman"/>
          <w:sz w:val="22"/>
          <w:szCs w:val="22"/>
          <w:lang w:eastAsia="fr-FR"/>
        </w:rPr>
        <w:t>urable 2015</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-M</w:t>
      </w:r>
      <w:r w:rsidR="00812D8E">
        <w:rPr>
          <w:rFonts w:ascii="Times New Roman" w:eastAsia="Times New Roman" w:hAnsi="Times New Roman"/>
          <w:sz w:val="22"/>
          <w:szCs w:val="22"/>
          <w:lang w:eastAsia="fr-FR"/>
        </w:rPr>
        <w:t>inistère de la famille et de l’entreprenariat féminin Stratégie nationale pour l’égalité et l’é</w:t>
      </w:r>
      <w:r w:rsidRPr="00771667">
        <w:rPr>
          <w:rFonts w:ascii="Times New Roman" w:eastAsia="Times New Roman" w:hAnsi="Times New Roman"/>
          <w:sz w:val="22"/>
          <w:szCs w:val="22"/>
          <w:lang w:eastAsia="fr-FR"/>
        </w:rPr>
        <w:t>quité de genre (SNEEG) ; 2005</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val="en-US" w:eastAsia="fr-FR"/>
        </w:rPr>
        <w:t xml:space="preserve">-MCC, 2011: Gender Policy. Department of Compact Operation, policy owner. </w:t>
      </w:r>
      <w:r w:rsidRPr="00771667">
        <w:rPr>
          <w:rFonts w:ascii="Times New Roman" w:eastAsia="Times New Roman" w:hAnsi="Times New Roman"/>
          <w:sz w:val="22"/>
          <w:szCs w:val="22"/>
          <w:lang w:eastAsia="fr-FR"/>
        </w:rPr>
        <w:t>Millennium Challenge Corporation. Washington DC.</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-Millennium Challenge Account MCA-Sénégal: Plan d’intégration Social et Genre du MCA Sénégal ; Stratégies et opérationnalisation ; Février 2013</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-Groupement CSE-SOSETER ; Rapport final</w:t>
      </w:r>
      <w:r w:rsidR="002575A2">
        <w:rPr>
          <w:rFonts w:ascii="Times New Roman" w:eastAsia="Times New Roman" w:hAnsi="Times New Roman"/>
          <w:sz w:val="22"/>
          <w:szCs w:val="22"/>
          <w:lang w:eastAsia="fr-FR"/>
        </w:rPr>
        <w:t> :</w:t>
      </w:r>
      <w:r w:rsidRPr="00771667">
        <w:rPr>
          <w:rFonts w:ascii="Times New Roman" w:eastAsia="Times New Roman" w:hAnsi="Times New Roman"/>
          <w:sz w:val="22"/>
          <w:szCs w:val="22"/>
          <w:lang w:eastAsia="fr-FR"/>
        </w:rPr>
        <w:t xml:space="preserve"> Intégration de la dimension genre dans les travaux de réhabilitation de la RN2 (tronçon Richard Toll-N’Dioum, Mars 2015</w:t>
      </w:r>
    </w:p>
    <w:p w:rsidR="00771667" w:rsidRDefault="00771667" w:rsidP="00922D95">
      <w:pPr>
        <w:pStyle w:val="NumberedParas"/>
        <w:numPr>
          <w:ilvl w:val="0"/>
          <w:numId w:val="0"/>
        </w:numPr>
        <w:ind w:left="360" w:hanging="360"/>
        <w:sectPr w:rsidR="00771667" w:rsidSect="003F2B50">
          <w:pgSz w:w="11906" w:h="16838"/>
          <w:pgMar w:top="1417" w:right="1417" w:bottom="1417" w:left="1417" w:header="708" w:footer="708" w:gutter="0"/>
          <w:cols w:space="708"/>
          <w:docGrid w:linePitch="360"/>
        </w:sectPr>
      </w:pPr>
    </w:p>
    <w:p w:rsidR="00AC1CF9" w:rsidRDefault="00AC1CF9" w:rsidP="00922D95">
      <w:pPr>
        <w:pStyle w:val="NumberedParas"/>
        <w:numPr>
          <w:ilvl w:val="0"/>
          <w:numId w:val="0"/>
        </w:numPr>
        <w:ind w:left="360" w:hanging="360"/>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62" w:name="_Toc404528201"/>
      <w:bookmarkStart w:id="163" w:name="_Toc496886606"/>
      <w:bookmarkStart w:id="164" w:name="_Toc498638443"/>
      <w:r w:rsidRPr="00743B0B">
        <w:rPr>
          <w:rFonts w:ascii="Century Gothic" w:hAnsi="Century Gothic"/>
          <w:b/>
          <w:smallCaps/>
          <w:spacing w:val="-2"/>
          <w:sz w:val="28"/>
          <w:szCs w:val="20"/>
        </w:rPr>
        <w:t>Annexe [I].</w:t>
      </w:r>
      <w:r w:rsidR="008712CB">
        <w:rPr>
          <w:rFonts w:ascii="Century Gothic" w:hAnsi="Century Gothic"/>
          <w:b/>
          <w:smallCaps/>
          <w:spacing w:val="-2"/>
          <w:sz w:val="28"/>
          <w:szCs w:val="20"/>
        </w:rPr>
        <w:t xml:space="preserve"> </w:t>
      </w:r>
      <w:r w:rsidRPr="00743B0B">
        <w:rPr>
          <w:rFonts w:ascii="Century Gothic" w:hAnsi="Century Gothic"/>
          <w:b/>
          <w:smallCaps/>
          <w:spacing w:val="-2"/>
          <w:sz w:val="28"/>
          <w:szCs w:val="20"/>
        </w:rPr>
        <w:t>Modèle d’examen préalable social et environnemental</w:t>
      </w:r>
      <w:bookmarkEnd w:id="162"/>
      <w:bookmarkEnd w:id="163"/>
      <w:bookmarkEnd w:id="164"/>
    </w:p>
    <w:p w:rsidR="00743B0B" w:rsidRPr="00743B0B" w:rsidRDefault="00743B0B" w:rsidP="00743B0B">
      <w:pPr>
        <w:spacing w:before="200"/>
        <w:ind w:left="360"/>
        <w:rPr>
          <w:b/>
          <w:color w:val="5B9BD5"/>
          <w:sz w:val="24"/>
        </w:rPr>
      </w:pPr>
      <w:r w:rsidRPr="00743B0B">
        <w:rPr>
          <w:b/>
          <w:color w:val="5B9BD5"/>
          <w:sz w:val="24"/>
        </w:rPr>
        <w:t>Informations sur le projet</w:t>
      </w:r>
    </w:p>
    <w:p w:rsidR="00743B0B" w:rsidRPr="00743B0B" w:rsidRDefault="00743B0B" w:rsidP="00743B0B"/>
    <w:tbl>
      <w:tblPr>
        <w:tblStyle w:val="Grilledutableau"/>
        <w:tblW w:w="13248" w:type="dxa"/>
        <w:tblLook w:val="04A0" w:firstRow="1" w:lastRow="0" w:firstColumn="1" w:lastColumn="0" w:noHBand="0" w:noVBand="1"/>
      </w:tblPr>
      <w:tblGrid>
        <w:gridCol w:w="3325"/>
        <w:gridCol w:w="9923"/>
      </w:tblGrid>
      <w:tr w:rsidR="00743B0B" w:rsidRPr="00743B0B" w:rsidTr="00743B0B">
        <w:tc>
          <w:tcPr>
            <w:tcW w:w="3325" w:type="dxa"/>
            <w:shd w:val="clear" w:color="auto" w:fill="D5DCE4"/>
            <w:vAlign w:val="center"/>
          </w:tcPr>
          <w:p w:rsidR="00743B0B" w:rsidRPr="00743B0B" w:rsidRDefault="00743B0B" w:rsidP="00743B0B">
            <w:pPr>
              <w:tabs>
                <w:tab w:val="left" w:pos="360"/>
              </w:tabs>
              <w:rPr>
                <w:b/>
                <w:i/>
                <w:color w:val="000000"/>
                <w:szCs w:val="20"/>
              </w:rPr>
            </w:pPr>
            <w:r w:rsidRPr="00743B0B">
              <w:rPr>
                <w:b/>
                <w:i/>
                <w:color w:val="000000"/>
                <w:szCs w:val="20"/>
              </w:rPr>
              <w:t xml:space="preserve">Informations sur le projet </w:t>
            </w:r>
          </w:p>
        </w:tc>
        <w:tc>
          <w:tcPr>
            <w:tcW w:w="9923" w:type="dxa"/>
            <w:shd w:val="clear" w:color="auto" w:fill="D5DCE4"/>
            <w:vAlign w:val="center"/>
          </w:tcPr>
          <w:p w:rsidR="00743B0B" w:rsidRPr="00743B0B" w:rsidRDefault="00743B0B" w:rsidP="00743B0B">
            <w:pPr>
              <w:rPr>
                <w:i/>
                <w:color w:val="000000"/>
                <w:szCs w:val="20"/>
              </w:rPr>
            </w:pP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Titre du projet</w:t>
            </w:r>
          </w:p>
        </w:tc>
        <w:tc>
          <w:tcPr>
            <w:tcW w:w="9923" w:type="dxa"/>
            <w:vAlign w:val="center"/>
          </w:tcPr>
          <w:p w:rsidR="00743B0B" w:rsidRPr="00743B0B" w:rsidRDefault="00743B0B" w:rsidP="00743B0B">
            <w:pPr>
              <w:rPr>
                <w:sz w:val="18"/>
                <w:szCs w:val="18"/>
              </w:rPr>
            </w:pPr>
            <w:r w:rsidRPr="00743B0B">
              <w:rPr>
                <w:bCs/>
                <w:color w:val="000000"/>
                <w:sz w:val="18"/>
                <w:szCs w:val="20"/>
              </w:rPr>
              <w:t>Promouvoir la finance novatrice et l’adaptation communautaire dans les communes autour des réserves naturelles</w:t>
            </w:r>
            <w:r w:rsidR="008712CB">
              <w:rPr>
                <w:bCs/>
                <w:color w:val="000000"/>
                <w:sz w:val="18"/>
                <w:szCs w:val="20"/>
              </w:rPr>
              <w:t xml:space="preserve"> communautaires (Ferlo, Niokolo-</w:t>
            </w:r>
            <w:r w:rsidRPr="00743B0B">
              <w:rPr>
                <w:bCs/>
                <w:color w:val="000000"/>
                <w:sz w:val="18"/>
                <w:szCs w:val="20"/>
              </w:rPr>
              <w:t xml:space="preserve">Koba, </w:t>
            </w:r>
            <w:r w:rsidR="008712CB">
              <w:rPr>
                <w:bCs/>
                <w:color w:val="000000"/>
                <w:sz w:val="18"/>
                <w:szCs w:val="20"/>
              </w:rPr>
              <w:t xml:space="preserve">Bas delta du </w:t>
            </w:r>
            <w:r w:rsidR="00E82CB3">
              <w:rPr>
                <w:bCs/>
                <w:color w:val="000000"/>
                <w:sz w:val="18"/>
                <w:szCs w:val="20"/>
              </w:rPr>
              <w:t>fleuve Sénégal et d</w:t>
            </w:r>
            <w:r w:rsidRPr="00743B0B">
              <w:rPr>
                <w:bCs/>
                <w:color w:val="000000"/>
                <w:sz w:val="18"/>
                <w:szCs w:val="20"/>
              </w:rPr>
              <w:t>elta du Saloum)</w:t>
            </w: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N° du projet</w:t>
            </w:r>
          </w:p>
        </w:tc>
        <w:tc>
          <w:tcPr>
            <w:tcW w:w="9923" w:type="dxa"/>
            <w:vAlign w:val="center"/>
          </w:tcPr>
          <w:p w:rsidR="00743B0B" w:rsidRPr="00743B0B" w:rsidRDefault="00743B0B" w:rsidP="00743B0B">
            <w:pPr>
              <w:rPr>
                <w:sz w:val="18"/>
                <w:szCs w:val="18"/>
              </w:rPr>
            </w:pPr>
            <w:r w:rsidRPr="00743B0B">
              <w:rPr>
                <w:sz w:val="18"/>
                <w:szCs w:val="18"/>
              </w:rPr>
              <w:t>5401</w:t>
            </w: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Emplacement (international/région/pays)</w:t>
            </w:r>
          </w:p>
        </w:tc>
        <w:tc>
          <w:tcPr>
            <w:tcW w:w="9923" w:type="dxa"/>
            <w:vAlign w:val="center"/>
          </w:tcPr>
          <w:p w:rsidR="00743B0B" w:rsidRPr="00743B0B" w:rsidRDefault="00743B0B" w:rsidP="00743B0B">
            <w:pPr>
              <w:rPr>
                <w:sz w:val="18"/>
                <w:szCs w:val="18"/>
              </w:rPr>
            </w:pPr>
            <w:r w:rsidRPr="00743B0B">
              <w:rPr>
                <w:sz w:val="18"/>
                <w:szCs w:val="18"/>
              </w:rPr>
              <w:t>Sénégal</w:t>
            </w:r>
          </w:p>
        </w:tc>
      </w:tr>
    </w:tbl>
    <w:p w:rsidR="00743B0B" w:rsidRPr="00743B0B" w:rsidRDefault="00743B0B" w:rsidP="00743B0B">
      <w:pPr>
        <w:tabs>
          <w:tab w:val="left" w:pos="360"/>
        </w:tabs>
        <w:rPr>
          <w:szCs w:val="20"/>
        </w:rPr>
      </w:pPr>
    </w:p>
    <w:p w:rsidR="00743B0B" w:rsidRPr="00743B0B" w:rsidRDefault="00743B0B" w:rsidP="00743B0B">
      <w:pPr>
        <w:spacing w:before="200"/>
        <w:ind w:left="360"/>
        <w:rPr>
          <w:b/>
          <w:color w:val="2E74B5"/>
          <w:sz w:val="24"/>
        </w:rPr>
      </w:pPr>
      <w:r w:rsidRPr="00743B0B">
        <w:rPr>
          <w:b/>
          <w:color w:val="2E74B5"/>
          <w:sz w:val="24"/>
        </w:rPr>
        <w:t>Partie A. Intégration des principes généraux afin de renforcer la durabilité sociale et environnementale</w:t>
      </w:r>
    </w:p>
    <w:p w:rsidR="00743B0B" w:rsidRPr="00743B0B" w:rsidRDefault="00743B0B" w:rsidP="00743B0B">
      <w:pPr>
        <w:rPr>
          <w:b/>
          <w:szCs w:val="20"/>
        </w:rPr>
      </w:pPr>
    </w:p>
    <w:tbl>
      <w:tblPr>
        <w:tblStyle w:val="Grilledutableau"/>
        <w:tblW w:w="13248" w:type="dxa"/>
        <w:tblLook w:val="04A0" w:firstRow="1" w:lastRow="0" w:firstColumn="1" w:lastColumn="0" w:noHBand="0" w:noVBand="1"/>
      </w:tblPr>
      <w:tblGrid>
        <w:gridCol w:w="13248"/>
      </w:tblGrid>
      <w:tr w:rsidR="00743B0B" w:rsidRPr="00743B0B" w:rsidTr="00743B0B">
        <w:trPr>
          <w:trHeight w:val="449"/>
        </w:trPr>
        <w:tc>
          <w:tcPr>
            <w:tcW w:w="13248" w:type="dxa"/>
            <w:shd w:val="clear" w:color="auto" w:fill="222A35"/>
            <w:vAlign w:val="center"/>
          </w:tcPr>
          <w:p w:rsidR="00743B0B" w:rsidRPr="00743B0B" w:rsidRDefault="00743B0B" w:rsidP="004628C7">
            <w:pPr>
              <w:rPr>
                <w:szCs w:val="20"/>
              </w:rPr>
            </w:pPr>
            <w:r w:rsidRPr="00743B0B">
              <w:rPr>
                <w:b/>
                <w:szCs w:val="20"/>
              </w:rPr>
              <w:t>QUESTION 1</w:t>
            </w:r>
            <w:r w:rsidR="002575A2">
              <w:rPr>
                <w:b/>
                <w:szCs w:val="20"/>
              </w:rPr>
              <w:t> :</w:t>
            </w:r>
            <w:r w:rsidR="00F12E0C">
              <w:rPr>
                <w:b/>
                <w:szCs w:val="20"/>
              </w:rPr>
              <w:t xml:space="preserve"> c</w:t>
            </w:r>
            <w:r w:rsidRPr="00743B0B">
              <w:rPr>
                <w:b/>
                <w:szCs w:val="20"/>
              </w:rPr>
              <w:t>omment le projet intègre-</w:t>
            </w:r>
            <w:r w:rsidR="004628C7">
              <w:rPr>
                <w:b/>
                <w:szCs w:val="20"/>
              </w:rPr>
              <w:t xml:space="preserve">t-il les principes généraux </w:t>
            </w:r>
            <w:r w:rsidRPr="00743B0B">
              <w:rPr>
                <w:b/>
                <w:szCs w:val="20"/>
              </w:rPr>
              <w:t>afin de renforcer la durabilité sociale et environnementale ?</w:t>
            </w:r>
          </w:p>
        </w:tc>
      </w:tr>
      <w:tr w:rsidR="00743B0B" w:rsidRPr="00743B0B" w:rsidTr="00743B0B">
        <w:tc>
          <w:tcPr>
            <w:tcW w:w="13248" w:type="dxa"/>
            <w:shd w:val="clear" w:color="auto" w:fill="D5DCE4"/>
          </w:tcPr>
          <w:p w:rsidR="00743B0B" w:rsidRPr="00743B0B" w:rsidRDefault="00743B0B" w:rsidP="00743B0B">
            <w:pPr>
              <w:tabs>
                <w:tab w:val="left" w:pos="432"/>
              </w:tabs>
              <w:spacing w:before="60"/>
              <w:rPr>
                <w:rFonts w:eastAsia="Times New Roman"/>
                <w:b/>
                <w:i/>
                <w:sz w:val="18"/>
                <w:szCs w:val="18"/>
              </w:rPr>
            </w:pPr>
            <w:r w:rsidRPr="00743B0B">
              <w:rPr>
                <w:b/>
                <w:i/>
                <w:sz w:val="18"/>
                <w:szCs w:val="18"/>
              </w:rPr>
              <w:t xml:space="preserve">Décrivez brièvement ci-dessous la manière dont le projet intègre l’approche axée sur les droits de l’homme. </w:t>
            </w:r>
          </w:p>
        </w:tc>
      </w:tr>
      <w:tr w:rsidR="00743B0B" w:rsidRPr="00743B0B" w:rsidTr="00743B0B">
        <w:tc>
          <w:tcPr>
            <w:tcW w:w="13248" w:type="dxa"/>
          </w:tcPr>
          <w:p w:rsidR="00743B0B" w:rsidRPr="00743B0B" w:rsidRDefault="00743B0B" w:rsidP="004533D6">
            <w:pPr>
              <w:keepNext/>
              <w:keepLines/>
              <w:tabs>
                <w:tab w:val="left" w:pos="432"/>
              </w:tabs>
              <w:spacing w:before="60"/>
              <w:outlineLvl w:val="7"/>
              <w:rPr>
                <w:sz w:val="18"/>
                <w:szCs w:val="18"/>
              </w:rPr>
            </w:pPr>
            <w:r w:rsidRPr="00743B0B">
              <w:rPr>
                <w:sz w:val="18"/>
                <w:szCs w:val="18"/>
              </w:rPr>
              <w:t>Le projet intègre pleinement l’approche axée sur les droits de l’homme, en particulier les principes de participation et d’inclusion, d’égalité et de non-discrimination, de responsabilité et de primauté du droit. La participation de la société civile, y compris les producteurs, les groupements de femmes et les jeunes, sera considérée comme prioritaire lors de la préparation et de la mise en œuvre du projet. Les communes joueront un rôle de plateforme pour renforcer la coordination et soutenir les initiatives de la société civile en matière d’</w:t>
            </w:r>
            <w:r w:rsidR="00537B55">
              <w:rPr>
                <w:sz w:val="18"/>
                <w:szCs w:val="18"/>
              </w:rPr>
              <w:t>adaptation aux changements climatiques</w:t>
            </w:r>
            <w:r w:rsidRPr="00743B0B">
              <w:rPr>
                <w:sz w:val="18"/>
                <w:szCs w:val="18"/>
              </w:rPr>
              <w:t>. Le projet sera pionnier d’un nouveau paradigme pour le développement durable dans les zones rurales</w:t>
            </w:r>
            <w:r w:rsidR="00D2405E">
              <w:rPr>
                <w:sz w:val="18"/>
                <w:szCs w:val="18"/>
              </w:rPr>
              <w:t> ;</w:t>
            </w:r>
            <w:r w:rsidRPr="00743B0B">
              <w:rPr>
                <w:sz w:val="18"/>
                <w:szCs w:val="18"/>
              </w:rPr>
              <w:t xml:space="preserve"> par conséquent, les</w:t>
            </w:r>
            <w:r w:rsidR="004533D6">
              <w:rPr>
                <w:sz w:val="18"/>
                <w:szCs w:val="18"/>
              </w:rPr>
              <w:t xml:space="preserve"> répercussions</w:t>
            </w:r>
            <w:r w:rsidRPr="00743B0B">
              <w:rPr>
                <w:sz w:val="18"/>
                <w:szCs w:val="18"/>
              </w:rPr>
              <w:t xml:space="preserve"> direct</w:t>
            </w:r>
            <w:r w:rsidR="004533D6">
              <w:rPr>
                <w:sz w:val="18"/>
                <w:szCs w:val="18"/>
              </w:rPr>
              <w:t>e</w:t>
            </w:r>
            <w:r w:rsidRPr="00743B0B">
              <w:rPr>
                <w:sz w:val="18"/>
                <w:szCs w:val="18"/>
              </w:rPr>
              <w:t>s seront l’amélioration des moyens de subsistance. Toutes les conséquences sociales du projet devraient être positives. L’approbation des communautés locales et leur soutien aux interventions seront obtenus avant la mise en œuvre.</w:t>
            </w:r>
          </w:p>
        </w:tc>
      </w:tr>
      <w:tr w:rsidR="00743B0B" w:rsidRPr="00743B0B" w:rsidTr="00743B0B">
        <w:trPr>
          <w:trHeight w:val="296"/>
        </w:trPr>
        <w:tc>
          <w:tcPr>
            <w:tcW w:w="13248" w:type="dxa"/>
            <w:shd w:val="clear" w:color="auto" w:fill="D5DCE4"/>
          </w:tcPr>
          <w:p w:rsidR="00743B0B" w:rsidRPr="00743B0B" w:rsidRDefault="00743B0B" w:rsidP="00743B0B">
            <w:pPr>
              <w:spacing w:after="120"/>
              <w:contextualSpacing/>
              <w:rPr>
                <w:b/>
                <w:i/>
                <w:sz w:val="18"/>
                <w:szCs w:val="18"/>
              </w:rPr>
            </w:pPr>
            <w:r w:rsidRPr="00743B0B">
              <w:rPr>
                <w:b/>
                <w:i/>
                <w:sz w:val="18"/>
                <w:szCs w:val="18"/>
              </w:rPr>
              <w:t>Décrivez brièvement dans l’espace ci-dessous la manière dont le projet est susceptible de favoriser l’égalité des sexes et l’autonomisation des femmes</w:t>
            </w:r>
          </w:p>
        </w:tc>
      </w:tr>
      <w:tr w:rsidR="00743B0B" w:rsidRPr="00743B0B" w:rsidTr="00743B0B">
        <w:tc>
          <w:tcPr>
            <w:tcW w:w="13248" w:type="dxa"/>
          </w:tcPr>
          <w:p w:rsidR="00743B0B" w:rsidRPr="00743B0B" w:rsidRDefault="00743B0B" w:rsidP="00743B0B">
            <w:pPr>
              <w:rPr>
                <w:noProof/>
                <w:sz w:val="18"/>
                <w:szCs w:val="18"/>
              </w:rPr>
            </w:pPr>
            <w:r w:rsidRPr="00743B0B">
              <w:rPr>
                <w:sz w:val="18"/>
                <w:szCs w:val="18"/>
              </w:rPr>
              <w:t xml:space="preserve">Lors de la phase de préparation du projet, une attention particulière </w:t>
            </w:r>
            <w:r w:rsidR="00A33495">
              <w:rPr>
                <w:sz w:val="18"/>
                <w:szCs w:val="18"/>
              </w:rPr>
              <w:t>a</w:t>
            </w:r>
            <w:r w:rsidRPr="00743B0B">
              <w:rPr>
                <w:sz w:val="18"/>
                <w:szCs w:val="18"/>
              </w:rPr>
              <w:t xml:space="preserve"> été accordée aux femmes et aux filles, qui sont confrontées à des défis multiples et croisés liés </w:t>
            </w:r>
            <w:r w:rsidR="00F22AF3">
              <w:rPr>
                <w:sz w:val="18"/>
                <w:szCs w:val="18"/>
              </w:rPr>
              <w:t>aux changements climatiques</w:t>
            </w:r>
            <w:r w:rsidRPr="00743B0B">
              <w:rPr>
                <w:sz w:val="18"/>
                <w:szCs w:val="18"/>
              </w:rPr>
              <w:t>. Au Sénégal, les femmes sont affectées par l’inégalité des droits et de l’accès aux ressources (terre, ressources financières, capital productif) et de pouvoir dans la prise de décision en raison de l’organisation socioculturelle existante. Dans ce pays, 30 % des ménages vivent en</w:t>
            </w:r>
            <w:r w:rsidR="00A33495">
              <w:rPr>
                <w:sz w:val="18"/>
                <w:szCs w:val="18"/>
              </w:rPr>
              <w:t xml:space="preserve"> </w:t>
            </w:r>
            <w:r w:rsidRPr="00743B0B">
              <w:rPr>
                <w:sz w:val="18"/>
                <w:szCs w:val="18"/>
              </w:rPr>
              <w:t>dessous du seuil de pauvreté (soit moins de 2 400 calories par jour) et les femmes et les jeunes sont les plus touchés. Le projet appuie une approche pour le développement tenant compte des disparités entre les sexes de afin d’assurer des opportunités, des ressources, des avantages et des stratégies d’</w:t>
            </w:r>
            <w:r w:rsidR="00537B55">
              <w:rPr>
                <w:sz w:val="18"/>
                <w:szCs w:val="18"/>
              </w:rPr>
              <w:t>adaptation aux changements climatiques</w:t>
            </w:r>
            <w:r w:rsidRPr="00743B0B">
              <w:rPr>
                <w:sz w:val="18"/>
                <w:szCs w:val="18"/>
              </w:rPr>
              <w:t xml:space="preserve"> partagés sur un pied d’égalité entre les groupes sociaux dans les zones cibles. Divers outils et stratégies ont été développés pour atteindre cet objectif. Des indicateurs et des objectifs tenant compte des disparités entre les sexes ont été élaborés pour suivre l’avancement du projet financé par le Fonds pour les PMA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tc>
      </w:tr>
      <w:tr w:rsidR="00743B0B" w:rsidRPr="00743B0B" w:rsidTr="00743B0B">
        <w:trPr>
          <w:trHeight w:val="305"/>
        </w:trPr>
        <w:tc>
          <w:tcPr>
            <w:tcW w:w="13248" w:type="dxa"/>
            <w:shd w:val="clear" w:color="auto" w:fill="D5DCE4"/>
          </w:tcPr>
          <w:p w:rsidR="00743B0B" w:rsidRPr="00743B0B" w:rsidRDefault="00743B0B" w:rsidP="00743B0B">
            <w:pPr>
              <w:spacing w:after="120"/>
              <w:contextualSpacing/>
              <w:rPr>
                <w:b/>
                <w:i/>
                <w:sz w:val="18"/>
                <w:szCs w:val="18"/>
                <w:u w:val="single"/>
              </w:rPr>
            </w:pPr>
            <w:r w:rsidRPr="00743B0B">
              <w:rPr>
                <w:b/>
                <w:i/>
                <w:sz w:val="18"/>
                <w:szCs w:val="18"/>
              </w:rPr>
              <w:t>Décrivez brièvement ci-dessous la manière dont le projet intègre la durabilité environnementale.</w:t>
            </w:r>
          </w:p>
        </w:tc>
      </w:tr>
      <w:tr w:rsidR="00743B0B" w:rsidRPr="00743B0B" w:rsidTr="00743B0B">
        <w:tc>
          <w:tcPr>
            <w:tcW w:w="13248" w:type="dxa"/>
          </w:tcPr>
          <w:p w:rsidR="00743B0B" w:rsidRPr="00743B0B" w:rsidRDefault="00743B0B" w:rsidP="00743B0B">
            <w:pPr>
              <w:tabs>
                <w:tab w:val="left" w:pos="432"/>
              </w:tabs>
              <w:spacing w:before="60"/>
              <w:rPr>
                <w:sz w:val="18"/>
                <w:szCs w:val="18"/>
              </w:rPr>
            </w:pPr>
            <w:r w:rsidRPr="00743B0B">
              <w:rPr>
                <w:sz w:val="18"/>
                <w:szCs w:val="18"/>
              </w:rPr>
              <w:t>Le problème environnemental mondial que le projet entend résoudre est l’adaptation des populations dans les communes entourant les réserves naturelles communautaires du Sénégal. Il réduira la vulnérabilité des communautés à la variabilité du climat et aux effets du changement climatique à travers le développement d’activités résilientes et la diffusion des meilleures pratiques. Il comprend la promotion de solutions pour lutter contre l’érosion des terres, la salinisation, la dégradation des forêts et pour améliorer la gestion des terres. Le reverdissement des terres dégradées protégera les ressources naturelles et les moyens de subsistance contre les effets du changement climatique. On n’attend que des effets positifs sur l’habitat et la biodiversité des activités de reverdissement. Le fonctionnement de l’écosystème par exemple sera favorisé par les activités</w:t>
            </w:r>
            <w:r w:rsidR="00A33495">
              <w:rPr>
                <w:sz w:val="18"/>
                <w:szCs w:val="18"/>
              </w:rPr>
              <w:t xml:space="preserve">, </w:t>
            </w:r>
            <w:r w:rsidRPr="00743B0B">
              <w:rPr>
                <w:sz w:val="18"/>
                <w:szCs w:val="18"/>
              </w:rPr>
              <w:t>car elles se concentreront sur la stabilisation des sols, amélioreront l’infiltration d’eau et restaureront la végétation naturelle. Les terres reboisées seront moins vulnérables à la dégradation par des pluies intenses. Les espèces indigènes seront également préférées pour maximiser les effets positifs sur l’environnement. Enfin, l’augmentation de la biomasse résultant du reverdissement contribuera à la séquestration du carbone.</w:t>
            </w:r>
          </w:p>
        </w:tc>
      </w:tr>
    </w:tbl>
    <w:p w:rsidR="00743B0B" w:rsidRPr="00743B0B" w:rsidRDefault="00743B0B" w:rsidP="00743B0B">
      <w:pPr>
        <w:rPr>
          <w:b/>
          <w:szCs w:val="20"/>
        </w:rPr>
      </w:pPr>
    </w:p>
    <w:p w:rsidR="00743B0B" w:rsidRPr="00743B0B" w:rsidRDefault="00743B0B" w:rsidP="00743B0B">
      <w:pPr>
        <w:keepNext/>
        <w:spacing w:before="200"/>
        <w:ind w:left="360"/>
        <w:rPr>
          <w:b/>
          <w:color w:val="2E74B5"/>
          <w:sz w:val="24"/>
        </w:rPr>
      </w:pPr>
      <w:r w:rsidRPr="00743B0B">
        <w:rPr>
          <w:b/>
          <w:color w:val="2E74B5"/>
          <w:sz w:val="24"/>
        </w:rPr>
        <w:t>Partie B. Identifier et gérer les risques sociaux et environnementaux</w:t>
      </w:r>
    </w:p>
    <w:p w:rsidR="00743B0B" w:rsidRPr="00743B0B" w:rsidRDefault="00743B0B" w:rsidP="00743B0B">
      <w:pPr>
        <w:keepNext/>
        <w:rPr>
          <w:b/>
          <w:szCs w:val="20"/>
        </w:rPr>
      </w:pPr>
    </w:p>
    <w:tbl>
      <w:tblPr>
        <w:tblStyle w:val="Grilledutableau"/>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743B0B" w:rsidRPr="00743B0B" w:rsidTr="00743B0B">
        <w:trPr>
          <w:trHeight w:val="1061"/>
        </w:trPr>
        <w:tc>
          <w:tcPr>
            <w:tcW w:w="3510" w:type="dxa"/>
            <w:shd w:val="clear" w:color="auto" w:fill="222A35"/>
          </w:tcPr>
          <w:p w:rsidR="00743B0B" w:rsidRPr="00743B0B" w:rsidRDefault="00743B0B" w:rsidP="00743B0B">
            <w:pPr>
              <w:keepNext/>
              <w:tabs>
                <w:tab w:val="left" w:pos="101"/>
              </w:tabs>
              <w:ind w:right="252" w:firstLine="11"/>
              <w:rPr>
                <w:b/>
                <w:szCs w:val="20"/>
              </w:rPr>
            </w:pPr>
            <w:r w:rsidRPr="00743B0B">
              <w:rPr>
                <w:b/>
                <w:szCs w:val="20"/>
              </w:rPr>
              <w:t>QUESTION 2</w:t>
            </w:r>
            <w:r w:rsidR="002575A2">
              <w:rPr>
                <w:b/>
                <w:szCs w:val="20"/>
              </w:rPr>
              <w:t> :</w:t>
            </w:r>
            <w:r w:rsidR="006F1C40">
              <w:rPr>
                <w:b/>
                <w:szCs w:val="20"/>
              </w:rPr>
              <w:t xml:space="preserve"> q</w:t>
            </w:r>
            <w:r w:rsidRPr="00743B0B">
              <w:rPr>
                <w:b/>
                <w:szCs w:val="20"/>
              </w:rPr>
              <w:t xml:space="preserve">uels sont les risques sociaux et environnementaux potentiels ? </w:t>
            </w:r>
          </w:p>
          <w:p w:rsidR="00743B0B" w:rsidRPr="00743B0B" w:rsidRDefault="00743B0B" w:rsidP="00743B0B">
            <w:pPr>
              <w:keepNext/>
              <w:tabs>
                <w:tab w:val="left" w:pos="101"/>
              </w:tabs>
              <w:ind w:right="252" w:firstLine="11"/>
              <w:rPr>
                <w:b/>
                <w:szCs w:val="20"/>
              </w:rPr>
            </w:pPr>
            <w:r w:rsidRPr="00743B0B">
              <w:rPr>
                <w:i/>
                <w:sz w:val="18"/>
                <w:szCs w:val="18"/>
              </w:rPr>
              <w:t>Remarque</w:t>
            </w:r>
            <w:r w:rsidR="002575A2">
              <w:rPr>
                <w:i/>
                <w:sz w:val="18"/>
                <w:szCs w:val="18"/>
              </w:rPr>
              <w:t> :</w:t>
            </w:r>
            <w:r w:rsidR="006F1C40">
              <w:rPr>
                <w:i/>
                <w:sz w:val="18"/>
                <w:szCs w:val="18"/>
              </w:rPr>
              <w:t xml:space="preserve"> d</w:t>
            </w:r>
            <w:r w:rsidRPr="00743B0B">
              <w:rPr>
                <w:i/>
                <w:sz w:val="18"/>
                <w:szCs w:val="18"/>
              </w:rPr>
              <w:t>écrivez brièvement les risques sociaux et environnementaux potentiels identifiés dans l’annexe 1 – Liste de contrôle de l’examen préalable des risques (sur la base de toute réponse « Oui »). Les risques doivent être identifiés comme si aucune mesure d’atténuation ou de gestion ne devait être mise en place. Si aucun risque n’a été identifié dans l’annexe 1</w:t>
            </w:r>
            <w:r w:rsidR="00A33495">
              <w:rPr>
                <w:i/>
                <w:sz w:val="18"/>
                <w:szCs w:val="18"/>
              </w:rPr>
              <w:t xml:space="preserve">, </w:t>
            </w:r>
            <w:r w:rsidRPr="00743B0B">
              <w:rPr>
                <w:i/>
                <w:sz w:val="18"/>
                <w:szCs w:val="18"/>
              </w:rPr>
              <w:t>alors notez « Aucun risque identifié </w:t>
            </w:r>
            <w:r w:rsidR="00B26A00" w:rsidRPr="00743B0B">
              <w:rPr>
                <w:i/>
                <w:sz w:val="18"/>
                <w:szCs w:val="18"/>
              </w:rPr>
              <w:t>»</w:t>
            </w:r>
            <w:r w:rsidRPr="00743B0B">
              <w:rPr>
                <w:i/>
                <w:sz w:val="18"/>
                <w:szCs w:val="18"/>
              </w:rPr>
              <w:t xml:space="preserve"> et passez à la question 4 et sélectionnez « Risque faible ». Les questions 5 et 6 sont facultatives pour les Projets à faible risque.</w:t>
            </w:r>
          </w:p>
        </w:tc>
        <w:tc>
          <w:tcPr>
            <w:tcW w:w="4860" w:type="dxa"/>
            <w:gridSpan w:val="4"/>
            <w:shd w:val="clear" w:color="auto" w:fill="222A35"/>
          </w:tcPr>
          <w:p w:rsidR="00743B0B" w:rsidRPr="00743B0B" w:rsidRDefault="00743B0B" w:rsidP="00743B0B">
            <w:pPr>
              <w:keepNext/>
              <w:tabs>
                <w:tab w:val="left" w:pos="101"/>
              </w:tabs>
              <w:ind w:right="252" w:firstLine="11"/>
              <w:rPr>
                <w:b/>
                <w:szCs w:val="20"/>
              </w:rPr>
            </w:pPr>
            <w:r w:rsidRPr="00743B0B">
              <w:rPr>
                <w:b/>
                <w:szCs w:val="20"/>
              </w:rPr>
              <w:t>QUESTION 3</w:t>
            </w:r>
            <w:r w:rsidR="002575A2">
              <w:rPr>
                <w:b/>
                <w:szCs w:val="20"/>
              </w:rPr>
              <w:t> :</w:t>
            </w:r>
            <w:r w:rsidR="006F1C40">
              <w:rPr>
                <w:b/>
                <w:szCs w:val="20"/>
              </w:rPr>
              <w:t xml:space="preserve"> q</w:t>
            </w:r>
            <w:r w:rsidRPr="00743B0B">
              <w:rPr>
                <w:b/>
                <w:szCs w:val="20"/>
              </w:rPr>
              <w:t>uelle est l’ampleur des risques sociaux et environnementaux potentiels</w:t>
            </w:r>
            <w:r w:rsidR="00A72504">
              <w:rPr>
                <w:b/>
                <w:szCs w:val="20"/>
              </w:rPr>
              <w:t> </w:t>
            </w:r>
            <w:r w:rsidRPr="00743B0B">
              <w:rPr>
                <w:b/>
                <w:szCs w:val="20"/>
              </w:rPr>
              <w:t>?</w:t>
            </w:r>
          </w:p>
          <w:p w:rsidR="00743B0B" w:rsidRPr="00743B0B" w:rsidRDefault="00743B0B" w:rsidP="00743B0B">
            <w:pPr>
              <w:keepNext/>
              <w:tabs>
                <w:tab w:val="left" w:pos="432"/>
              </w:tabs>
              <w:rPr>
                <w:b/>
                <w:szCs w:val="20"/>
              </w:rPr>
            </w:pPr>
            <w:r w:rsidRPr="00743B0B">
              <w:rPr>
                <w:i/>
                <w:sz w:val="18"/>
                <w:szCs w:val="18"/>
              </w:rPr>
              <w:t>Remarque</w:t>
            </w:r>
            <w:r w:rsidR="002575A2">
              <w:rPr>
                <w:i/>
                <w:sz w:val="18"/>
                <w:szCs w:val="18"/>
              </w:rPr>
              <w:t> :</w:t>
            </w:r>
            <w:r w:rsidR="006F1C40">
              <w:rPr>
                <w:i/>
                <w:sz w:val="18"/>
                <w:szCs w:val="18"/>
              </w:rPr>
              <w:t xml:space="preserve"> r</w:t>
            </w:r>
            <w:r w:rsidRPr="00743B0B">
              <w:rPr>
                <w:i/>
                <w:sz w:val="18"/>
                <w:szCs w:val="18"/>
              </w:rPr>
              <w:t>épondre aux questions 4 et 5 ci-dessous avant de passer à la question 6</w:t>
            </w:r>
          </w:p>
        </w:tc>
        <w:tc>
          <w:tcPr>
            <w:tcW w:w="4770" w:type="dxa"/>
            <w:gridSpan w:val="2"/>
            <w:shd w:val="clear" w:color="auto" w:fill="222A35"/>
          </w:tcPr>
          <w:p w:rsidR="00743B0B" w:rsidRPr="00743B0B" w:rsidRDefault="00743B0B" w:rsidP="00743B0B">
            <w:pPr>
              <w:keepNext/>
              <w:tabs>
                <w:tab w:val="left" w:pos="432"/>
              </w:tabs>
              <w:rPr>
                <w:b/>
                <w:szCs w:val="20"/>
              </w:rPr>
            </w:pPr>
            <w:r w:rsidRPr="00743B0B">
              <w:rPr>
                <w:b/>
                <w:szCs w:val="20"/>
              </w:rPr>
              <w:t>QUESTION 6</w:t>
            </w:r>
            <w:r w:rsidR="002575A2">
              <w:rPr>
                <w:b/>
                <w:szCs w:val="20"/>
              </w:rPr>
              <w:t> :</w:t>
            </w:r>
            <w:r w:rsidR="006F1C40">
              <w:rPr>
                <w:b/>
                <w:szCs w:val="20"/>
              </w:rPr>
              <w:t xml:space="preserve"> q</w:t>
            </w:r>
            <w:r w:rsidRPr="00743B0B">
              <w:rPr>
                <w:b/>
                <w:szCs w:val="20"/>
              </w:rPr>
              <w:t>uelles évaluation</w:t>
            </w:r>
            <w:r w:rsidR="00A33495">
              <w:rPr>
                <w:b/>
                <w:szCs w:val="20"/>
              </w:rPr>
              <w:t xml:space="preserve">s </w:t>
            </w:r>
            <w:r w:rsidRPr="00743B0B">
              <w:rPr>
                <w:b/>
                <w:szCs w:val="20"/>
              </w:rPr>
              <w:t>sociale</w:t>
            </w:r>
            <w:r w:rsidR="00A33495">
              <w:rPr>
                <w:b/>
                <w:szCs w:val="20"/>
              </w:rPr>
              <w:t xml:space="preserve">s </w:t>
            </w:r>
            <w:r w:rsidRPr="00743B0B">
              <w:rPr>
                <w:b/>
                <w:szCs w:val="20"/>
              </w:rPr>
              <w:t>et environnementale</w:t>
            </w:r>
            <w:r w:rsidR="00A33495">
              <w:rPr>
                <w:b/>
                <w:szCs w:val="20"/>
              </w:rPr>
              <w:t xml:space="preserve">s </w:t>
            </w:r>
            <w:r w:rsidRPr="00743B0B">
              <w:rPr>
                <w:b/>
                <w:szCs w:val="20"/>
              </w:rPr>
              <w:t>et mesures de gestion ont été mises en œuvre et/ou sont requises pour s’atteler aux éventuels risques (pour les projets à risque modéré ou à haut risque) ?</w:t>
            </w:r>
          </w:p>
        </w:tc>
      </w:tr>
      <w:tr w:rsidR="00743B0B" w:rsidRPr="00743B0B" w:rsidTr="00743B0B">
        <w:tc>
          <w:tcPr>
            <w:tcW w:w="3510" w:type="dxa"/>
            <w:shd w:val="clear" w:color="auto" w:fill="D5DCE4"/>
          </w:tcPr>
          <w:p w:rsidR="00743B0B" w:rsidRPr="00743B0B" w:rsidRDefault="00743B0B" w:rsidP="00743B0B">
            <w:pPr>
              <w:rPr>
                <w:b/>
                <w:i/>
                <w:sz w:val="18"/>
                <w:szCs w:val="18"/>
              </w:rPr>
            </w:pPr>
            <w:r w:rsidRPr="00743B0B">
              <w:rPr>
                <w:b/>
                <w:i/>
                <w:sz w:val="18"/>
                <w:szCs w:val="18"/>
              </w:rPr>
              <w:t>Description de risques</w:t>
            </w:r>
          </w:p>
        </w:tc>
        <w:tc>
          <w:tcPr>
            <w:tcW w:w="1080" w:type="dxa"/>
            <w:shd w:val="clear" w:color="auto" w:fill="D5DCE4"/>
          </w:tcPr>
          <w:p w:rsidR="00743B0B" w:rsidRPr="00743B0B" w:rsidRDefault="00743B0B" w:rsidP="00743B0B">
            <w:pPr>
              <w:rPr>
                <w:b/>
                <w:i/>
                <w:sz w:val="18"/>
                <w:szCs w:val="18"/>
              </w:rPr>
            </w:pPr>
            <w:r w:rsidRPr="00743B0B">
              <w:rPr>
                <w:b/>
                <w:i/>
                <w:sz w:val="18"/>
                <w:szCs w:val="18"/>
              </w:rPr>
              <w:t>Impact et probabilité (1 à 5)</w:t>
            </w:r>
          </w:p>
        </w:tc>
        <w:tc>
          <w:tcPr>
            <w:tcW w:w="1170" w:type="dxa"/>
            <w:shd w:val="clear" w:color="auto" w:fill="D5DCE4"/>
          </w:tcPr>
          <w:p w:rsidR="00743B0B" w:rsidRPr="00743B0B" w:rsidRDefault="00743B0B" w:rsidP="00743B0B">
            <w:pPr>
              <w:rPr>
                <w:b/>
                <w:i/>
                <w:sz w:val="18"/>
                <w:szCs w:val="18"/>
              </w:rPr>
            </w:pPr>
            <w:r w:rsidRPr="00743B0B">
              <w:rPr>
                <w:b/>
                <w:i/>
                <w:sz w:val="18"/>
                <w:szCs w:val="18"/>
              </w:rPr>
              <w:t>Ampleur</w:t>
            </w:r>
          </w:p>
          <w:p w:rsidR="00743B0B" w:rsidRPr="00743B0B" w:rsidRDefault="00743B0B" w:rsidP="00743B0B">
            <w:pPr>
              <w:rPr>
                <w:b/>
                <w:i/>
                <w:sz w:val="18"/>
                <w:szCs w:val="18"/>
              </w:rPr>
            </w:pPr>
            <w:r w:rsidRPr="00743B0B">
              <w:rPr>
                <w:b/>
                <w:i/>
                <w:sz w:val="18"/>
                <w:szCs w:val="18"/>
              </w:rPr>
              <w:t>(Faible, modéré, grande)</w:t>
            </w:r>
          </w:p>
        </w:tc>
        <w:tc>
          <w:tcPr>
            <w:tcW w:w="2610" w:type="dxa"/>
            <w:gridSpan w:val="2"/>
            <w:shd w:val="clear" w:color="auto" w:fill="D5DCE4"/>
          </w:tcPr>
          <w:p w:rsidR="00743B0B" w:rsidRPr="00743B0B" w:rsidRDefault="00743B0B" w:rsidP="00743B0B">
            <w:pPr>
              <w:rPr>
                <w:b/>
                <w:i/>
                <w:sz w:val="18"/>
                <w:szCs w:val="18"/>
              </w:rPr>
            </w:pPr>
            <w:r w:rsidRPr="00743B0B">
              <w:rPr>
                <w:b/>
                <w:i/>
                <w:sz w:val="18"/>
                <w:szCs w:val="18"/>
              </w:rPr>
              <w:t>Observations</w:t>
            </w:r>
          </w:p>
        </w:tc>
        <w:tc>
          <w:tcPr>
            <w:tcW w:w="4770" w:type="dxa"/>
            <w:gridSpan w:val="2"/>
            <w:shd w:val="clear" w:color="auto" w:fill="D5DCE4"/>
          </w:tcPr>
          <w:p w:rsidR="00743B0B" w:rsidRPr="00743B0B" w:rsidRDefault="00743B0B" w:rsidP="006F1C40">
            <w:pPr>
              <w:rPr>
                <w:b/>
                <w:i/>
                <w:sz w:val="18"/>
                <w:szCs w:val="18"/>
              </w:rPr>
            </w:pPr>
            <w:r w:rsidRPr="00743B0B">
              <w:rPr>
                <w:b/>
                <w:i/>
                <w:sz w:val="18"/>
                <w:szCs w:val="18"/>
              </w:rPr>
              <w:t>Description de l’évaluation et des mesures de gestion telles que mentionnées dans la con</w:t>
            </w:r>
            <w:r w:rsidR="006F1C40">
              <w:rPr>
                <w:b/>
                <w:i/>
                <w:sz w:val="18"/>
                <w:szCs w:val="18"/>
              </w:rPr>
              <w:t xml:space="preserve">ception du projet. </w:t>
            </w:r>
            <w:r w:rsidRPr="00743B0B">
              <w:rPr>
                <w:b/>
                <w:i/>
                <w:sz w:val="18"/>
                <w:szCs w:val="18"/>
              </w:rPr>
              <w:t>Si aucune EIES ou ESES n’est requise, l’évaluation doit prendr</w:t>
            </w:r>
            <w:r w:rsidR="006F1C40">
              <w:rPr>
                <w:b/>
                <w:i/>
                <w:sz w:val="18"/>
                <w:szCs w:val="18"/>
              </w:rPr>
              <w:t>e en compte tous les risques et toutes les incidences</w:t>
            </w:r>
            <w:r w:rsidRPr="00743B0B">
              <w:rPr>
                <w:b/>
                <w:i/>
                <w:sz w:val="18"/>
                <w:szCs w:val="18"/>
              </w:rPr>
              <w:t xml:space="preserve"> potentiels.</w:t>
            </w:r>
          </w:p>
        </w:tc>
      </w:tr>
      <w:tr w:rsidR="00743B0B" w:rsidRPr="00743B0B" w:rsidTr="00743B0B">
        <w:tc>
          <w:tcPr>
            <w:tcW w:w="3510" w:type="dxa"/>
            <w:vAlign w:val="center"/>
          </w:tcPr>
          <w:p w:rsidR="00743B0B" w:rsidRPr="00743B0B" w:rsidRDefault="00743B0B" w:rsidP="00743B0B">
            <w:pPr>
              <w:rPr>
                <w:sz w:val="18"/>
                <w:szCs w:val="18"/>
              </w:rPr>
            </w:pPr>
            <w:r w:rsidRPr="00743B0B">
              <w:rPr>
                <w:sz w:val="18"/>
                <w:szCs w:val="18"/>
              </w:rPr>
              <w:t>Risque 1</w:t>
            </w:r>
            <w:r w:rsidR="002575A2">
              <w:rPr>
                <w:sz w:val="18"/>
                <w:szCs w:val="18"/>
              </w:rPr>
              <w:t> :</w:t>
            </w:r>
            <w:r w:rsidR="006F1C40">
              <w:rPr>
                <w:sz w:val="18"/>
                <w:szCs w:val="18"/>
              </w:rPr>
              <w:t xml:space="preserve"> l</w:t>
            </w:r>
            <w:r w:rsidRPr="00743B0B">
              <w:rPr>
                <w:sz w:val="18"/>
                <w:szCs w:val="18"/>
              </w:rPr>
              <w:t>e projet pourrait reproduire des discriminations à l’égard des femmes et des filles.</w:t>
            </w:r>
          </w:p>
        </w:tc>
        <w:tc>
          <w:tcPr>
            <w:tcW w:w="1080" w:type="dxa"/>
          </w:tcPr>
          <w:p w:rsidR="00743B0B" w:rsidRPr="00743B0B" w:rsidRDefault="00743B0B" w:rsidP="00743B0B">
            <w:pPr>
              <w:rPr>
                <w:rFonts w:cs="Minion Pro"/>
                <w:sz w:val="18"/>
                <w:szCs w:val="18"/>
              </w:rPr>
            </w:pPr>
            <w:r w:rsidRPr="00743B0B">
              <w:rPr>
                <w:sz w:val="18"/>
                <w:szCs w:val="18"/>
              </w:rPr>
              <w:t>I = 3</w:t>
            </w:r>
          </w:p>
          <w:p w:rsidR="00743B0B" w:rsidRPr="00743B0B" w:rsidRDefault="00743B0B" w:rsidP="00743B0B">
            <w:pPr>
              <w:rPr>
                <w:rFonts w:cs="Minion Pro"/>
                <w:sz w:val="18"/>
                <w:szCs w:val="18"/>
              </w:rPr>
            </w:pPr>
            <w:r w:rsidRPr="00743B0B">
              <w:rPr>
                <w:sz w:val="18"/>
                <w:szCs w:val="18"/>
              </w:rPr>
              <w:t>P = 3</w:t>
            </w:r>
          </w:p>
        </w:tc>
        <w:tc>
          <w:tcPr>
            <w:tcW w:w="1170" w:type="dxa"/>
          </w:tcPr>
          <w:p w:rsidR="00743B0B" w:rsidRPr="00743B0B" w:rsidRDefault="00743B0B" w:rsidP="00743B0B">
            <w:pPr>
              <w:rPr>
                <w:b/>
                <w:sz w:val="18"/>
                <w:szCs w:val="18"/>
              </w:rPr>
            </w:pPr>
            <w:r w:rsidRPr="00743B0B">
              <w:rPr>
                <w:b/>
                <w:sz w:val="18"/>
                <w:szCs w:val="18"/>
              </w:rPr>
              <w:t>Modéré</w:t>
            </w:r>
          </w:p>
        </w:tc>
        <w:tc>
          <w:tcPr>
            <w:tcW w:w="2610" w:type="dxa"/>
            <w:gridSpan w:val="2"/>
          </w:tcPr>
          <w:p w:rsidR="00743B0B" w:rsidRPr="00743B0B" w:rsidRDefault="00743B0B" w:rsidP="00743B0B">
            <w:pPr>
              <w:rPr>
                <w:b/>
                <w:sz w:val="18"/>
                <w:szCs w:val="18"/>
              </w:rPr>
            </w:pPr>
          </w:p>
        </w:tc>
        <w:tc>
          <w:tcPr>
            <w:tcW w:w="4770" w:type="dxa"/>
            <w:gridSpan w:val="2"/>
          </w:tcPr>
          <w:p w:rsidR="00743B0B" w:rsidRPr="00743B0B" w:rsidRDefault="00743B0B" w:rsidP="00743B0B">
            <w:pPr>
              <w:rPr>
                <w:sz w:val="18"/>
                <w:szCs w:val="18"/>
              </w:rPr>
            </w:pPr>
            <w:r w:rsidRPr="00743B0B">
              <w:rPr>
                <w:sz w:val="18"/>
                <w:szCs w:val="18"/>
              </w:rPr>
              <w:t>Le projet soutient une approche au développement tenant compte des disparités entre les sexes</w:t>
            </w:r>
            <w:r w:rsidR="002575A2">
              <w:rPr>
                <w:sz w:val="18"/>
                <w:szCs w:val="18"/>
              </w:rPr>
              <w:t> :</w:t>
            </w:r>
            <w:r w:rsidRPr="00743B0B">
              <w:rPr>
                <w:sz w:val="18"/>
                <w:szCs w:val="18"/>
              </w:rPr>
              <w:t xml:space="preserve"> Des indicateurs et des objectifs tenant compte des disparités entre les sexes ont été élaborés pour suivre l’avancement du projet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tc>
      </w:tr>
      <w:tr w:rsidR="00743B0B" w:rsidRPr="00743B0B" w:rsidTr="00743B0B">
        <w:tc>
          <w:tcPr>
            <w:tcW w:w="3510" w:type="dxa"/>
            <w:vAlign w:val="center"/>
          </w:tcPr>
          <w:p w:rsidR="00743B0B" w:rsidRPr="00743B0B" w:rsidRDefault="00743B0B" w:rsidP="00743B0B">
            <w:pPr>
              <w:rPr>
                <w:sz w:val="18"/>
                <w:szCs w:val="18"/>
              </w:rPr>
            </w:pPr>
            <w:r w:rsidRPr="00743B0B">
              <w:rPr>
                <w:sz w:val="18"/>
                <w:szCs w:val="18"/>
              </w:rPr>
              <w:t>Risque 2</w:t>
            </w:r>
            <w:r w:rsidR="002575A2">
              <w:rPr>
                <w:sz w:val="18"/>
                <w:szCs w:val="18"/>
              </w:rPr>
              <w:t> :</w:t>
            </w:r>
            <w:r w:rsidR="006F1C40">
              <w:rPr>
                <w:sz w:val="18"/>
                <w:szCs w:val="18"/>
              </w:rPr>
              <w:t xml:space="preserve"> l</w:t>
            </w:r>
            <w:r w:rsidRPr="00743B0B">
              <w:rPr>
                <w:sz w:val="18"/>
                <w:szCs w:val="18"/>
              </w:rPr>
              <w:t>e projet pourrait favoriser la récolte non durable de plantations et/ou de ressources naturelles.</w:t>
            </w:r>
          </w:p>
        </w:tc>
        <w:tc>
          <w:tcPr>
            <w:tcW w:w="1080" w:type="dxa"/>
          </w:tcPr>
          <w:p w:rsidR="00743B0B" w:rsidRPr="00743B0B" w:rsidRDefault="00743B0B" w:rsidP="00743B0B">
            <w:pPr>
              <w:rPr>
                <w:rFonts w:cs="Minion Pro"/>
                <w:sz w:val="18"/>
                <w:szCs w:val="18"/>
              </w:rPr>
            </w:pPr>
            <w:r w:rsidRPr="00743B0B">
              <w:rPr>
                <w:sz w:val="18"/>
                <w:szCs w:val="18"/>
              </w:rPr>
              <w:t>I = 3</w:t>
            </w:r>
          </w:p>
          <w:p w:rsidR="00743B0B" w:rsidRPr="00743B0B" w:rsidRDefault="00743B0B" w:rsidP="00743B0B">
            <w:pPr>
              <w:rPr>
                <w:rFonts w:cs="Minion Pro"/>
                <w:sz w:val="18"/>
                <w:szCs w:val="18"/>
              </w:rPr>
            </w:pPr>
            <w:r w:rsidRPr="00743B0B">
              <w:rPr>
                <w:sz w:val="18"/>
                <w:szCs w:val="18"/>
              </w:rPr>
              <w:t>P = 1</w:t>
            </w:r>
          </w:p>
        </w:tc>
        <w:tc>
          <w:tcPr>
            <w:tcW w:w="1170" w:type="dxa"/>
          </w:tcPr>
          <w:p w:rsidR="00743B0B" w:rsidRPr="00743B0B" w:rsidRDefault="00743B0B" w:rsidP="00743B0B">
            <w:pPr>
              <w:rPr>
                <w:b/>
                <w:sz w:val="18"/>
                <w:szCs w:val="18"/>
              </w:rPr>
            </w:pPr>
            <w:r w:rsidRPr="00743B0B">
              <w:rPr>
                <w:b/>
                <w:sz w:val="18"/>
                <w:szCs w:val="18"/>
              </w:rPr>
              <w:t>Faible</w:t>
            </w:r>
          </w:p>
        </w:tc>
        <w:tc>
          <w:tcPr>
            <w:tcW w:w="2610" w:type="dxa"/>
            <w:gridSpan w:val="2"/>
          </w:tcPr>
          <w:p w:rsidR="00743B0B" w:rsidRPr="00743B0B" w:rsidRDefault="00743B0B" w:rsidP="00743B0B">
            <w:pPr>
              <w:rPr>
                <w:b/>
                <w:sz w:val="18"/>
                <w:szCs w:val="18"/>
              </w:rPr>
            </w:pPr>
          </w:p>
        </w:tc>
        <w:tc>
          <w:tcPr>
            <w:tcW w:w="4770" w:type="dxa"/>
            <w:gridSpan w:val="2"/>
          </w:tcPr>
          <w:p w:rsidR="00743B0B" w:rsidRPr="00743B0B" w:rsidRDefault="00743B0B" w:rsidP="00743B0B">
            <w:pPr>
              <w:rPr>
                <w:sz w:val="18"/>
                <w:szCs w:val="18"/>
              </w:rPr>
            </w:pPr>
            <w:r w:rsidRPr="00743B0B">
              <w:rPr>
                <w:sz w:val="18"/>
                <w:szCs w:val="18"/>
              </w:rPr>
              <w:t xml:space="preserve">Le projet améliorera ou développera plusieurs chaînes de valeur résilientes telles que la gomme arabique, le sel ou les fruits de mer. Ces activités seront réalisées dans le cadre de plans de gestion des RNC/UP. Le potentiel des ressources naturelles a été évalué (ou l’évaluation sera réalisée au début du projet). Ces activités respecteront donc les modèles de développement durable. </w:t>
            </w:r>
          </w:p>
        </w:tc>
      </w:tr>
      <w:tr w:rsidR="00743B0B" w:rsidRPr="00743B0B" w:rsidTr="00743B0B">
        <w:trPr>
          <w:trHeight w:val="593"/>
        </w:trPr>
        <w:tc>
          <w:tcPr>
            <w:tcW w:w="3510" w:type="dxa"/>
            <w:vMerge w:val="restart"/>
          </w:tcPr>
          <w:p w:rsidR="00743B0B" w:rsidRPr="00743B0B" w:rsidRDefault="00743B0B" w:rsidP="00743B0B">
            <w:pPr>
              <w:rPr>
                <w:b/>
                <w:szCs w:val="20"/>
              </w:rPr>
            </w:pPr>
          </w:p>
        </w:tc>
        <w:tc>
          <w:tcPr>
            <w:tcW w:w="9630" w:type="dxa"/>
            <w:gridSpan w:val="6"/>
            <w:shd w:val="clear" w:color="auto" w:fill="222A35"/>
          </w:tcPr>
          <w:p w:rsidR="00743B0B" w:rsidRPr="00743B0B" w:rsidRDefault="00743B0B" w:rsidP="00743B0B">
            <w:pPr>
              <w:rPr>
                <w:b/>
                <w:sz w:val="18"/>
                <w:szCs w:val="18"/>
              </w:rPr>
            </w:pPr>
            <w:r w:rsidRPr="00743B0B">
              <w:rPr>
                <w:b/>
                <w:szCs w:val="20"/>
              </w:rPr>
              <w:t>QUESTION 4</w:t>
            </w:r>
            <w:r w:rsidR="002575A2">
              <w:rPr>
                <w:b/>
                <w:szCs w:val="20"/>
              </w:rPr>
              <w:t> :</w:t>
            </w:r>
            <w:r w:rsidR="006F1C40">
              <w:rPr>
                <w:b/>
                <w:szCs w:val="20"/>
              </w:rPr>
              <w:t xml:space="preserve"> q</w:t>
            </w:r>
            <w:r w:rsidRPr="00743B0B">
              <w:rPr>
                <w:b/>
                <w:szCs w:val="20"/>
              </w:rPr>
              <w:t xml:space="preserve">uelle est la catégorisation globale des risques du projet ? </w:t>
            </w:r>
          </w:p>
        </w:tc>
      </w:tr>
      <w:tr w:rsidR="00743B0B" w:rsidRPr="00743B0B" w:rsidTr="00743B0B">
        <w:tc>
          <w:tcPr>
            <w:tcW w:w="3510" w:type="dxa"/>
            <w:vMerge/>
          </w:tcPr>
          <w:p w:rsidR="00743B0B" w:rsidRPr="00743B0B" w:rsidRDefault="00743B0B" w:rsidP="00743B0B">
            <w:pPr>
              <w:rPr>
                <w:sz w:val="18"/>
                <w:szCs w:val="18"/>
                <w:u w:val="single"/>
              </w:rPr>
            </w:pPr>
          </w:p>
        </w:tc>
        <w:tc>
          <w:tcPr>
            <w:tcW w:w="4883" w:type="dxa"/>
            <w:gridSpan w:val="5"/>
          </w:tcPr>
          <w:p w:rsidR="00743B0B" w:rsidRPr="00743B0B" w:rsidRDefault="00743B0B" w:rsidP="00743B0B">
            <w:pPr>
              <w:jc w:val="center"/>
              <w:rPr>
                <w:b/>
                <w:sz w:val="18"/>
                <w:szCs w:val="18"/>
              </w:rPr>
            </w:pPr>
            <w:r w:rsidRPr="00743B0B">
              <w:t xml:space="preserve">Sélectionner une option (voir </w:t>
            </w:r>
            <w:hyperlink r:id="rId57" w:history="1">
              <w:r w:rsidRPr="00743B0B">
                <w:rPr>
                  <w:color w:val="0000FF"/>
                  <w:sz w:val="18"/>
                  <w:u w:val="single"/>
                </w:rPr>
                <w:t>PEPSE</w:t>
              </w:r>
            </w:hyperlink>
            <w:r w:rsidRPr="00743B0B">
              <w:t xml:space="preserve"> pour obtenir des conseils)</w:t>
            </w:r>
          </w:p>
        </w:tc>
        <w:tc>
          <w:tcPr>
            <w:tcW w:w="4747" w:type="dxa"/>
          </w:tcPr>
          <w:p w:rsidR="00743B0B" w:rsidRPr="00743B0B" w:rsidRDefault="00743B0B" w:rsidP="00743B0B">
            <w:pPr>
              <w:jc w:val="center"/>
              <w:rPr>
                <w:b/>
                <w:sz w:val="18"/>
                <w:szCs w:val="18"/>
              </w:rPr>
            </w:pPr>
            <w:r w:rsidRPr="00743B0B">
              <w:rPr>
                <w:b/>
                <w:sz w:val="18"/>
                <w:szCs w:val="18"/>
              </w:rPr>
              <w:t>Observations</w:t>
            </w:r>
          </w:p>
        </w:tc>
      </w:tr>
      <w:tr w:rsidR="00743B0B" w:rsidRPr="00743B0B" w:rsidTr="00743B0B">
        <w:trPr>
          <w:trHeight w:val="251"/>
        </w:trPr>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Faible risque</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w:t>
            </w:r>
          </w:p>
        </w:tc>
        <w:tc>
          <w:tcPr>
            <w:tcW w:w="4747" w:type="dxa"/>
          </w:tcPr>
          <w:p w:rsidR="00743B0B" w:rsidRPr="00743B0B" w:rsidRDefault="00743B0B" w:rsidP="00743B0B">
            <w:pPr>
              <w:rPr>
                <w:b/>
                <w:sz w:val="18"/>
                <w:szCs w:val="18"/>
              </w:rPr>
            </w:pPr>
          </w:p>
        </w:tc>
      </w:tr>
      <w:tr w:rsidR="00743B0B" w:rsidRPr="00743B0B" w:rsidTr="00743B0B">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Risque modéré</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☐X</w:t>
            </w:r>
          </w:p>
        </w:tc>
        <w:tc>
          <w:tcPr>
            <w:tcW w:w="4747" w:type="dxa"/>
          </w:tcPr>
          <w:p w:rsidR="00743B0B" w:rsidRPr="00743B0B" w:rsidRDefault="00743B0B" w:rsidP="00743B0B">
            <w:pPr>
              <w:rPr>
                <w:b/>
                <w:sz w:val="18"/>
                <w:szCs w:val="18"/>
              </w:rPr>
            </w:pPr>
          </w:p>
        </w:tc>
      </w:tr>
      <w:tr w:rsidR="00743B0B" w:rsidRPr="00743B0B" w:rsidTr="00743B0B">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Risque élevé</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w:t>
            </w:r>
          </w:p>
        </w:tc>
        <w:tc>
          <w:tcPr>
            <w:tcW w:w="4747" w:type="dxa"/>
          </w:tcPr>
          <w:p w:rsidR="00743B0B" w:rsidRPr="00743B0B" w:rsidRDefault="00743B0B" w:rsidP="00743B0B">
            <w:pPr>
              <w:rPr>
                <w:b/>
                <w:sz w:val="18"/>
                <w:szCs w:val="18"/>
              </w:rPr>
            </w:pPr>
          </w:p>
        </w:tc>
      </w:tr>
      <w:tr w:rsidR="00743B0B" w:rsidRPr="00743B0B" w:rsidTr="00743B0B">
        <w:trPr>
          <w:trHeight w:val="782"/>
        </w:trPr>
        <w:tc>
          <w:tcPr>
            <w:tcW w:w="3510" w:type="dxa"/>
            <w:vMerge w:val="restart"/>
            <w:shd w:val="clear" w:color="auto" w:fill="FFFFFF"/>
          </w:tcPr>
          <w:p w:rsidR="00743B0B" w:rsidRPr="00743B0B" w:rsidRDefault="00743B0B" w:rsidP="00743B0B">
            <w:pPr>
              <w:ind w:hanging="18"/>
              <w:rPr>
                <w:b/>
                <w:szCs w:val="20"/>
              </w:rPr>
            </w:pPr>
          </w:p>
        </w:tc>
        <w:tc>
          <w:tcPr>
            <w:tcW w:w="4883" w:type="dxa"/>
            <w:gridSpan w:val="5"/>
            <w:shd w:val="clear" w:color="auto" w:fill="222A35"/>
            <w:vAlign w:val="center"/>
          </w:tcPr>
          <w:p w:rsidR="00743B0B" w:rsidRPr="00743B0B" w:rsidRDefault="00743B0B" w:rsidP="004628C7">
            <w:pPr>
              <w:tabs>
                <w:tab w:val="left" w:pos="360"/>
              </w:tabs>
              <w:rPr>
                <w:szCs w:val="20"/>
              </w:rPr>
            </w:pPr>
            <w:r w:rsidRPr="00743B0B">
              <w:rPr>
                <w:b/>
                <w:szCs w:val="20"/>
              </w:rPr>
              <w:t>QUESTION 5</w:t>
            </w:r>
            <w:r w:rsidR="002575A2">
              <w:rPr>
                <w:b/>
                <w:szCs w:val="20"/>
              </w:rPr>
              <w:t> :</w:t>
            </w:r>
            <w:r w:rsidR="006F1C40">
              <w:rPr>
                <w:b/>
                <w:szCs w:val="20"/>
              </w:rPr>
              <w:t xml:space="preserve"> s</w:t>
            </w:r>
            <w:r w:rsidRPr="00743B0B">
              <w:rPr>
                <w:b/>
                <w:szCs w:val="20"/>
              </w:rPr>
              <w:t xml:space="preserve">ur la base des risques identifiés et de la classification des risques, quelles exigences </w:t>
            </w:r>
            <w:r w:rsidR="004628C7">
              <w:rPr>
                <w:b/>
                <w:szCs w:val="20"/>
              </w:rPr>
              <w:t>en matière de DES</w:t>
            </w:r>
            <w:r w:rsidRPr="00743B0B">
              <w:rPr>
                <w:b/>
                <w:szCs w:val="20"/>
              </w:rPr>
              <w:t xml:space="preserve"> s’appliquent ?</w:t>
            </w:r>
          </w:p>
        </w:tc>
        <w:tc>
          <w:tcPr>
            <w:tcW w:w="4747" w:type="dxa"/>
            <w:shd w:val="clear" w:color="auto" w:fill="222A35"/>
            <w:vAlign w:val="center"/>
          </w:tcPr>
          <w:p w:rsidR="00743B0B" w:rsidRPr="00743B0B" w:rsidRDefault="00743B0B" w:rsidP="00743B0B">
            <w:pPr>
              <w:tabs>
                <w:tab w:val="left" w:pos="360"/>
              </w:tabs>
              <w:jc w:val="center"/>
              <w:rPr>
                <w:b/>
                <w:szCs w:val="20"/>
              </w:rPr>
            </w:pPr>
          </w:p>
        </w:tc>
      </w:tr>
      <w:tr w:rsidR="00743B0B" w:rsidRPr="00743B0B" w:rsidTr="00743B0B">
        <w:trPr>
          <w:trHeight w:val="296"/>
        </w:trPr>
        <w:tc>
          <w:tcPr>
            <w:tcW w:w="3510" w:type="dxa"/>
            <w:vMerge/>
            <w:shd w:val="clear" w:color="auto" w:fill="FFFFFF"/>
          </w:tcPr>
          <w:p w:rsidR="00743B0B" w:rsidRPr="00743B0B" w:rsidRDefault="00743B0B" w:rsidP="00743B0B">
            <w:pPr>
              <w:rPr>
                <w:sz w:val="18"/>
                <w:szCs w:val="18"/>
                <w:u w:val="single"/>
              </w:rPr>
            </w:pPr>
          </w:p>
        </w:tc>
        <w:tc>
          <w:tcPr>
            <w:tcW w:w="4883" w:type="dxa"/>
            <w:gridSpan w:val="5"/>
          </w:tcPr>
          <w:p w:rsidR="00743B0B" w:rsidRPr="00743B0B" w:rsidRDefault="00743B0B" w:rsidP="00743B0B">
            <w:pPr>
              <w:tabs>
                <w:tab w:val="left" w:pos="360"/>
              </w:tabs>
              <w:jc w:val="center"/>
              <w:rPr>
                <w:rFonts w:ascii="Menlo Bold" w:hAnsi="Menlo Bold" w:cs="Menlo Bold"/>
                <w:b/>
                <w:szCs w:val="20"/>
              </w:rPr>
            </w:pPr>
            <w:r w:rsidRPr="00743B0B">
              <w:rPr>
                <w:sz w:val="18"/>
                <w:szCs w:val="18"/>
              </w:rPr>
              <w:t>Cochez tout ce qui s’applique.</w:t>
            </w:r>
          </w:p>
        </w:tc>
        <w:tc>
          <w:tcPr>
            <w:tcW w:w="4747" w:type="dxa"/>
          </w:tcPr>
          <w:p w:rsidR="00743B0B" w:rsidRPr="00743B0B" w:rsidRDefault="00743B0B" w:rsidP="00743B0B">
            <w:pPr>
              <w:tabs>
                <w:tab w:val="left" w:pos="360"/>
              </w:tabs>
              <w:jc w:val="center"/>
              <w:rPr>
                <w:b/>
                <w:sz w:val="18"/>
                <w:szCs w:val="18"/>
              </w:rPr>
            </w:pPr>
            <w:r w:rsidRPr="00743B0B">
              <w:rPr>
                <w:b/>
                <w:sz w:val="18"/>
                <w:szCs w:val="18"/>
              </w:rPr>
              <w:t>Observations</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6F1C40">
            <w:pPr>
              <w:tabs>
                <w:tab w:val="left" w:pos="270"/>
              </w:tabs>
              <w:ind w:left="270" w:hanging="270"/>
              <w:rPr>
                <w:b/>
                <w:i/>
                <w:sz w:val="18"/>
                <w:szCs w:val="18"/>
              </w:rPr>
            </w:pPr>
            <w:r w:rsidRPr="00743B0B">
              <w:rPr>
                <w:b/>
                <w:i/>
                <w:sz w:val="18"/>
                <w:szCs w:val="18"/>
              </w:rPr>
              <w:t>Principe 1</w:t>
            </w:r>
            <w:r w:rsidR="002575A2">
              <w:rPr>
                <w:b/>
                <w:i/>
                <w:sz w:val="18"/>
                <w:szCs w:val="18"/>
              </w:rPr>
              <w:t> :</w:t>
            </w:r>
            <w:r w:rsidRPr="00743B0B">
              <w:rPr>
                <w:b/>
                <w:i/>
                <w:sz w:val="18"/>
                <w:szCs w:val="18"/>
              </w:rPr>
              <w:t xml:space="preserve"> </w:t>
            </w:r>
            <w:r w:rsidR="006F1C40">
              <w:rPr>
                <w:b/>
                <w:i/>
                <w:sz w:val="18"/>
                <w:szCs w:val="18"/>
              </w:rPr>
              <w:t>d</w:t>
            </w:r>
            <w:r w:rsidRPr="00743B0B">
              <w:rPr>
                <w:b/>
                <w:i/>
                <w:sz w:val="18"/>
                <w:szCs w:val="18"/>
              </w:rPr>
              <w:t>roits de l’homme</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Identifier les moyens d’améliorer la participation des communautés vulnérables, en mettant particulièrement l’accent sur les femmes.</w:t>
            </w:r>
            <w:r w:rsidR="008712CB">
              <w:rPr>
                <w:sz w:val="18"/>
                <w:szCs w:val="18"/>
              </w:rPr>
              <w:t xml:space="preserve"> </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Principe 2</w:t>
            </w:r>
            <w:r w:rsidR="002575A2">
              <w:rPr>
                <w:b/>
                <w:i/>
                <w:sz w:val="18"/>
                <w:szCs w:val="18"/>
              </w:rPr>
              <w:t> :</w:t>
            </w:r>
            <w:r w:rsidR="006F1C40">
              <w:rPr>
                <w:b/>
                <w:i/>
                <w:sz w:val="18"/>
                <w:szCs w:val="18"/>
              </w:rPr>
              <w:t xml:space="preserve"> é</w:t>
            </w:r>
            <w:r w:rsidRPr="00743B0B">
              <w:rPr>
                <w:b/>
                <w:i/>
                <w:sz w:val="18"/>
                <w:szCs w:val="18"/>
              </w:rPr>
              <w:t>galité des sexes et autonomisation des femmes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femmes ou les filles participent pleinement à la préparation et à la mise en œuvre du projet.</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1.</w:t>
            </w:r>
            <w:r w:rsidRPr="00743B0B">
              <w:rPr>
                <w:b/>
                <w:i/>
                <w:sz w:val="18"/>
                <w:szCs w:val="18"/>
              </w:rPr>
              <w:tab/>
              <w:t>Conservation de la biodiversité et gestion durable des ressources naturelles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plans de gestion durable des RNC/UP soient mis à jour et respectés.</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2.</w:t>
            </w:r>
            <w:r w:rsidRPr="00743B0B">
              <w:rPr>
                <w:b/>
                <w:i/>
                <w:sz w:val="18"/>
                <w:szCs w:val="18"/>
              </w:rPr>
              <w:tab/>
              <w:t>Atténuation du changement climatique et adaptation à ses effets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réductions potentielles des émissions de GES se matérialisent (séquestration du carbone).</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3.</w:t>
            </w:r>
            <w:r w:rsidRPr="00743B0B">
              <w:rPr>
                <w:b/>
                <w:i/>
                <w:sz w:val="18"/>
                <w:szCs w:val="18"/>
              </w:rPr>
              <w:tab/>
              <w:t>Santé, sécurité et conditions de travail des collectivités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4.</w:t>
            </w:r>
            <w:r w:rsidRPr="00743B0B">
              <w:rPr>
                <w:b/>
                <w:i/>
                <w:sz w:val="18"/>
                <w:szCs w:val="18"/>
              </w:rPr>
              <w:tab/>
              <w:t>Patrimoine culturel</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5.</w:t>
            </w:r>
            <w:r w:rsidRPr="00743B0B">
              <w:rPr>
                <w:b/>
                <w:i/>
                <w:sz w:val="18"/>
                <w:szCs w:val="18"/>
              </w:rPr>
              <w:tab/>
              <w:t>Déplacement et réinstallation</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6.</w:t>
            </w:r>
            <w:r w:rsidRPr="00743B0B">
              <w:rPr>
                <w:b/>
                <w:i/>
                <w:sz w:val="18"/>
                <w:szCs w:val="18"/>
              </w:rPr>
              <w:tab/>
              <w:t>Peuples autochtones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7.</w:t>
            </w:r>
            <w:r w:rsidRPr="00743B0B">
              <w:rPr>
                <w:b/>
                <w:i/>
                <w:sz w:val="18"/>
                <w:szCs w:val="18"/>
              </w:rPr>
              <w:tab/>
              <w:t>Prévention de la pollution et utilisation rationnelle des ressources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bl>
    <w:p w:rsidR="00743B0B" w:rsidRPr="00743B0B" w:rsidRDefault="00743B0B" w:rsidP="00743B0B">
      <w:pPr>
        <w:tabs>
          <w:tab w:val="left" w:pos="360"/>
        </w:tabs>
        <w:rPr>
          <w:b/>
          <w:i/>
          <w:sz w:val="18"/>
          <w:szCs w:val="18"/>
        </w:rPr>
      </w:pPr>
    </w:p>
    <w:p w:rsidR="00743B0B" w:rsidRPr="00743B0B" w:rsidRDefault="00743B0B" w:rsidP="00743B0B">
      <w:pPr>
        <w:tabs>
          <w:tab w:val="left" w:pos="360"/>
        </w:tabs>
        <w:rPr>
          <w:sz w:val="18"/>
          <w:szCs w:val="18"/>
        </w:rPr>
      </w:pPr>
    </w:p>
    <w:p w:rsidR="00743B0B" w:rsidRPr="00743B0B" w:rsidRDefault="00743B0B" w:rsidP="00743B0B">
      <w:pPr>
        <w:tabs>
          <w:tab w:val="left" w:pos="360"/>
        </w:tabs>
        <w:rPr>
          <w:sz w:val="18"/>
          <w:szCs w:val="18"/>
        </w:rPr>
      </w:pPr>
    </w:p>
    <w:p w:rsidR="00743B0B" w:rsidRPr="00743B0B" w:rsidRDefault="00743B0B" w:rsidP="00743B0B">
      <w:pPr>
        <w:spacing w:before="200"/>
        <w:ind w:left="360"/>
        <w:rPr>
          <w:b/>
          <w:color w:val="5B9BD5"/>
          <w:sz w:val="24"/>
        </w:rPr>
      </w:pPr>
      <w:r w:rsidRPr="00743B0B">
        <w:rPr>
          <w:b/>
          <w:color w:val="5B9BD5"/>
          <w:sz w:val="24"/>
        </w:rPr>
        <w:t xml:space="preserve">Validation finale </w:t>
      </w:r>
    </w:p>
    <w:p w:rsidR="00743B0B" w:rsidRPr="00743B0B" w:rsidRDefault="00743B0B" w:rsidP="00743B0B">
      <w:pPr>
        <w:tabs>
          <w:tab w:val="left" w:pos="360"/>
          <w:tab w:val="left" w:pos="4320"/>
        </w:tabs>
        <w:rPr>
          <w:sz w:val="18"/>
          <w:szCs w:val="18"/>
        </w:rPr>
      </w:pPr>
    </w:p>
    <w:tbl>
      <w:tblPr>
        <w:tblStyle w:val="Grilledutableau"/>
        <w:tblW w:w="0" w:type="auto"/>
        <w:tblLook w:val="04A0" w:firstRow="1" w:lastRow="0" w:firstColumn="1" w:lastColumn="0" w:noHBand="0" w:noVBand="1"/>
      </w:tblPr>
      <w:tblGrid>
        <w:gridCol w:w="2875"/>
        <w:gridCol w:w="1350"/>
        <w:gridCol w:w="8725"/>
      </w:tblGrid>
      <w:tr w:rsidR="00743B0B" w:rsidRPr="00743B0B" w:rsidTr="00743B0B">
        <w:tc>
          <w:tcPr>
            <w:tcW w:w="2875"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Signature</w:t>
            </w:r>
          </w:p>
        </w:tc>
        <w:tc>
          <w:tcPr>
            <w:tcW w:w="1350"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Date</w:t>
            </w:r>
          </w:p>
        </w:tc>
        <w:tc>
          <w:tcPr>
            <w:tcW w:w="8725"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Description</w:t>
            </w:r>
          </w:p>
        </w:tc>
      </w:tr>
      <w:tr w:rsidR="00743B0B" w:rsidRPr="00743B0B" w:rsidTr="00743B0B">
        <w:trPr>
          <w:trHeight w:val="629"/>
        </w:trPr>
        <w:tc>
          <w:tcPr>
            <w:tcW w:w="2875" w:type="dxa"/>
          </w:tcPr>
          <w:p w:rsidR="00743B0B" w:rsidRPr="00743B0B" w:rsidRDefault="00743B0B" w:rsidP="00743B0B">
            <w:pPr>
              <w:tabs>
                <w:tab w:val="left" w:pos="360"/>
                <w:tab w:val="left" w:pos="4320"/>
              </w:tabs>
              <w:rPr>
                <w:szCs w:val="20"/>
              </w:rPr>
            </w:pPr>
            <w:r w:rsidRPr="00743B0B">
              <w:t>Contrôleur de l’AQ</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720"/>
              </w:tabs>
              <w:spacing w:after="0" w:line="264" w:lineRule="auto"/>
              <w:jc w:val="left"/>
              <w:rPr>
                <w:rFonts w:eastAsia="MS Mincho"/>
                <w:szCs w:val="20"/>
                <w:lang w:eastAsia="ja-JP"/>
              </w:rPr>
            </w:pPr>
            <w:r w:rsidRPr="00743B0B">
              <w:rPr>
                <w:rFonts w:eastAsia="MS Mincho"/>
                <w:szCs w:val="20"/>
                <w:lang w:eastAsia="ja-JP"/>
              </w:rPr>
              <w:t>Membre du personnel du PNUD responsable du projet, généralement un Administrateur de programme du PNUD. La signature finale confirme que cette personne a vérifié que la PEPSE a été menée de manière adéquate.</w:t>
            </w:r>
          </w:p>
        </w:tc>
      </w:tr>
      <w:tr w:rsidR="00743B0B" w:rsidRPr="00743B0B" w:rsidTr="00743B0B">
        <w:tc>
          <w:tcPr>
            <w:tcW w:w="2875" w:type="dxa"/>
          </w:tcPr>
          <w:p w:rsidR="00743B0B" w:rsidRPr="00743B0B" w:rsidRDefault="00743B0B" w:rsidP="00743B0B">
            <w:pPr>
              <w:tabs>
                <w:tab w:val="left" w:pos="360"/>
                <w:tab w:val="left" w:pos="4320"/>
              </w:tabs>
              <w:rPr>
                <w:szCs w:val="20"/>
              </w:rPr>
            </w:pPr>
            <w:r w:rsidRPr="00743B0B">
              <w:t>Approbateur de l’AQ</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360"/>
                <w:tab w:val="left" w:pos="4320"/>
              </w:tabs>
              <w:rPr>
                <w:szCs w:val="20"/>
              </w:rPr>
            </w:pPr>
            <w:r w:rsidRPr="00743B0B">
              <w:t>Membre de la direction du PNUD, généralement Directeur de pays adjoint (DPA), Directeur de pays (DP), Représentant résident adjoint (RRA) ou Représentant résident (RR). L’Approbateur de l’AQ et le Contrôleur de l’AQ ne peuvent être la même personne. La signature finale confirme que cette personne a validé la PEPSE avant de la soumettre au CEP.</w:t>
            </w:r>
          </w:p>
        </w:tc>
      </w:tr>
      <w:tr w:rsidR="00743B0B" w:rsidRPr="00743B0B" w:rsidTr="00743B0B">
        <w:tc>
          <w:tcPr>
            <w:tcW w:w="2875" w:type="dxa"/>
          </w:tcPr>
          <w:p w:rsidR="00743B0B" w:rsidRPr="00743B0B" w:rsidRDefault="00743B0B" w:rsidP="00743B0B">
            <w:pPr>
              <w:tabs>
                <w:tab w:val="left" w:pos="360"/>
                <w:tab w:val="left" w:pos="4320"/>
              </w:tabs>
              <w:rPr>
                <w:szCs w:val="20"/>
              </w:rPr>
            </w:pPr>
            <w:r w:rsidRPr="00743B0B">
              <w:t>Président du CEP</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360"/>
                <w:tab w:val="left" w:pos="4320"/>
              </w:tabs>
              <w:rPr>
                <w:szCs w:val="20"/>
              </w:rPr>
            </w:pPr>
            <w:r w:rsidRPr="00743B0B">
              <w:t>Président du CEP du PNUD.</w:t>
            </w:r>
            <w:r w:rsidR="008712CB">
              <w:t xml:space="preserve"> </w:t>
            </w:r>
            <w:r w:rsidRPr="00743B0B">
              <w:t xml:space="preserve">Dans certains cas, le président du CEP peut aussi être l’Approbateur de l’AQ. La signature finale confirme que la PEPSE a été envisagée dans le cadre de l’évaluation du projet et dans les recommandations du CEP. </w:t>
            </w:r>
          </w:p>
        </w:tc>
      </w:tr>
    </w:tbl>
    <w:p w:rsidR="00743B0B" w:rsidRPr="00743B0B" w:rsidRDefault="00743B0B" w:rsidP="00743B0B">
      <w:pPr>
        <w:sectPr w:rsidR="00743B0B" w:rsidRPr="00743B0B" w:rsidSect="00743B0B">
          <w:pgSz w:w="15840" w:h="12240" w:orient="landscape"/>
          <w:pgMar w:top="1440" w:right="1440" w:bottom="1440" w:left="1440" w:header="720" w:footer="720" w:gutter="0"/>
          <w:cols w:space="720"/>
          <w:titlePg/>
          <w:docGrid w:linePitch="360"/>
        </w:sectPr>
      </w:pPr>
    </w:p>
    <w:p w:rsidR="00743B0B" w:rsidRPr="00743B0B" w:rsidRDefault="00743B0B" w:rsidP="00743B0B">
      <w:pPr>
        <w:keepNext/>
        <w:keepLines/>
        <w:spacing w:before="200" w:after="0"/>
        <w:outlineLvl w:val="2"/>
        <w:rPr>
          <w:rFonts w:ascii="Calibri Light" w:eastAsia="Times New Roman" w:hAnsi="Calibri Light"/>
          <w:b/>
          <w:bCs/>
          <w:color w:val="5B9BD5"/>
        </w:rPr>
      </w:pPr>
      <w:bookmarkStart w:id="165" w:name="_Toc404528202"/>
      <w:bookmarkStart w:id="166" w:name="_Toc496886607"/>
      <w:bookmarkStart w:id="167" w:name="_Toc498638444"/>
      <w:r w:rsidRPr="00743B0B">
        <w:rPr>
          <w:rFonts w:ascii="Calibri Light" w:eastAsia="Times New Roman" w:hAnsi="Calibri Light"/>
          <w:b/>
          <w:bCs/>
          <w:color w:val="5B9BD5"/>
        </w:rPr>
        <w:t>Annexe 1 de la PEPSE. Liste de contrôle de l’examen préalable des risques sociaux et environnementaux</w:t>
      </w:r>
      <w:bookmarkEnd w:id="165"/>
      <w:bookmarkEnd w:id="166"/>
      <w:bookmarkEnd w:id="167"/>
    </w:p>
    <w:p w:rsidR="00743B0B" w:rsidRPr="00743B0B" w:rsidRDefault="00743B0B" w:rsidP="00743B0B"/>
    <w:p w:rsidR="00743B0B" w:rsidRPr="00743B0B" w:rsidRDefault="00743B0B" w:rsidP="00743B0B">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743B0B" w:rsidRPr="00743B0B" w:rsidTr="00743B0B">
        <w:tc>
          <w:tcPr>
            <w:tcW w:w="8635" w:type="dxa"/>
            <w:tcBorders>
              <w:bottom w:val="single" w:sz="4" w:space="0" w:color="auto"/>
            </w:tcBorders>
            <w:shd w:val="clear" w:color="auto" w:fill="ACB9CA"/>
          </w:tcPr>
          <w:p w:rsidR="00743B0B" w:rsidRPr="00743B0B" w:rsidRDefault="00743B0B" w:rsidP="00743B0B">
            <w:pPr>
              <w:tabs>
                <w:tab w:val="left" w:pos="810"/>
              </w:tabs>
              <w:rPr>
                <w:rFonts w:eastAsia="Times New Roman"/>
                <w:sz w:val="22"/>
                <w:u w:val="single"/>
              </w:rPr>
            </w:pPr>
            <w:r w:rsidRPr="00743B0B">
              <w:rPr>
                <w:b/>
                <w:sz w:val="22"/>
                <w:szCs w:val="22"/>
              </w:rPr>
              <w:t>Liste de contrôle sur les risques sociaux et environnementaux potentiels</w:t>
            </w:r>
          </w:p>
        </w:tc>
        <w:tc>
          <w:tcPr>
            <w:tcW w:w="833" w:type="dxa"/>
            <w:tcBorders>
              <w:bottom w:val="single" w:sz="4" w:space="0" w:color="auto"/>
            </w:tcBorders>
            <w:shd w:val="clear" w:color="auto" w:fill="ACB9CA"/>
          </w:tcPr>
          <w:p w:rsidR="00743B0B" w:rsidRPr="00743B0B" w:rsidRDefault="00743B0B" w:rsidP="00743B0B">
            <w:pPr>
              <w:tabs>
                <w:tab w:val="left" w:pos="810"/>
              </w:tabs>
              <w:rPr>
                <w:rFonts w:eastAsia="Times New Roman"/>
                <w:sz w:val="22"/>
              </w:rPr>
            </w:pPr>
          </w:p>
        </w:tc>
      </w:tr>
      <w:tr w:rsidR="00743B0B" w:rsidRPr="00743B0B" w:rsidTr="00743B0B">
        <w:tc>
          <w:tcPr>
            <w:tcW w:w="8635" w:type="dxa"/>
            <w:tcBorders>
              <w:bottom w:val="single" w:sz="4" w:space="0" w:color="auto"/>
            </w:tcBorders>
            <w:shd w:val="clear" w:color="auto" w:fill="DEEAF6"/>
          </w:tcPr>
          <w:p w:rsidR="00743B0B" w:rsidRPr="00743B0B" w:rsidRDefault="00743B0B" w:rsidP="006F1C40">
            <w:pPr>
              <w:tabs>
                <w:tab w:val="left" w:pos="810"/>
              </w:tabs>
              <w:spacing w:before="120" w:after="120"/>
              <w:rPr>
                <w:b/>
                <w:sz w:val="18"/>
                <w:szCs w:val="18"/>
              </w:rPr>
            </w:pPr>
            <w:r w:rsidRPr="00743B0B">
              <w:rPr>
                <w:b/>
                <w:sz w:val="18"/>
                <w:szCs w:val="18"/>
              </w:rPr>
              <w:t>Principe 1</w:t>
            </w:r>
            <w:r w:rsidR="002575A2">
              <w:rPr>
                <w:b/>
                <w:sz w:val="18"/>
                <w:szCs w:val="18"/>
              </w:rPr>
              <w:t> :</w:t>
            </w:r>
            <w:r w:rsidRPr="00743B0B">
              <w:rPr>
                <w:b/>
                <w:sz w:val="18"/>
                <w:szCs w:val="18"/>
              </w:rPr>
              <w:t xml:space="preserve"> </w:t>
            </w:r>
            <w:r w:rsidR="00F12E0C">
              <w:rPr>
                <w:b/>
                <w:sz w:val="18"/>
                <w:szCs w:val="18"/>
              </w:rPr>
              <w:t>D</w:t>
            </w:r>
            <w:r w:rsidRPr="00743B0B">
              <w:rPr>
                <w:b/>
                <w:sz w:val="18"/>
                <w:szCs w:val="18"/>
              </w:rPr>
              <w:t>roits de l’homme</w:t>
            </w:r>
          </w:p>
        </w:tc>
        <w:tc>
          <w:tcPr>
            <w:tcW w:w="833" w:type="dxa"/>
            <w:tcBorders>
              <w:bottom w:val="single" w:sz="4" w:space="0" w:color="auto"/>
            </w:tcBorders>
            <w:shd w:val="clear" w:color="auto" w:fill="DEEAF6"/>
          </w:tcPr>
          <w:p w:rsidR="00743B0B" w:rsidRPr="00743B0B" w:rsidRDefault="00743B0B" w:rsidP="00743B0B">
            <w:pPr>
              <w:tabs>
                <w:tab w:val="left" w:pos="810"/>
              </w:tabs>
              <w:jc w:val="center"/>
              <w:rPr>
                <w:b/>
                <w:sz w:val="18"/>
                <w:szCs w:val="18"/>
              </w:rPr>
            </w:pPr>
            <w:r w:rsidRPr="00743B0B">
              <w:rPr>
                <w:b/>
                <w:sz w:val="16"/>
                <w:szCs w:val="16"/>
              </w:rPr>
              <w:t xml:space="preserve">Réponse </w:t>
            </w:r>
            <w:r w:rsidRPr="00743B0B">
              <w:rPr>
                <w:b/>
                <w:sz w:val="16"/>
                <w:szCs w:val="16"/>
              </w:rPr>
              <w:br/>
              <w:t>(Oui/Non)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w:t>
            </w:r>
            <w:r w:rsidRPr="00743B0B">
              <w:rPr>
                <w:sz w:val="18"/>
                <w:szCs w:val="18"/>
              </w:rPr>
              <w:tab/>
              <w:t xml:space="preserve">Le projet peut-il avoir </w:t>
            </w:r>
            <w:r w:rsidR="004533D6">
              <w:rPr>
                <w:sz w:val="18"/>
                <w:szCs w:val="18"/>
              </w:rPr>
              <w:t>une incidence</w:t>
            </w:r>
            <w:r w:rsidRPr="00743B0B">
              <w:rPr>
                <w:sz w:val="18"/>
                <w:szCs w:val="18"/>
              </w:rPr>
              <w:t xml:space="preserve"> sur l’exercice des droits de l’homme (civils, politiques, économiques, sociaux ou culturels) de la population touchée, et particulièrement </w:t>
            </w:r>
            <w:r w:rsidR="004533D6">
              <w:rPr>
                <w:sz w:val="18"/>
                <w:szCs w:val="18"/>
              </w:rPr>
              <w:t>pour les</w:t>
            </w:r>
            <w:r w:rsidRPr="00743B0B">
              <w:rPr>
                <w:sz w:val="18"/>
                <w:szCs w:val="18"/>
              </w:rPr>
              <w:t xml:space="preserve"> groupes marginalisés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 xml:space="preserve">2. </w:t>
            </w:r>
            <w:r w:rsidRPr="00743B0B">
              <w:rPr>
                <w:sz w:val="18"/>
                <w:szCs w:val="18"/>
              </w:rPr>
              <w:tab/>
              <w:t xml:space="preserve">Le projet est-il susceptible d’avoir </w:t>
            </w:r>
            <w:r w:rsidR="004533D6">
              <w:rPr>
                <w:sz w:val="18"/>
                <w:szCs w:val="18"/>
              </w:rPr>
              <w:t>une incidence</w:t>
            </w:r>
            <w:r w:rsidRPr="00743B0B">
              <w:rPr>
                <w:sz w:val="18"/>
                <w:szCs w:val="18"/>
              </w:rPr>
              <w:t xml:space="preserve"> inéquitable ou discriminatoire sur les populations touchées, particulièrement </w:t>
            </w:r>
            <w:r w:rsidR="004533D6">
              <w:rPr>
                <w:sz w:val="18"/>
                <w:szCs w:val="18"/>
              </w:rPr>
              <w:t xml:space="preserve">pour </w:t>
            </w:r>
            <w:r w:rsidRPr="00743B0B">
              <w:rPr>
                <w:sz w:val="18"/>
                <w:szCs w:val="18"/>
              </w:rPr>
              <w:t>les personnes vivant dans la pauvreté ou les personnes ou groupes marginalisés ou exclus ?</w:t>
            </w:r>
            <w:r w:rsidRPr="00743B0B">
              <w:rPr>
                <w:vertAlign w:val="superscript"/>
              </w:rPr>
              <w:t xml:space="preserve"> </w:t>
            </w:r>
            <w:r w:rsidRPr="00743B0B">
              <w:rPr>
                <w:rFonts w:eastAsia="Times New Roman"/>
                <w:vertAlign w:val="superscript"/>
              </w:rPr>
              <w:footnoteReference w:id="45"/>
            </w:r>
            <w:r w:rsidRPr="00743B0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3.</w:t>
            </w:r>
            <w:r w:rsidRPr="00743B0B">
              <w:rPr>
                <w:sz w:val="18"/>
                <w:szCs w:val="18"/>
              </w:rPr>
              <w:tab/>
              <w:t>Le projet peut-il potentiellement restreindre la disponibilité, la qualité et l’accessibilité de ressources ou de services de base, particulièrement pour les pe</w:t>
            </w:r>
            <w:r w:rsidR="00A72504">
              <w:rPr>
                <w:sz w:val="18"/>
                <w:szCs w:val="18"/>
              </w:rPr>
              <w:t>rsonnes ou groupes marginalisés </w:t>
            </w:r>
            <w:r w:rsidRPr="00743B0B">
              <w:rPr>
                <w:sz w:val="18"/>
                <w:szCs w:val="18"/>
              </w:rPr>
              <w:t>?</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4.</w:t>
            </w:r>
            <w:r w:rsidRPr="00743B0B">
              <w:rPr>
                <w:sz w:val="18"/>
                <w:szCs w:val="18"/>
              </w:rPr>
              <w:tab/>
              <w:t>Le projet est-il susceptible d’exclure la pleine participation de toutes parties prenantes potentiellement touchées, en particulier les groupes marginalisés, dans les décisions qui peuvent les concerner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Del="00074D34" w:rsidRDefault="00743B0B" w:rsidP="00743B0B">
            <w:pPr>
              <w:tabs>
                <w:tab w:val="left" w:pos="900"/>
              </w:tabs>
              <w:spacing w:before="60"/>
              <w:ind w:left="567" w:hanging="567"/>
              <w:rPr>
                <w:rFonts w:eastAsia="Times New Roman"/>
                <w:sz w:val="18"/>
                <w:szCs w:val="18"/>
              </w:rPr>
            </w:pPr>
            <w:r w:rsidRPr="00743B0B">
              <w:rPr>
                <w:sz w:val="18"/>
                <w:szCs w:val="18"/>
              </w:rPr>
              <w:t>5.</w:t>
            </w:r>
            <w:r w:rsidRPr="00743B0B">
              <w:rPr>
                <w:sz w:val="18"/>
                <w:szCs w:val="18"/>
              </w:rPr>
              <w:tab/>
              <w:t>Existe-t-il un risque que les détenteurs de devoirs n’aient pas la capacité de remplir leurs obligations dans le cadre du projet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6.</w:t>
            </w:r>
            <w:r w:rsidRPr="00743B0B">
              <w:rPr>
                <w:sz w:val="18"/>
                <w:szCs w:val="18"/>
              </w:rPr>
              <w:tab/>
              <w:t xml:space="preserve">Existe-t-il un risque que les titulaires de droits n’aient pas la capacité de faire valoir leurs droits ?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7.</w:t>
            </w:r>
            <w:r w:rsidRPr="00743B0B">
              <w:rPr>
                <w:sz w:val="18"/>
                <w:szCs w:val="18"/>
              </w:rPr>
              <w:tab/>
              <w:t>Les communautés locales ou les personnes ont-elles eu la possibilité de soulever des inquiétudes concernant les droits de l’homme dans le cadre du projet durant le processus d’engagement des parties prenantes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8.</w:t>
            </w:r>
            <w:r w:rsidRPr="00743B0B">
              <w:rPr>
                <w:sz w:val="18"/>
                <w:szCs w:val="18"/>
              </w:rPr>
              <w:tab/>
              <w:t>Existe-t-il un risque que le projet aggrave les conflits et/ou le risque de violence parmi les communautés et les personnes touchées par le projet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DEEAF6"/>
          </w:tcPr>
          <w:p w:rsidR="00743B0B" w:rsidRPr="00743B0B" w:rsidRDefault="00743B0B" w:rsidP="00743B0B">
            <w:pPr>
              <w:tabs>
                <w:tab w:val="left" w:pos="810"/>
              </w:tabs>
              <w:spacing w:before="120" w:after="120"/>
              <w:rPr>
                <w:b/>
                <w:sz w:val="18"/>
                <w:szCs w:val="18"/>
              </w:rPr>
            </w:pPr>
            <w:r w:rsidRPr="00743B0B">
              <w:rPr>
                <w:b/>
                <w:sz w:val="18"/>
                <w:szCs w:val="18"/>
              </w:rPr>
              <w:t>Principe 2</w:t>
            </w:r>
            <w:r w:rsidR="002575A2">
              <w:rPr>
                <w:b/>
                <w:sz w:val="18"/>
                <w:szCs w:val="18"/>
              </w:rPr>
              <w:t> :</w:t>
            </w:r>
            <w:r w:rsidR="00F12E0C">
              <w:rPr>
                <w:b/>
                <w:sz w:val="18"/>
                <w:szCs w:val="18"/>
              </w:rPr>
              <w:t xml:space="preserve"> É</w:t>
            </w:r>
            <w:r w:rsidRPr="00743B0B">
              <w:rPr>
                <w:b/>
                <w:sz w:val="18"/>
                <w:szCs w:val="18"/>
              </w:rPr>
              <w:t>galité des sexes et autonomisation des femmes</w:t>
            </w:r>
          </w:p>
        </w:tc>
        <w:tc>
          <w:tcPr>
            <w:tcW w:w="833" w:type="dxa"/>
            <w:tcBorders>
              <w:bottom w:val="single" w:sz="4" w:space="0" w:color="auto"/>
            </w:tcBorders>
            <w:shd w:val="clear" w:color="auto" w:fill="DEEAF6"/>
          </w:tcPr>
          <w:p w:rsidR="00743B0B" w:rsidRPr="00743B0B" w:rsidRDefault="00743B0B" w:rsidP="00743B0B">
            <w:pPr>
              <w:tabs>
                <w:tab w:val="left" w:pos="810"/>
              </w:tabs>
              <w:spacing w:before="120" w:after="120"/>
              <w:rPr>
                <w:b/>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w:t>
            </w:r>
            <w:r w:rsidRPr="00743B0B">
              <w:rPr>
                <w:sz w:val="18"/>
                <w:szCs w:val="18"/>
              </w:rPr>
              <w:tab/>
              <w:t xml:space="preserve">Le projet proposé est-il susceptible d’avoir </w:t>
            </w:r>
            <w:r w:rsidR="004533D6">
              <w:rPr>
                <w:sz w:val="18"/>
                <w:szCs w:val="18"/>
              </w:rPr>
              <w:t>une incidence</w:t>
            </w:r>
            <w:r w:rsidRPr="00743B0B">
              <w:rPr>
                <w:sz w:val="18"/>
                <w:szCs w:val="18"/>
              </w:rPr>
              <w:t xml:space="preserve"> sur l’égalité des sexes et/ou la situation des femmes et des filles ?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2.</w:t>
            </w:r>
            <w:r w:rsidRPr="00743B0B">
              <w:rPr>
                <w:sz w:val="18"/>
                <w:szCs w:val="18"/>
              </w:rPr>
              <w:tab/>
              <w:t>Le projet risque-t-il potentiellement de reproduire des discriminations fondées sur le sexe à l’encontre des femmes, particulièrement en ce qui concerne la participation dans la conception ou la mise en œuvre ou l’accès aux opportunités et aux bénéfices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Oui</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3.</w:t>
            </w:r>
            <w:r w:rsidRPr="00743B0B">
              <w:rPr>
                <w:sz w:val="18"/>
                <w:szCs w:val="18"/>
              </w:rPr>
              <w:tab/>
              <w:t>Des groupes de femmes/responsables de groupes de femmes ont-ils soulevé des préoccupations quant à l’égalité des sexes dans le projet durant le processus d’engagement des parties prenantes et celles-ci ont-elles été intégrées dans la proposition globale du projet et dans l’évaluation des risques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4.</w:t>
            </w:r>
            <w:r w:rsidRPr="00743B0B">
              <w:rPr>
                <w:sz w:val="18"/>
                <w:szCs w:val="18"/>
              </w:rPr>
              <w:tab/>
              <w:t>Le projet risque-t-il potentiellement de limiter la capacité des femmes à utiliser, développer et protéger des ressources naturelles en prenant en compte des rôles et positions différents des femmes et des hommes dans l’accès aux biens et services environnementaux ?</w:t>
            </w:r>
          </w:p>
          <w:p w:rsidR="00743B0B" w:rsidRPr="00743B0B" w:rsidRDefault="00743B0B" w:rsidP="00743B0B">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Par exemple, les activités qui peuvent provoquer la dégradation ou l’appauvrissement des ressources naturelles dans les communautés dont les moyens de subsistance et le bien-être dépendent de ces ressources.</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DEEAF6"/>
          </w:tcPr>
          <w:p w:rsidR="00743B0B" w:rsidRPr="00743B0B" w:rsidRDefault="00743B0B" w:rsidP="00743B0B">
            <w:pPr>
              <w:tabs>
                <w:tab w:val="left" w:pos="810"/>
              </w:tabs>
              <w:spacing w:before="120" w:after="120"/>
              <w:rPr>
                <w:rFonts w:eastAsia="Times New Roman"/>
                <w:b/>
                <w:sz w:val="18"/>
                <w:szCs w:val="18"/>
              </w:rPr>
            </w:pPr>
            <w:r w:rsidRPr="00743B0B">
              <w:rPr>
                <w:b/>
                <w:sz w:val="18"/>
                <w:szCs w:val="18"/>
              </w:rPr>
              <w:t>Principe 3</w:t>
            </w:r>
            <w:r w:rsidR="00F12E0C">
              <w:rPr>
                <w:b/>
                <w:sz w:val="18"/>
                <w:szCs w:val="18"/>
              </w:rPr>
              <w:t> : D</w:t>
            </w:r>
            <w:r w:rsidR="002575A2">
              <w:rPr>
                <w:b/>
                <w:sz w:val="18"/>
                <w:szCs w:val="18"/>
              </w:rPr>
              <w:t>urabilité environnementale.</w:t>
            </w:r>
            <w:r w:rsidRPr="00743B0B">
              <w:rPr>
                <w:b/>
                <w:sz w:val="18"/>
                <w:szCs w:val="18"/>
              </w:rPr>
              <w:t xml:space="preserve"> </w:t>
            </w:r>
            <w:r w:rsidR="002575A2">
              <w:rPr>
                <w:sz w:val="18"/>
                <w:szCs w:val="18"/>
              </w:rPr>
              <w:t>L</w:t>
            </w:r>
            <w:r w:rsidRPr="00743B0B">
              <w:rPr>
                <w:sz w:val="18"/>
                <w:szCs w:val="18"/>
              </w:rPr>
              <w:t>es questions de l’examen préalable concernant les risques environnementaux sont couvertes par les questions portant sur les normes spécifiques ci-dessous.</w:t>
            </w:r>
          </w:p>
        </w:tc>
        <w:tc>
          <w:tcPr>
            <w:tcW w:w="833" w:type="dxa"/>
            <w:tcBorders>
              <w:bottom w:val="single" w:sz="4" w:space="0" w:color="auto"/>
            </w:tcBorders>
            <w:shd w:val="clear" w:color="auto" w:fill="DEEAF6"/>
          </w:tcPr>
          <w:p w:rsidR="00743B0B" w:rsidRPr="00743B0B" w:rsidRDefault="00743B0B" w:rsidP="00743B0B">
            <w:pPr>
              <w:tabs>
                <w:tab w:val="left" w:pos="810"/>
              </w:tabs>
              <w:rPr>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810"/>
              </w:tabs>
              <w:rPr>
                <w:rFonts w:eastAsia="Times New Roman"/>
                <w:b/>
                <w:sz w:val="18"/>
                <w:szCs w:val="18"/>
              </w:rPr>
            </w:pP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p>
        </w:tc>
      </w:tr>
      <w:tr w:rsidR="00743B0B" w:rsidRPr="00743B0B" w:rsidTr="00743B0B">
        <w:tc>
          <w:tcPr>
            <w:tcW w:w="8635" w:type="dxa"/>
            <w:tcBorders>
              <w:bottom w:val="single" w:sz="4" w:space="0" w:color="auto"/>
            </w:tcBorders>
            <w:shd w:val="clear" w:color="auto" w:fill="DEEAF6"/>
            <w:vAlign w:val="center"/>
          </w:tcPr>
          <w:p w:rsidR="00743B0B" w:rsidRPr="00743B0B" w:rsidRDefault="00743B0B" w:rsidP="00743B0B">
            <w:pPr>
              <w:tabs>
                <w:tab w:val="left" w:pos="570"/>
              </w:tabs>
              <w:spacing w:before="120" w:after="120"/>
              <w:rPr>
                <w:rFonts w:eastAsia="Times New Roman"/>
                <w:b/>
                <w:sz w:val="18"/>
                <w:szCs w:val="18"/>
              </w:rPr>
            </w:pPr>
            <w:r w:rsidRPr="00743B0B">
              <w:rPr>
                <w:b/>
                <w:sz w:val="18"/>
                <w:szCs w:val="18"/>
              </w:rPr>
              <w:t>Norme 1</w:t>
            </w:r>
            <w:r w:rsidR="002575A2">
              <w:rPr>
                <w:b/>
                <w:sz w:val="18"/>
                <w:szCs w:val="18"/>
              </w:rPr>
              <w:t> :</w:t>
            </w:r>
            <w:r w:rsidRPr="00743B0B">
              <w:rPr>
                <w:b/>
                <w:sz w:val="18"/>
                <w:szCs w:val="18"/>
              </w:rPr>
              <w:t xml:space="preserve"> </w:t>
            </w:r>
            <w:r w:rsidR="00F12E0C">
              <w:rPr>
                <w:b/>
              </w:rPr>
              <w:t>C</w:t>
            </w:r>
            <w:r w:rsidRPr="00743B0B">
              <w:rPr>
                <w:b/>
              </w:rPr>
              <w:t xml:space="preserve">onservation de la biodiversité et gestion durable des ressources </w:t>
            </w:r>
            <w:hyperlink w:anchor="SustNatResManGlossary" w:history="1">
              <w:r w:rsidRPr="00743B0B">
                <w:rPr>
                  <w:b/>
                  <w:sz w:val="18"/>
                  <w:szCs w:val="18"/>
                </w:rPr>
                <w:t>naturelles</w:t>
              </w:r>
            </w:hyperlink>
          </w:p>
        </w:tc>
        <w:tc>
          <w:tcPr>
            <w:tcW w:w="833" w:type="dxa"/>
            <w:tcBorders>
              <w:bottom w:val="single" w:sz="4" w:space="0" w:color="auto"/>
            </w:tcBorders>
            <w:shd w:val="clear" w:color="auto" w:fill="DEEAF6"/>
          </w:tcPr>
          <w:p w:rsidR="00743B0B" w:rsidRPr="00743B0B" w:rsidRDefault="00743B0B" w:rsidP="00743B0B">
            <w:pPr>
              <w:rPr>
                <w:rFonts w:eastAsia="Times New Roman"/>
                <w:b/>
                <w:sz w:val="18"/>
                <w:szCs w:val="18"/>
              </w:rPr>
            </w:pPr>
          </w:p>
        </w:tc>
      </w:tr>
      <w:tr w:rsidR="00743B0B" w:rsidRPr="00743B0B" w:rsidTr="00743B0B">
        <w:tc>
          <w:tcPr>
            <w:tcW w:w="8635" w:type="dxa"/>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 xml:space="preserve">1.1 </w:t>
            </w:r>
            <w:r w:rsidRPr="00743B0B">
              <w:rPr>
                <w:sz w:val="18"/>
                <w:szCs w:val="18"/>
              </w:rPr>
              <w:tab/>
              <w:t xml:space="preserve">Le projet risque-t-il potentiellement d’avoir </w:t>
            </w:r>
            <w:r w:rsidR="004533D6">
              <w:rPr>
                <w:sz w:val="18"/>
                <w:szCs w:val="18"/>
              </w:rPr>
              <w:t>une incidence</w:t>
            </w:r>
            <w:r w:rsidRPr="00743B0B">
              <w:rPr>
                <w:sz w:val="18"/>
                <w:szCs w:val="18"/>
              </w:rPr>
              <w:t xml:space="preserve"> sur les habitats (par exemple, habitats modifiés, naturels et essentiels) et/ou sur les écosystèmes et les services écosystémiques ?</w:t>
            </w:r>
            <w:r w:rsidRPr="00743B0B">
              <w:rPr>
                <w:sz w:val="18"/>
                <w:szCs w:val="18"/>
              </w:rPr>
              <w:br/>
            </w:r>
            <w:r w:rsidRPr="00743B0B">
              <w:rPr>
                <w:sz w:val="18"/>
                <w:szCs w:val="18"/>
              </w:rPr>
              <w:br/>
            </w:r>
            <w:r w:rsidRPr="00743B0B">
              <w:rPr>
                <w:i/>
                <w:sz w:val="18"/>
                <w:szCs w:val="18"/>
              </w:rPr>
              <w:t>Par exemple, risques de perte, de dégradation et de fragmentation d’habitats, de changements hydrologiques.</w:t>
            </w:r>
          </w:p>
        </w:tc>
        <w:tc>
          <w:tcPr>
            <w:tcW w:w="833" w:type="dxa"/>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autoSpaceDE w:val="0"/>
              <w:autoSpaceDN w:val="0"/>
              <w:adjustRightInd w:val="0"/>
              <w:spacing w:before="60"/>
              <w:ind w:left="567" w:hanging="567"/>
              <w:rPr>
                <w:rFonts w:eastAsia="Times New Roman"/>
                <w:color w:val="000000"/>
                <w:sz w:val="18"/>
                <w:szCs w:val="18"/>
              </w:rPr>
            </w:pPr>
            <w:r w:rsidRPr="00743B0B">
              <w:rPr>
                <w:bCs/>
                <w:color w:val="000000"/>
                <w:sz w:val="18"/>
                <w:szCs w:val="18"/>
              </w:rPr>
              <w:t xml:space="preserve">1.2 </w:t>
            </w:r>
            <w:r w:rsidRPr="00743B0B">
              <w:rPr>
                <w:bCs/>
                <w:color w:val="000000"/>
                <w:sz w:val="18"/>
                <w:szCs w:val="18"/>
              </w:rPr>
              <w:tab/>
              <w:t>Le projet comporte-t-il des propositions d’activités au sein ou à proximité d’habitats essentiels et/ou de zones sensibles d’un point de vue environnemental, y compris des zones protégées par la loi (ex. réserve naturelle, parc national), des zones proposées pour être protégées ou reconnues comme telles par des sources faisant autorité et/ou les peuples autochtones ou les communautés locales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1.3</w:t>
            </w:r>
            <w:r w:rsidRPr="00743B0B">
              <w:rPr>
                <w:sz w:val="18"/>
                <w:szCs w:val="18"/>
              </w:rPr>
              <w:tab/>
              <w:t xml:space="preserve">Le projet implique-t-il des changements portant sur l’utilisation des terres et des ressources qui peuvent avoir </w:t>
            </w:r>
            <w:r w:rsidR="004533D6">
              <w:rPr>
                <w:sz w:val="18"/>
                <w:szCs w:val="18"/>
              </w:rPr>
              <w:t>une incidence</w:t>
            </w:r>
            <w:r w:rsidRPr="00743B0B">
              <w:rPr>
                <w:sz w:val="18"/>
                <w:szCs w:val="18"/>
              </w:rPr>
              <w:t xml:space="preserve"> sur les habitats, les écosystèmes et/ou les moyens de subsistance ? (Remarque</w:t>
            </w:r>
            <w:r w:rsidR="002575A2">
              <w:rPr>
                <w:sz w:val="18"/>
                <w:szCs w:val="18"/>
              </w:rPr>
              <w:t> :</w:t>
            </w:r>
            <w:r w:rsidRPr="00743B0B">
              <w:rPr>
                <w:sz w:val="18"/>
                <w:szCs w:val="18"/>
              </w:rPr>
              <w:t xml:space="preserve"> si des restrictions et/ou des limitations d’accès aux terres s’appliquent, consultez la norme 5.)</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1.4</w:t>
            </w:r>
            <w:r w:rsidRPr="00743B0B">
              <w:rPr>
                <w:sz w:val="18"/>
                <w:szCs w:val="18"/>
              </w:rPr>
              <w:tab/>
              <w:t>Les activités du projet peuvent-elles poser des risques pour les espèces menacées d’extinction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1.5 </w:t>
            </w:r>
            <w:r w:rsidRPr="00743B0B">
              <w:rPr>
                <w:sz w:val="18"/>
                <w:szCs w:val="18"/>
              </w:rPr>
              <w:tab/>
              <w:t xml:space="preserve">Le projet risque-t-il d’introduire des espèces exotiques envahissantes ?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1.6 </w:t>
            </w:r>
            <w:r w:rsidRPr="00743B0B">
              <w:rPr>
                <w:sz w:val="18"/>
                <w:szCs w:val="18"/>
              </w:rPr>
              <w:tab/>
              <w:t>Le projet implique-t-il l’exploitation des forêts naturelles, le développement de plantations ou des activités de reforestation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Oui</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1.7 </w:t>
            </w:r>
            <w:r w:rsidRPr="00743B0B">
              <w:rPr>
                <w:sz w:val="18"/>
                <w:szCs w:val="18"/>
              </w:rPr>
              <w:tab/>
              <w:t>Le projet implique-t-il la production et/ou l’exploitation de populations de poissons ou d’autres espèces aquatiques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1.8 </w:t>
            </w:r>
            <w:r w:rsidRPr="00743B0B">
              <w:rPr>
                <w:sz w:val="18"/>
                <w:szCs w:val="18"/>
              </w:rPr>
              <w:tab/>
              <w:t>Le projet implique-t-il l’extraction, la dérivation ou la retenue considérable des eaux de surface ou souterraines ?</w:t>
            </w:r>
          </w:p>
          <w:p w:rsidR="00743B0B" w:rsidRPr="00743B0B" w:rsidRDefault="00743B0B" w:rsidP="00743B0B">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Par exemple, construction de barrages, réservoirs, bassins hydrographiques, extraction d’eau souterraine.</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1.9 </w:t>
            </w:r>
            <w:r w:rsidRPr="00743B0B">
              <w:rPr>
                <w:sz w:val="18"/>
                <w:szCs w:val="18"/>
              </w:rPr>
              <w:tab/>
              <w:t>Le projet implique-t-il l’utilisation de ressources génétiques ? (</w:t>
            </w:r>
            <w:r w:rsidR="00A33495">
              <w:rPr>
                <w:sz w:val="18"/>
                <w:szCs w:val="18"/>
              </w:rPr>
              <w:t>p</w:t>
            </w:r>
            <w:r w:rsidRPr="00743B0B">
              <w:rPr>
                <w:sz w:val="18"/>
                <w:szCs w:val="18"/>
              </w:rPr>
              <w:t xml:space="preserve">ar exemple, collecte et/ou exploitation, développement commercial)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b/>
                <w:sz w:val="18"/>
                <w:szCs w:val="18"/>
              </w:rPr>
            </w:pPr>
            <w:r w:rsidRPr="00743B0B">
              <w:rPr>
                <w:sz w:val="18"/>
                <w:szCs w:val="18"/>
              </w:rPr>
              <w:t>1.10</w:t>
            </w:r>
            <w:r w:rsidRPr="00743B0B">
              <w:rPr>
                <w:sz w:val="18"/>
                <w:szCs w:val="18"/>
              </w:rPr>
              <w:tab/>
              <w:t>Le projet risque-t-il potentiellement de générer des problèmes environnementaux transfrontières ou mondiaux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1.11</w:t>
            </w:r>
            <w:r w:rsidRPr="00743B0B">
              <w:rPr>
                <w:sz w:val="18"/>
                <w:szCs w:val="18"/>
              </w:rPr>
              <w:tab/>
              <w:t>Le projet peut-il déboucher sur des activités de développement secondaires ou consécutives qui provoqueraient des effets négatifs sur le plan social et environnemental, ou peut-il avoir un impact qui se cumule avec d’autres activités existantes ou prévues dans la zone ?</w:t>
            </w:r>
          </w:p>
          <w:p w:rsidR="00743B0B" w:rsidRPr="00743B0B" w:rsidRDefault="00743B0B" w:rsidP="004533D6">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 xml:space="preserve">Par exemple, la construction d’une nouvelle route sur des terres boisées </w:t>
            </w:r>
            <w:r w:rsidR="004533D6">
              <w:rPr>
                <w:i/>
                <w:sz w:val="18"/>
                <w:szCs w:val="18"/>
              </w:rPr>
              <w:t>entraine une répercussion</w:t>
            </w:r>
            <w:r w:rsidRPr="00743B0B">
              <w:rPr>
                <w:i/>
                <w:sz w:val="18"/>
                <w:szCs w:val="18"/>
              </w:rPr>
              <w:t xml:space="preserve"> environnemental</w:t>
            </w:r>
            <w:r w:rsidR="004533D6">
              <w:rPr>
                <w:i/>
                <w:sz w:val="18"/>
                <w:szCs w:val="18"/>
              </w:rPr>
              <w:t>e</w:t>
            </w:r>
            <w:r w:rsidRPr="00743B0B">
              <w:rPr>
                <w:i/>
                <w:sz w:val="18"/>
                <w:szCs w:val="18"/>
              </w:rPr>
              <w:t xml:space="preserve"> et social</w:t>
            </w:r>
            <w:r w:rsidR="004533D6">
              <w:rPr>
                <w:i/>
                <w:sz w:val="18"/>
                <w:szCs w:val="18"/>
              </w:rPr>
              <w:t>e</w:t>
            </w:r>
            <w:r w:rsidRPr="00743B0B">
              <w:rPr>
                <w:i/>
                <w:sz w:val="18"/>
                <w:szCs w:val="18"/>
              </w:rPr>
              <w:t xml:space="preserve"> direct</w:t>
            </w:r>
            <w:r w:rsidR="004533D6">
              <w:rPr>
                <w:i/>
                <w:sz w:val="18"/>
                <w:szCs w:val="18"/>
              </w:rPr>
              <w:t>e</w:t>
            </w:r>
            <w:r w:rsidRPr="00743B0B">
              <w:rPr>
                <w:i/>
                <w:sz w:val="18"/>
                <w:szCs w:val="18"/>
              </w:rPr>
              <w:t xml:space="preserve"> (ex. abattage d’arbres, travaux de terrassement, réinstallation potentielle d’habitants). La nouvelle route peut également faciliter l’empiétement sur des terres par des colonies illégales ou générer des activités commerciales non planifiées sur la route, potentiellement dans des zones sensibles. Il s’agit d’effets indirects, secondaires ou induits qui doivent être pris en compte. En outre, si des aménagements similaires dans la même zone boisée sont planifiés, les effets cumulatifs de plusieurs activités (même si elles ne font pas partie du même projet) doivent être envisagés.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30"/>
        </w:trPr>
        <w:tc>
          <w:tcPr>
            <w:tcW w:w="8635" w:type="dxa"/>
            <w:tcBorders>
              <w:bottom w:val="single" w:sz="4" w:space="0" w:color="auto"/>
            </w:tcBorders>
            <w:shd w:val="clear" w:color="auto" w:fill="DEEAF6"/>
            <w:vAlign w:val="center"/>
          </w:tcPr>
          <w:p w:rsidR="00743B0B" w:rsidRPr="00743B0B" w:rsidRDefault="00743B0B" w:rsidP="00743B0B">
            <w:pPr>
              <w:tabs>
                <w:tab w:val="left" w:pos="555"/>
              </w:tabs>
              <w:spacing w:before="120" w:after="120"/>
              <w:rPr>
                <w:rFonts w:eastAsia="Times New Roman"/>
                <w:b/>
                <w:sz w:val="18"/>
                <w:szCs w:val="18"/>
              </w:rPr>
            </w:pPr>
            <w:r w:rsidRPr="00743B0B">
              <w:rPr>
                <w:b/>
                <w:sz w:val="18"/>
                <w:szCs w:val="18"/>
              </w:rPr>
              <w:t>Norme 2</w:t>
            </w:r>
            <w:r w:rsidR="002575A2">
              <w:rPr>
                <w:b/>
                <w:sz w:val="18"/>
                <w:szCs w:val="18"/>
              </w:rPr>
              <w:t> :</w:t>
            </w:r>
            <w:r w:rsidR="00F12E0C">
              <w:rPr>
                <w:b/>
                <w:sz w:val="18"/>
                <w:szCs w:val="18"/>
              </w:rPr>
              <w:t xml:space="preserve"> A</w:t>
            </w:r>
            <w:r w:rsidRPr="00743B0B">
              <w:rPr>
                <w:b/>
                <w:sz w:val="18"/>
                <w:szCs w:val="18"/>
              </w:rPr>
              <w:t>tténuation du changement climatique et adaptation à ses effets</w:t>
            </w:r>
          </w:p>
        </w:tc>
        <w:tc>
          <w:tcPr>
            <w:tcW w:w="833" w:type="dxa"/>
            <w:tcBorders>
              <w:bottom w:val="single" w:sz="4" w:space="0" w:color="auto"/>
            </w:tcBorders>
            <w:shd w:val="clear" w:color="auto" w:fill="DEEAF6"/>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 xml:space="preserve">2.1 </w:t>
            </w:r>
            <w:r w:rsidRPr="00743B0B">
              <w:rPr>
                <w:sz w:val="18"/>
                <w:szCs w:val="18"/>
              </w:rPr>
              <w:tab/>
              <w:t>Le projet proposé générera-t-il des émissions de gaz à effet de serre</w:t>
            </w:r>
            <w:r w:rsidRPr="00743B0B">
              <w:rPr>
                <w:sz w:val="18"/>
                <w:szCs w:val="18"/>
                <w:vertAlign w:val="superscript"/>
              </w:rPr>
              <w:footnoteReference w:id="46"/>
            </w:r>
            <w:r w:rsidRPr="00743B0B">
              <w:rPr>
                <w:sz w:val="18"/>
                <w:szCs w:val="18"/>
              </w:rPr>
              <w:t xml:space="preserve"> considérables ou est-il susceptible d’accentuer le changement climatique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585"/>
              </w:tabs>
              <w:autoSpaceDE w:val="0"/>
              <w:autoSpaceDN w:val="0"/>
              <w:adjustRightInd w:val="0"/>
              <w:spacing w:before="60"/>
              <w:ind w:left="567" w:hanging="567"/>
              <w:rPr>
                <w:rFonts w:eastAsia="Times New Roman"/>
                <w:sz w:val="18"/>
                <w:szCs w:val="18"/>
              </w:rPr>
            </w:pPr>
            <w:r w:rsidRPr="00743B0B">
              <w:rPr>
                <w:sz w:val="18"/>
                <w:szCs w:val="18"/>
              </w:rPr>
              <w:t>2.2</w:t>
            </w:r>
            <w:r w:rsidRPr="00743B0B">
              <w:rPr>
                <w:sz w:val="18"/>
                <w:szCs w:val="18"/>
              </w:rPr>
              <w:tab/>
              <w:t xml:space="preserve">Les résultats potentiels du projet sont-ils susceptibles d’être sensibles ou vulnérables </w:t>
            </w:r>
            <w:r w:rsidR="004533D6">
              <w:rPr>
                <w:sz w:val="18"/>
                <w:szCs w:val="18"/>
              </w:rPr>
              <w:t>aux incidences</w:t>
            </w:r>
            <w:r w:rsidRPr="00743B0B">
              <w:rPr>
                <w:sz w:val="18"/>
                <w:szCs w:val="18"/>
              </w:rPr>
              <w:t xml:space="preserve"> potentiel</w:t>
            </w:r>
            <w:r w:rsidR="004533D6">
              <w:rPr>
                <w:sz w:val="18"/>
                <w:szCs w:val="18"/>
              </w:rPr>
              <w:t>les liées aux</w:t>
            </w:r>
            <w:r w:rsidRPr="00743B0B">
              <w:rPr>
                <w:sz w:val="18"/>
                <w:szCs w:val="18"/>
              </w:rPr>
              <w:t xml:space="preserve"> changement</w:t>
            </w:r>
            <w:r w:rsidR="004533D6">
              <w:rPr>
                <w:sz w:val="18"/>
                <w:szCs w:val="18"/>
              </w:rPr>
              <w:t>s</w:t>
            </w:r>
            <w:r w:rsidRPr="00743B0B">
              <w:rPr>
                <w:sz w:val="18"/>
                <w:szCs w:val="18"/>
              </w:rPr>
              <w:t xml:space="preserve"> climatique</w:t>
            </w:r>
            <w:r w:rsidR="004533D6">
              <w:rPr>
                <w:sz w:val="18"/>
                <w:szCs w:val="18"/>
              </w:rPr>
              <w:t>s</w:t>
            </w:r>
            <w:r w:rsidRPr="00743B0B">
              <w:rPr>
                <w:sz w:val="18"/>
                <w:szCs w:val="18"/>
              </w:rPr>
              <w:t xml:space="preserv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t>2.3</w:t>
            </w:r>
            <w:r w:rsidRPr="00743B0B">
              <w:tab/>
              <w:t xml:space="preserve">Le projet proposé est-il susceptible d’accroître directement ou indirectement, dans le présent ou à l’avenir, la </w:t>
            </w:r>
            <w:hyperlink w:anchor="CCVulnerabilityGlossary" w:history="1">
              <w:r w:rsidRPr="00743B0B">
                <w:rPr>
                  <w:sz w:val="18"/>
                  <w:szCs w:val="18"/>
                </w:rPr>
                <w:t xml:space="preserve">vulnérabilité </w:t>
              </w:r>
              <w:r w:rsidR="00F22AF3">
                <w:rPr>
                  <w:sz w:val="18"/>
                  <w:szCs w:val="18"/>
                </w:rPr>
                <w:t>aux changements climatiques</w:t>
              </w:r>
            </w:hyperlink>
            <w:r w:rsidRPr="00743B0B">
              <w:t xml:space="preserve"> sur le plan social et environnemental (ce que l’on appelle des pratiques inadaptées) ?</w:t>
            </w:r>
          </w:p>
          <w:p w:rsidR="00743B0B" w:rsidRPr="00743B0B" w:rsidRDefault="00743B0B" w:rsidP="00743B0B">
            <w:pPr>
              <w:tabs>
                <w:tab w:val="left" w:pos="630"/>
              </w:tabs>
              <w:spacing w:before="60"/>
              <w:ind w:left="630"/>
              <w:rPr>
                <w:rFonts w:eastAsia="Times New Roman"/>
                <w:sz w:val="18"/>
                <w:szCs w:val="18"/>
              </w:rPr>
            </w:pPr>
            <w:r w:rsidRPr="00743B0B">
              <w:rPr>
                <w:i/>
                <w:sz w:val="18"/>
                <w:szCs w:val="18"/>
              </w:rPr>
              <w:t xml:space="preserve">Par exemple, des changements apportés à l’aménagement du territoire peuvent favoriser le développement de plaines alluviales, ce qui est susceptible d’accroître la vulnérabilité de la population </w:t>
            </w:r>
            <w:r w:rsidR="00F22AF3">
              <w:rPr>
                <w:i/>
                <w:sz w:val="18"/>
                <w:szCs w:val="18"/>
              </w:rPr>
              <w:t>aux changements climatiques</w:t>
            </w:r>
            <w:r w:rsidRPr="00743B0B">
              <w:rPr>
                <w:i/>
                <w:sz w:val="18"/>
                <w:szCs w:val="18"/>
              </w:rPr>
              <w:t>, et plus particulièrement aux inondations.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39"/>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3</w:t>
            </w:r>
            <w:r w:rsidR="002575A2">
              <w:rPr>
                <w:b/>
                <w:sz w:val="18"/>
                <w:szCs w:val="18"/>
              </w:rPr>
              <w:t> :</w:t>
            </w:r>
            <w:r w:rsidR="00F12E0C">
              <w:rPr>
                <w:b/>
                <w:sz w:val="18"/>
                <w:szCs w:val="18"/>
              </w:rPr>
              <w:t xml:space="preserve"> S</w:t>
            </w:r>
            <w:r w:rsidRPr="00743B0B">
              <w:rPr>
                <w:b/>
                <w:sz w:val="18"/>
                <w:szCs w:val="18"/>
              </w:rPr>
              <w:t>anté, sécurité et conditions de travail des collectivités</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3.1</w:t>
            </w:r>
            <w:r w:rsidRPr="00743B0B">
              <w:rPr>
                <w:sz w:val="18"/>
                <w:szCs w:val="18"/>
              </w:rPr>
              <w:tab/>
              <w:t>Certains éléments de la construction, du fonctionnement et</w:t>
            </w:r>
            <w:r w:rsidR="00A33495">
              <w:rPr>
                <w:sz w:val="18"/>
                <w:szCs w:val="18"/>
              </w:rPr>
              <w:t>/</w:t>
            </w:r>
            <w:r w:rsidRPr="00743B0B">
              <w:rPr>
                <w:sz w:val="18"/>
                <w:szCs w:val="18"/>
              </w:rPr>
              <w:t>ou du démantèlement des infrastructures du projet posent-ils des risques potentiels pour la sécurité des communautés locales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3.2</w:t>
            </w:r>
            <w:r w:rsidRPr="00743B0B">
              <w:rPr>
                <w:sz w:val="18"/>
                <w:szCs w:val="18"/>
              </w:rPr>
              <w:tab/>
              <w:t>Le projet est-il susceptible de poser des risques pour la santé et la sécurité des communautés en raison du transport, du stockage et de l’utilisation et/ou de l’élimination de matières dangereuses (ex. explosifs, carburant et autres produits chimiques durant la construction et le fonctionnement)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3.3</w:t>
            </w:r>
            <w:r w:rsidRPr="00743B0B">
              <w:rPr>
                <w:sz w:val="18"/>
                <w:szCs w:val="18"/>
              </w:rPr>
              <w:tab/>
              <w:t>Le projet implique-t-il le développement d’infrastructures à grande échelle (ex. barrages, routes, bâtiments)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3.4</w:t>
            </w:r>
            <w:r w:rsidRPr="00743B0B">
              <w:rPr>
                <w:sz w:val="18"/>
                <w:szCs w:val="18"/>
              </w:rPr>
              <w:tab/>
              <w:t>Une défaillance des éléments structurels du projet poserait-elle des risques pour les communautés ? (ex. effondrement de bâtiments ou d’infrastructures)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3.5</w:t>
            </w:r>
            <w:r w:rsidRPr="00743B0B">
              <w:rPr>
                <w:sz w:val="18"/>
                <w:szCs w:val="18"/>
              </w:rPr>
              <w:tab/>
              <w:t>Le projet proposé est-il susceptible d’accroître la vulnérabilité aux tremblements de terre, affaissements de terrain, glissements de terrain, érosion, inondations ou phénomènes climatiques extrêmes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3.6</w:t>
            </w:r>
            <w:r w:rsidRPr="00743B0B">
              <w:rPr>
                <w:sz w:val="18"/>
                <w:szCs w:val="18"/>
              </w:rPr>
              <w:tab/>
              <w:t>Le projet est-il susceptible d’accroître les risques sanitaires potentiels (ex. maladies transmises par l’eau, autres maladies à transmission vectorielle ou maladies transmissibles telles que le VIH/Sida)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3.7</w:t>
            </w:r>
            <w:r w:rsidRPr="00743B0B">
              <w:rPr>
                <w:sz w:val="18"/>
                <w:szCs w:val="18"/>
              </w:rPr>
              <w:tab/>
              <w:t>Le projet présente-t-il des risques et une vulnérabilité potentiels liés à la santé et la sécurité au travail découlant de dangers physiques, chimiques, biologiques et radiologiques durant la construction, le fonctionnement ou le démantèlement des infrastructures du projet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3.8</w:t>
            </w:r>
            <w:r w:rsidRPr="00743B0B">
              <w:rPr>
                <w:sz w:val="18"/>
                <w:szCs w:val="18"/>
              </w:rPr>
              <w:tab/>
              <w:t>Le projet implique-t-il un soutien à l’emploi ou aux moyens de subsistance qui est susceptible d’enfreindre les normes nationales et internationales en matière de travail (c’est-à-dire, principes et normes des conventions fondamentales de l’OIT) ?</w:t>
            </w:r>
            <w:r w:rsidR="008712C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3.9</w:t>
            </w:r>
            <w:r w:rsidRPr="00743B0B">
              <w:rPr>
                <w:sz w:val="18"/>
                <w:szCs w:val="18"/>
              </w:rPr>
              <w:tab/>
              <w:t>Le projet implique-t-il l’engagement d’agents de sécurité qui posent un risque potentiel pour la santé et la sécurité des communautés et/ou des personnes (ex. en raison d’un manque de formation adéquate ou de responsabilisation)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03"/>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4</w:t>
            </w:r>
            <w:r w:rsidR="002575A2">
              <w:rPr>
                <w:b/>
                <w:sz w:val="18"/>
                <w:szCs w:val="18"/>
              </w:rPr>
              <w:t> :</w:t>
            </w:r>
            <w:r w:rsidR="00F12E0C">
              <w:rPr>
                <w:b/>
                <w:sz w:val="18"/>
                <w:szCs w:val="18"/>
              </w:rPr>
              <w:t xml:space="preserve"> P</w:t>
            </w:r>
            <w:r w:rsidRPr="00743B0B">
              <w:rPr>
                <w:b/>
                <w:sz w:val="18"/>
                <w:szCs w:val="18"/>
              </w:rPr>
              <w:t>atrimoine culturel</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585"/>
              </w:tabs>
              <w:spacing w:before="60"/>
              <w:ind w:left="567" w:hanging="567"/>
              <w:rPr>
                <w:rFonts w:eastAsia="Times New Roman"/>
                <w:sz w:val="18"/>
                <w:szCs w:val="18"/>
              </w:rPr>
            </w:pPr>
            <w:r w:rsidRPr="00743B0B">
              <w:rPr>
                <w:sz w:val="18"/>
                <w:szCs w:val="18"/>
              </w:rPr>
              <w:t>4.1</w:t>
            </w:r>
            <w:r w:rsidRPr="00743B0B">
              <w:rPr>
                <w:sz w:val="18"/>
                <w:szCs w:val="18"/>
              </w:rPr>
              <w:tab/>
              <w:t xml:space="preserve">Le projet proposé débouchera-t-il sur des interventions susceptibles d’avoir </w:t>
            </w:r>
            <w:r w:rsidR="004533D6">
              <w:rPr>
                <w:sz w:val="18"/>
                <w:szCs w:val="18"/>
              </w:rPr>
              <w:t>une incidence</w:t>
            </w:r>
            <w:r w:rsidRPr="00743B0B">
              <w:rPr>
                <w:sz w:val="18"/>
                <w:szCs w:val="18"/>
              </w:rPr>
              <w:t xml:space="preserve"> sur des sites, structures ou objets présentant une valeur historique, culturelle, artistique, traditionnelle ou religieuse ou des formes immatérielles de patrimoine culturel (ex. connaissances, innovations, pratiques) ? (Remarque</w:t>
            </w:r>
            <w:r w:rsidR="002575A2">
              <w:rPr>
                <w:sz w:val="18"/>
                <w:szCs w:val="18"/>
              </w:rPr>
              <w:t> :</w:t>
            </w:r>
            <w:r w:rsidRPr="00743B0B">
              <w:rPr>
                <w:sz w:val="18"/>
                <w:szCs w:val="18"/>
              </w:rPr>
              <w:t xml:space="preserve"> les projets visant à protéger et conserver le patrimoine culturel peuvent également un impact négatif involontaire.)</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4.2</w:t>
            </w:r>
            <w:r w:rsidRPr="00743B0B">
              <w:rPr>
                <w:sz w:val="18"/>
                <w:szCs w:val="18"/>
              </w:rPr>
              <w:tab/>
              <w:t>Le projet propose-t-il d’utiliser des formes matérielles et/ou immatérielles de patrimoine culturel à des fins commerciales ou autres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66"/>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5</w:t>
            </w:r>
            <w:r w:rsidR="002575A2">
              <w:rPr>
                <w:b/>
                <w:sz w:val="18"/>
                <w:szCs w:val="18"/>
              </w:rPr>
              <w:t> :</w:t>
            </w:r>
            <w:r w:rsidR="00F12E0C">
              <w:rPr>
                <w:b/>
                <w:sz w:val="18"/>
                <w:szCs w:val="18"/>
              </w:rPr>
              <w:t xml:space="preserve"> D</w:t>
            </w:r>
            <w:r w:rsidRPr="00743B0B">
              <w:rPr>
                <w:b/>
                <w:sz w:val="18"/>
                <w:szCs w:val="18"/>
              </w:rPr>
              <w:t>éplacement et réinstallation</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5.1</w:t>
            </w:r>
            <w:r w:rsidRPr="00743B0B">
              <w:rPr>
                <w:sz w:val="18"/>
                <w:szCs w:val="18"/>
              </w:rPr>
              <w:tab/>
              <w:t>Le projet est-il susceptible d’impliquer un déplacement physique temporaire ou permanent et complet ou partiel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5.2</w:t>
            </w:r>
            <w:r w:rsidRPr="00743B0B">
              <w:rPr>
                <w:sz w:val="18"/>
                <w:szCs w:val="18"/>
              </w:rPr>
              <w:tab/>
              <w:t xml:space="preserve">Le projet risque-t-il d’induire un déplacement économique (ex. perte de biens ou de l’accès à des ressources due à l’acquisition de terres ou des restrictions d’accès – même en l’absence de réinstallation physique)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Cs w:val="18"/>
              </w:rPr>
              <w:t>5.3</w:t>
            </w:r>
            <w:r w:rsidRPr="00743B0B">
              <w:rPr>
                <w:szCs w:val="18"/>
              </w:rPr>
              <w:tab/>
              <w:t>Le projet risque-t-il d’être à la source d’expulsions 23 ?</w:t>
            </w:r>
            <w:r w:rsidRPr="00743B0B">
              <w:rPr>
                <w:rFonts w:eastAsia="Times New Roman"/>
                <w:vertAlign w:val="superscript"/>
              </w:rPr>
              <w:footnoteReference w:id="47"/>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5.4</w:t>
            </w:r>
            <w:r w:rsidRPr="00743B0B">
              <w:rPr>
                <w:sz w:val="18"/>
                <w:szCs w:val="18"/>
              </w:rPr>
              <w:tab/>
              <w:t xml:space="preserve">Le projet proposé est-il susceptible d’affecter des dispositions relatives au régime foncier et/ou des droits de propriété communautaires/droits coutumiers à des terres, territoires et/ou ressources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84"/>
        </w:trPr>
        <w:tc>
          <w:tcPr>
            <w:tcW w:w="8635" w:type="dxa"/>
            <w:tcBorders>
              <w:bottom w:val="single" w:sz="4" w:space="0" w:color="auto"/>
            </w:tcBorders>
            <w:shd w:val="clear" w:color="auto" w:fill="DEEAF6"/>
            <w:vAlign w:val="center"/>
          </w:tcPr>
          <w:p w:rsidR="00743B0B" w:rsidRPr="00743B0B" w:rsidRDefault="00743B0B" w:rsidP="006F1C40">
            <w:pPr>
              <w:tabs>
                <w:tab w:val="left" w:pos="0"/>
                <w:tab w:val="left" w:pos="555"/>
              </w:tabs>
              <w:spacing w:before="60"/>
              <w:rPr>
                <w:rFonts w:eastAsia="Times New Roman"/>
                <w:b/>
                <w:sz w:val="18"/>
                <w:szCs w:val="18"/>
              </w:rPr>
            </w:pPr>
            <w:r w:rsidRPr="00743B0B">
              <w:rPr>
                <w:b/>
                <w:sz w:val="18"/>
                <w:szCs w:val="18"/>
              </w:rPr>
              <w:t>Norme 6</w:t>
            </w:r>
            <w:r w:rsidR="002575A2">
              <w:rPr>
                <w:b/>
                <w:sz w:val="18"/>
                <w:szCs w:val="18"/>
              </w:rPr>
              <w:t> :</w:t>
            </w:r>
            <w:r w:rsidRPr="00743B0B">
              <w:rPr>
                <w:b/>
                <w:sz w:val="18"/>
                <w:szCs w:val="18"/>
              </w:rPr>
              <w:t xml:space="preserve"> </w:t>
            </w:r>
            <w:r w:rsidR="00F12E0C">
              <w:rPr>
                <w:b/>
                <w:sz w:val="18"/>
                <w:szCs w:val="18"/>
              </w:rPr>
              <w:t>P</w:t>
            </w:r>
            <w:r w:rsidRPr="00743B0B">
              <w:rPr>
                <w:b/>
                <w:sz w:val="18"/>
                <w:szCs w:val="18"/>
              </w:rPr>
              <w:t>euples autochtones</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6.1</w:t>
            </w:r>
            <w:r w:rsidRPr="00743B0B">
              <w:rPr>
                <w:sz w:val="18"/>
                <w:szCs w:val="18"/>
              </w:rPr>
              <w:tab/>
              <w:t>Des peuples autochtones se trouvent-ils dans la zone du projet (y compris la zone d’influence du projet)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6.2</w:t>
            </w:r>
            <w:r w:rsidRPr="00743B0B">
              <w:rPr>
                <w:sz w:val="18"/>
                <w:szCs w:val="18"/>
              </w:rPr>
              <w:tab/>
              <w:t>Le projet ou des parties du projet sont-ils susceptibles de se situer sur des terres ou des territoires revendiqués par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6.3</w:t>
            </w:r>
            <w:r w:rsidRPr="00743B0B">
              <w:rPr>
                <w:sz w:val="18"/>
                <w:szCs w:val="18"/>
              </w:rPr>
              <w:tab/>
              <w:t>Le projet proposé est-il susceptible d’affecter les droits humains, les terres, les ressources naturelles,</w:t>
            </w:r>
            <w:r w:rsidR="008712CB">
              <w:rPr>
                <w:sz w:val="18"/>
                <w:szCs w:val="18"/>
              </w:rPr>
              <w:t xml:space="preserve"> </w:t>
            </w:r>
            <w:r w:rsidRPr="00743B0B">
              <w:rPr>
                <w:sz w:val="18"/>
                <w:szCs w:val="18"/>
              </w:rPr>
              <w:t xml:space="preserve">les territoires et les moyens de subsistance traditionnels de peuples autochtones (indépendamment du fait que les peuples autochtones en détiennent </w:t>
            </w:r>
            <w:r w:rsidR="00A33495">
              <w:rPr>
                <w:sz w:val="18"/>
                <w:szCs w:val="18"/>
              </w:rPr>
              <w:t>ou</w:t>
            </w:r>
            <w:r w:rsidRPr="00743B0B">
              <w:rPr>
                <w:sz w:val="18"/>
                <w:szCs w:val="18"/>
              </w:rPr>
              <w:t xml:space="preserve"> non les titres de propriété, que le projet soit situé sur ou en dehors des terres et territoires habités par les populations affectées, ou que les peuples autochtones soient reconnus comme tels par le pays en question) ? </w:t>
            </w:r>
          </w:p>
          <w:p w:rsidR="00743B0B" w:rsidRPr="00743B0B" w:rsidRDefault="00743B0B" w:rsidP="00743B0B">
            <w:pPr>
              <w:tabs>
                <w:tab w:val="left" w:pos="585"/>
              </w:tabs>
              <w:spacing w:before="60"/>
              <w:ind w:left="567" w:firstLine="40"/>
              <w:rPr>
                <w:i/>
                <w:sz w:val="18"/>
                <w:szCs w:val="18"/>
              </w:rPr>
            </w:pPr>
            <w:r w:rsidRPr="00743B0B">
              <w:rPr>
                <w:i/>
                <w:sz w:val="18"/>
                <w:szCs w:val="18"/>
              </w:rPr>
              <w:t>Si la réponse à la question préalable 6.3 est « oui</w:t>
            </w:r>
            <w:r w:rsidR="00A33495">
              <w:rPr>
                <w:i/>
                <w:sz w:val="18"/>
                <w:szCs w:val="18"/>
              </w:rPr>
              <w:t xml:space="preserve"> »</w:t>
            </w:r>
            <w:r w:rsidRPr="00743B0B">
              <w:rPr>
                <w:i/>
                <w:sz w:val="18"/>
                <w:szCs w:val="18"/>
              </w:rPr>
              <w:t xml:space="preserve"> les impacts de risque potentiel sont considérés comme potentiellement sévères et/ou critiques et le projet est catégorisé comme étant à risque modéré ou élevé.</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6.4</w:t>
            </w:r>
            <w:r w:rsidRPr="00743B0B">
              <w:rPr>
                <w:sz w:val="18"/>
                <w:szCs w:val="18"/>
              </w:rPr>
              <w:tab/>
              <w:t>Des consultations culturellement appropriées menées dans l’objectif d’obtenir le CPLE sur des questions qui touchent les droits et intérêts, terres, ressources, territoires et moyens de subsistance traditionnels des peuples autochtones concernés font-elles défaut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6.5</w:t>
            </w:r>
            <w:r w:rsidRPr="00743B0B">
              <w:rPr>
                <w:sz w:val="18"/>
                <w:szCs w:val="18"/>
              </w:rPr>
              <w:tab/>
              <w:t>Le projet proposé implique-t-il l’utilisation et/ou le développement commercial de ressources naturelles sur des terres et territoires revendiqués par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6.6</w:t>
            </w:r>
            <w:r w:rsidRPr="00743B0B">
              <w:rPr>
                <w:sz w:val="18"/>
                <w:szCs w:val="18"/>
              </w:rPr>
              <w:tab/>
              <w:t>Existe-t-il un risque d’expulsion ou le déplacement économique complet ou partiel de peuples autochtones, y compris par des restrictions d’accès aux terres, territoires et ressources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6.7</w:t>
            </w:r>
            <w:r w:rsidRPr="00743B0B">
              <w:rPr>
                <w:sz w:val="18"/>
                <w:szCs w:val="18"/>
              </w:rPr>
              <w:tab/>
              <w:t>Le projet est-il susceptible d’affecter les priorités de développement des peuples autochtones telles qu’ils les définissent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6.8</w:t>
            </w:r>
            <w:r w:rsidRPr="00743B0B">
              <w:rPr>
                <w:sz w:val="18"/>
                <w:szCs w:val="18"/>
              </w:rPr>
              <w:tab/>
              <w:t>Le projet est-il susceptible d’affecter les moyens de subsistance traditionnels et la survie physique et culturelle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6.9</w:t>
            </w:r>
            <w:r w:rsidRPr="00743B0B">
              <w:rPr>
                <w:sz w:val="18"/>
                <w:szCs w:val="18"/>
              </w:rPr>
              <w:tab/>
              <w:t>Le projet est-il susceptible d’affecter le patrimoine culturel des peuples autochtones, y compris par la commercialisation ou l’utilisation de leurs connaissances et pratiques traditionnelles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602"/>
        </w:trPr>
        <w:tc>
          <w:tcPr>
            <w:tcW w:w="8635" w:type="dxa"/>
            <w:tcBorders>
              <w:bottom w:val="single" w:sz="4" w:space="0" w:color="auto"/>
            </w:tcBorders>
            <w:shd w:val="clear" w:color="auto" w:fill="DEEAF6"/>
            <w:vAlign w:val="center"/>
          </w:tcPr>
          <w:p w:rsidR="00743B0B" w:rsidRPr="00743B0B" w:rsidRDefault="00743B0B" w:rsidP="00743B0B">
            <w:pPr>
              <w:tabs>
                <w:tab w:val="left" w:pos="570"/>
              </w:tabs>
              <w:spacing w:before="120"/>
              <w:rPr>
                <w:rFonts w:eastAsia="Times New Roman"/>
                <w:b/>
                <w:sz w:val="18"/>
                <w:szCs w:val="18"/>
              </w:rPr>
            </w:pPr>
            <w:r w:rsidRPr="00743B0B">
              <w:rPr>
                <w:b/>
                <w:sz w:val="18"/>
                <w:szCs w:val="18"/>
              </w:rPr>
              <w:t>Norme 7</w:t>
            </w:r>
            <w:r w:rsidR="002575A2">
              <w:rPr>
                <w:b/>
                <w:sz w:val="18"/>
                <w:szCs w:val="18"/>
              </w:rPr>
              <w:t> :</w:t>
            </w:r>
            <w:r w:rsidR="00F12E0C">
              <w:rPr>
                <w:b/>
                <w:sz w:val="18"/>
                <w:szCs w:val="18"/>
              </w:rPr>
              <w:t xml:space="preserve"> P</w:t>
            </w:r>
            <w:r w:rsidRPr="00743B0B">
              <w:rPr>
                <w:b/>
                <w:sz w:val="18"/>
                <w:szCs w:val="18"/>
              </w:rPr>
              <w:t>révention de la pollution et utilisation rationnelle des ressources</w:t>
            </w:r>
          </w:p>
        </w:tc>
        <w:tc>
          <w:tcPr>
            <w:tcW w:w="833" w:type="dxa"/>
            <w:tcBorders>
              <w:bottom w:val="single" w:sz="4" w:space="0" w:color="auto"/>
            </w:tcBorders>
            <w:shd w:val="clear" w:color="auto" w:fill="DEEAF6"/>
            <w:vAlign w:val="center"/>
          </w:tcPr>
          <w:p w:rsidR="00743B0B" w:rsidRPr="00743B0B" w:rsidRDefault="00743B0B" w:rsidP="00743B0B">
            <w:pPr>
              <w:rPr>
                <w:rFonts w:eastAsia="Times New Roman"/>
                <w:b/>
                <w:i/>
                <w:sz w:val="18"/>
                <w:szCs w:val="18"/>
              </w:rPr>
            </w:pPr>
          </w:p>
        </w:tc>
      </w:tr>
      <w:tr w:rsidR="00743B0B" w:rsidRPr="00743B0B" w:rsidTr="00743B0B">
        <w:tc>
          <w:tcPr>
            <w:tcW w:w="8635" w:type="dxa"/>
            <w:shd w:val="clear" w:color="auto" w:fill="auto"/>
          </w:tcPr>
          <w:p w:rsidR="00743B0B" w:rsidRPr="00743B0B" w:rsidRDefault="00743B0B" w:rsidP="004533D6">
            <w:pPr>
              <w:tabs>
                <w:tab w:val="left" w:pos="585"/>
              </w:tabs>
              <w:spacing w:before="60"/>
              <w:ind w:left="567" w:hanging="567"/>
              <w:rPr>
                <w:rFonts w:eastAsia="Times New Roman"/>
                <w:sz w:val="18"/>
                <w:szCs w:val="18"/>
              </w:rPr>
            </w:pPr>
            <w:r w:rsidRPr="00743B0B">
              <w:t>7.1</w:t>
            </w:r>
            <w:r w:rsidRPr="00743B0B">
              <w:tab/>
              <w:t xml:space="preserve">Le projet est-il susceptible de provoquer le rejet de polluants dans l’environnement, en raison de circonstances normales ou inhabituelles, risquant d’avoir </w:t>
            </w:r>
            <w:r w:rsidR="004533D6">
              <w:t>une incidence au niveau</w:t>
            </w:r>
            <w:r w:rsidRPr="00743B0B">
              <w:t xml:space="preserve"> local, régional et/ou</w:t>
            </w:r>
            <w:r w:rsidR="004533D6">
              <w:t xml:space="preserve"> transfrontalier</w:t>
            </w:r>
            <w:r w:rsidRPr="00743B0B">
              <w:t> ?</w:t>
            </w:r>
            <w:r w:rsidRPr="00743B0B">
              <w:rPr>
                <w:sz w:val="18"/>
                <w:szCs w:val="18"/>
              </w:rPr>
              <w:t xml:space="preserve"> </w:t>
            </w:r>
          </w:p>
        </w:tc>
        <w:tc>
          <w:tcPr>
            <w:tcW w:w="833" w:type="dxa"/>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7.2</w:t>
            </w:r>
            <w:r w:rsidRPr="00743B0B">
              <w:rPr>
                <w:sz w:val="18"/>
                <w:szCs w:val="18"/>
              </w:rPr>
              <w:tab/>
              <w:t>Le projet proposé est-il susceptible de générer des déchets (dangereux ou non)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rPr>
          <w:trHeight w:val="402"/>
        </w:trPr>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7.3</w:t>
            </w:r>
            <w:r w:rsidRPr="00743B0B">
              <w:rPr>
                <w:sz w:val="18"/>
                <w:szCs w:val="18"/>
              </w:rPr>
              <w:tab/>
              <w:t>Le projet proposé est-il susceptible d’impliquer la fabrication, le commerce, le rejet et/ou l’utilisation de matières et/ou produits chimiques dangereux ? Le projet propose-t-il l’utilisation de produits chimiques ou matières faisant l’objet d’interdictions internationales ou d’un retrait progressif ?</w:t>
            </w:r>
          </w:p>
          <w:p w:rsidR="00743B0B" w:rsidRPr="00743B0B" w:rsidRDefault="00743B0B" w:rsidP="00743B0B">
            <w:pPr>
              <w:tabs>
                <w:tab w:val="left" w:pos="630"/>
              </w:tabs>
              <w:spacing w:before="60"/>
              <w:ind w:left="630"/>
              <w:rPr>
                <w:rFonts w:eastAsia="Times New Roman"/>
                <w:sz w:val="18"/>
                <w:szCs w:val="18"/>
              </w:rPr>
            </w:pPr>
            <w:r w:rsidRPr="00743B0B">
              <w:rPr>
                <w:i/>
                <w:sz w:val="18"/>
                <w:szCs w:val="18"/>
              </w:rPr>
              <w:t>Par exemple, le DDT, les PCB et d’autres produits chimiques répertoriés dans des conventions internationales telles que la Convention de Stockholm sur les polluants organiques persistants ou le Protocole de Montréal.</w:t>
            </w:r>
            <w:r w:rsidRPr="00743B0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7.4</w:t>
            </w:r>
            <w:r w:rsidRPr="00743B0B">
              <w:rPr>
                <w:sz w:val="18"/>
                <w:szCs w:val="18"/>
              </w:rPr>
              <w:tab/>
              <w:t>Le projet proposé implique-t-il l’application de pesticides qui peuvent avoir un effet négatif sur l’environnement ou la santé humaine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7.5</w:t>
            </w:r>
            <w:r w:rsidRPr="00743B0B">
              <w:rPr>
                <w:sz w:val="18"/>
                <w:szCs w:val="18"/>
              </w:rPr>
              <w:tab/>
              <w:t xml:space="preserve">Le projet implique-t-il des activités qui utilisent des quantités importantes de matières premières, énergie et/ou eau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bl>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p>
    <w:p w:rsidR="00743B0B" w:rsidRPr="00743B0B" w:rsidRDefault="00743B0B" w:rsidP="00743B0B">
      <w:pPr>
        <w:spacing w:after="0"/>
        <w:jc w:val="left"/>
        <w:rPr>
          <w:rFonts w:ascii="Times New Roman" w:hAnsi="Times New Roman"/>
          <w:sz w:val="24"/>
        </w:rPr>
      </w:pPr>
      <w:r w:rsidRPr="00743B0B">
        <w:br w:type="page"/>
      </w: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68" w:name="_Toc496886608"/>
      <w:bookmarkStart w:id="169" w:name="_Toc498638445"/>
      <w:r w:rsidRPr="00743B0B">
        <w:rPr>
          <w:rFonts w:ascii="Century Gothic" w:hAnsi="Century Gothic"/>
          <w:b/>
          <w:smallCaps/>
          <w:spacing w:val="-2"/>
          <w:sz w:val="28"/>
          <w:szCs w:val="20"/>
        </w:rPr>
        <w:t>Annexe [J].</w:t>
      </w:r>
      <w:r w:rsidR="008712CB">
        <w:rPr>
          <w:rFonts w:ascii="Century Gothic" w:hAnsi="Century Gothic"/>
          <w:b/>
          <w:smallCaps/>
          <w:spacing w:val="-2"/>
          <w:sz w:val="28"/>
          <w:szCs w:val="20"/>
        </w:rPr>
        <w:t xml:space="preserve"> </w:t>
      </w:r>
      <w:r w:rsidRPr="00743B0B">
        <w:rPr>
          <w:rFonts w:ascii="Century Gothic" w:hAnsi="Century Gothic"/>
          <w:b/>
          <w:smallCaps/>
          <w:spacing w:val="-2"/>
          <w:sz w:val="28"/>
          <w:szCs w:val="20"/>
        </w:rPr>
        <w:t>Lettres de cofinancement</w:t>
      </w:r>
      <w:bookmarkEnd w:id="168"/>
      <w:bookmarkEnd w:id="169"/>
    </w:p>
    <w:p w:rsidR="0098190A" w:rsidRDefault="0098190A" w:rsidP="0098190A">
      <w:pPr>
        <w:rPr>
          <w:i/>
          <w:iCs/>
          <w:u w:val="single"/>
        </w:rPr>
      </w:pPr>
    </w:p>
    <w:p w:rsidR="0098190A" w:rsidRDefault="0098190A" w:rsidP="0098190A">
      <w:pPr>
        <w:jc w:val="center"/>
      </w:pPr>
      <w:r>
        <w:rPr>
          <w:noProof/>
          <w:lang w:bidi="he-IL"/>
        </w:rPr>
        <w:drawing>
          <wp:inline distT="0" distB="0" distL="0" distR="0" wp14:anchorId="784557CF" wp14:editId="174691CB">
            <wp:extent cx="6057900" cy="733425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900" cy="7334250"/>
                    </a:xfrm>
                    <a:prstGeom prst="rect">
                      <a:avLst/>
                    </a:prstGeom>
                    <a:noFill/>
                    <a:ln>
                      <a:noFill/>
                    </a:ln>
                  </pic:spPr>
                </pic:pic>
              </a:graphicData>
            </a:graphic>
          </wp:inline>
        </w:drawing>
      </w:r>
    </w:p>
    <w:p w:rsidR="0098190A" w:rsidRDefault="0098190A" w:rsidP="0098190A"/>
    <w:p w:rsidR="0098190A" w:rsidRDefault="0098190A" w:rsidP="0098190A">
      <w:pPr>
        <w:jc w:val="center"/>
        <w:rPr>
          <w:i/>
          <w:iCs/>
          <w:u w:val="single"/>
        </w:rPr>
      </w:pPr>
      <w:r w:rsidRPr="00BE53B3">
        <w:rPr>
          <w:noProof/>
          <w:lang w:bidi="he-IL"/>
        </w:rPr>
        <w:drawing>
          <wp:inline distT="0" distB="0" distL="0" distR="0" wp14:anchorId="0953DA50" wp14:editId="70EAE010">
            <wp:extent cx="6172200" cy="788670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7886700"/>
                    </a:xfrm>
                    <a:prstGeom prst="rect">
                      <a:avLst/>
                    </a:prstGeom>
                    <a:noFill/>
                    <a:ln>
                      <a:noFill/>
                    </a:ln>
                  </pic:spPr>
                </pic:pic>
              </a:graphicData>
            </a:graphic>
          </wp:inline>
        </w:drawing>
      </w:r>
    </w:p>
    <w:p w:rsidR="0098190A" w:rsidRPr="00BE53B3" w:rsidRDefault="0098190A" w:rsidP="0098190A">
      <w:pPr>
        <w:jc w:val="center"/>
      </w:pPr>
      <w:r>
        <w:rPr>
          <w:noProof/>
          <w:lang w:bidi="he-IL"/>
        </w:rPr>
        <w:drawing>
          <wp:inline distT="0" distB="0" distL="0" distR="0" wp14:anchorId="7DA2BE12" wp14:editId="6762A6E8">
            <wp:extent cx="6105525" cy="7848600"/>
            <wp:effectExtent l="0" t="0" r="9525"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5525" cy="7848600"/>
                    </a:xfrm>
                    <a:prstGeom prst="rect">
                      <a:avLst/>
                    </a:prstGeom>
                    <a:noFill/>
                    <a:ln>
                      <a:noFill/>
                    </a:ln>
                  </pic:spPr>
                </pic:pic>
              </a:graphicData>
            </a:graphic>
          </wp:inline>
        </w:drawing>
      </w:r>
    </w:p>
    <w:p w:rsidR="0098190A" w:rsidRPr="00847A3F" w:rsidRDefault="0098190A" w:rsidP="0098190A">
      <w:pPr>
        <w:jc w:val="center"/>
      </w:pPr>
      <w:r>
        <w:rPr>
          <w:noProof/>
          <w:lang w:bidi="he-IL"/>
        </w:rPr>
        <w:drawing>
          <wp:inline distT="0" distB="0" distL="0" distR="0" wp14:anchorId="4EAA018D" wp14:editId="6B0A4DF2">
            <wp:extent cx="6067425" cy="7572375"/>
            <wp:effectExtent l="0" t="0" r="9525" b="9525"/>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7425" cy="7572375"/>
                    </a:xfrm>
                    <a:prstGeom prst="rect">
                      <a:avLst/>
                    </a:prstGeom>
                    <a:noFill/>
                    <a:ln>
                      <a:noFill/>
                    </a:ln>
                  </pic:spPr>
                </pic:pic>
              </a:graphicData>
            </a:graphic>
          </wp:inline>
        </w:drawing>
      </w:r>
    </w:p>
    <w:p w:rsidR="0098190A" w:rsidRDefault="0098190A" w:rsidP="0098190A">
      <w:pPr>
        <w:rPr>
          <w:i/>
          <w:iCs/>
          <w:u w:val="single"/>
        </w:rPr>
      </w:pPr>
      <w:r>
        <w:rPr>
          <w:i/>
          <w:iCs/>
          <w:u w:val="single"/>
        </w:rPr>
        <w:br w:type="page"/>
      </w:r>
    </w:p>
    <w:p w:rsidR="0098190A" w:rsidRDefault="0098190A" w:rsidP="0098190A">
      <w:pPr>
        <w:jc w:val="center"/>
        <w:rPr>
          <w:i/>
          <w:iCs/>
          <w:u w:val="single"/>
        </w:rPr>
      </w:pPr>
      <w:r>
        <w:rPr>
          <w:i/>
          <w:iCs/>
          <w:noProof/>
          <w:u w:val="single"/>
          <w:lang w:bidi="he-IL"/>
        </w:rPr>
        <w:drawing>
          <wp:inline distT="0" distB="0" distL="0" distR="0" wp14:anchorId="055D20F2" wp14:editId="60C5AA45">
            <wp:extent cx="5867400" cy="7562850"/>
            <wp:effectExtent l="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7400" cy="7562850"/>
                    </a:xfrm>
                    <a:prstGeom prst="rect">
                      <a:avLst/>
                    </a:prstGeom>
                    <a:noFill/>
                    <a:ln>
                      <a:noFill/>
                    </a:ln>
                  </pic:spPr>
                </pic:pic>
              </a:graphicData>
            </a:graphic>
          </wp:inline>
        </w:drawing>
      </w:r>
      <w:r>
        <w:rPr>
          <w:i/>
          <w:iCs/>
          <w:u w:val="single"/>
        </w:rPr>
        <w:br w:type="page"/>
      </w:r>
    </w:p>
    <w:p w:rsidR="0098190A" w:rsidRPr="0091253D" w:rsidRDefault="0098190A" w:rsidP="0098190A">
      <w:pPr>
        <w:jc w:val="center"/>
      </w:pPr>
      <w:r w:rsidRPr="0091253D">
        <w:rPr>
          <w:noProof/>
          <w:lang w:bidi="he-IL"/>
        </w:rPr>
        <w:drawing>
          <wp:inline distT="0" distB="0" distL="0" distR="0" wp14:anchorId="1A22086A" wp14:editId="26A97AD7">
            <wp:extent cx="5915025" cy="7858125"/>
            <wp:effectExtent l="0" t="0" r="9525" b="9525"/>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5025" cy="7858125"/>
                    </a:xfrm>
                    <a:prstGeom prst="rect">
                      <a:avLst/>
                    </a:prstGeom>
                    <a:noFill/>
                    <a:ln>
                      <a:noFill/>
                    </a:ln>
                  </pic:spPr>
                </pic:pic>
              </a:graphicData>
            </a:graphic>
          </wp:inline>
        </w:drawing>
      </w:r>
    </w:p>
    <w:p w:rsidR="0098190A" w:rsidRDefault="0098190A" w:rsidP="0098190A">
      <w:pPr>
        <w:rPr>
          <w:i/>
          <w:iCs/>
          <w:u w:val="single"/>
        </w:rPr>
      </w:pPr>
      <w:r>
        <w:rPr>
          <w:i/>
          <w:iCs/>
          <w:u w:val="single"/>
        </w:rPr>
        <w:t>Agence Nationale de l’Aviation Civile et de la Météorologie</w:t>
      </w:r>
    </w:p>
    <w:p w:rsidR="0098190A" w:rsidRPr="0091253D" w:rsidRDefault="0098190A" w:rsidP="0098190A">
      <w:pPr>
        <w:jc w:val="center"/>
      </w:pPr>
      <w:r>
        <w:rPr>
          <w:noProof/>
          <w:lang w:bidi="he-IL"/>
        </w:rPr>
        <w:drawing>
          <wp:inline distT="0" distB="0" distL="0" distR="0" wp14:anchorId="4EDA43A6" wp14:editId="26622454">
            <wp:extent cx="6257925" cy="7696200"/>
            <wp:effectExtent l="0" t="0" r="9525"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57925" cy="7696200"/>
                    </a:xfrm>
                    <a:prstGeom prst="rect">
                      <a:avLst/>
                    </a:prstGeom>
                    <a:noFill/>
                    <a:ln>
                      <a:noFill/>
                    </a:ln>
                  </pic:spPr>
                </pic:pic>
              </a:graphicData>
            </a:graphic>
          </wp:inline>
        </w:drawing>
      </w:r>
    </w:p>
    <w:p w:rsidR="0098190A" w:rsidRDefault="0098190A" w:rsidP="0098190A">
      <w:pPr>
        <w:rPr>
          <w:i/>
          <w:iCs/>
          <w:u w:val="single"/>
        </w:rPr>
      </w:pPr>
    </w:p>
    <w:p w:rsidR="0098190A" w:rsidRPr="0091253D" w:rsidRDefault="0098190A" w:rsidP="0098190A">
      <w:pPr>
        <w:jc w:val="center"/>
      </w:pPr>
      <w:r>
        <w:rPr>
          <w:noProof/>
          <w:lang w:bidi="he-IL"/>
        </w:rPr>
        <w:drawing>
          <wp:inline distT="0" distB="0" distL="0" distR="0" wp14:anchorId="1E186902" wp14:editId="298137F0">
            <wp:extent cx="5991225" cy="3495675"/>
            <wp:effectExtent l="0" t="0" r="9525" b="9525"/>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3495675"/>
                    </a:xfrm>
                    <a:prstGeom prst="rect">
                      <a:avLst/>
                    </a:prstGeom>
                    <a:noFill/>
                    <a:ln>
                      <a:noFill/>
                    </a:ln>
                  </pic:spPr>
                </pic:pic>
              </a:graphicData>
            </a:graphic>
          </wp:inline>
        </w:drawing>
      </w: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Pr="00847A3F" w:rsidRDefault="0098190A" w:rsidP="0098190A">
      <w:pPr>
        <w:jc w:val="center"/>
      </w:pPr>
      <w:r>
        <w:rPr>
          <w:noProof/>
          <w:lang w:bidi="he-IL"/>
        </w:rPr>
        <w:drawing>
          <wp:inline distT="0" distB="0" distL="0" distR="0" wp14:anchorId="5D4BAD3B" wp14:editId="3B418F5E">
            <wp:extent cx="5934075" cy="7677150"/>
            <wp:effectExtent l="0" t="0" r="9525" b="0"/>
            <wp:docPr id="1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98190A" w:rsidRDefault="0098190A" w:rsidP="0098190A">
      <w:pPr>
        <w:rPr>
          <w:i/>
          <w:iCs/>
          <w:u w:val="single"/>
        </w:rPr>
      </w:pPr>
    </w:p>
    <w:p w:rsidR="0098190A" w:rsidRDefault="0098190A" w:rsidP="0098190A">
      <w:pPr>
        <w:rPr>
          <w:i/>
          <w:iCs/>
          <w:u w:val="single"/>
        </w:rPr>
      </w:pPr>
      <w:r>
        <w:rPr>
          <w:i/>
          <w:iCs/>
          <w:u w:val="single"/>
        </w:rPr>
        <w:t>ministère de l’Environnement et du Développement Durable</w:t>
      </w:r>
    </w:p>
    <w:p w:rsidR="0098190A" w:rsidRPr="003C05F4" w:rsidRDefault="0098190A" w:rsidP="0098190A">
      <w:pPr>
        <w:jc w:val="center"/>
      </w:pPr>
      <w:r>
        <w:rPr>
          <w:noProof/>
          <w:lang w:bidi="he-IL"/>
        </w:rPr>
        <w:drawing>
          <wp:inline distT="0" distB="0" distL="0" distR="0" wp14:anchorId="5D25E84E" wp14:editId="124DEC67">
            <wp:extent cx="5886450" cy="7848600"/>
            <wp:effectExtent l="0" t="0" r="0" b="0"/>
            <wp:docPr id="1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6450" cy="7848600"/>
                    </a:xfrm>
                    <a:prstGeom prst="rect">
                      <a:avLst/>
                    </a:prstGeom>
                    <a:noFill/>
                    <a:ln>
                      <a:noFill/>
                    </a:ln>
                  </pic:spPr>
                </pic:pic>
              </a:graphicData>
            </a:graphic>
          </wp:inline>
        </w:drawing>
      </w:r>
    </w:p>
    <w:p w:rsidR="00743B0B" w:rsidRPr="00743B0B" w:rsidRDefault="00743B0B" w:rsidP="00743B0B">
      <w:pPr>
        <w:rPr>
          <w:rFonts w:ascii="Times New Roman" w:hAnsi="Times New Roman"/>
          <w:sz w:val="24"/>
        </w:rPr>
      </w:pPr>
    </w:p>
    <w:p w:rsidR="00A503B6" w:rsidRPr="00AE3BD3" w:rsidRDefault="00A503B6" w:rsidP="00922D95">
      <w:pPr>
        <w:pStyle w:val="NumberedParas"/>
        <w:numPr>
          <w:ilvl w:val="0"/>
          <w:numId w:val="0"/>
        </w:numPr>
        <w:ind w:left="360" w:hanging="360"/>
      </w:pPr>
    </w:p>
    <w:sectPr w:rsidR="00A503B6" w:rsidRPr="00AE3BD3" w:rsidSect="003F2B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0DA" w:rsidRDefault="006470DA" w:rsidP="00876F2E">
      <w:pPr>
        <w:spacing w:after="0"/>
      </w:pPr>
      <w:r>
        <w:separator/>
      </w:r>
    </w:p>
  </w:endnote>
  <w:endnote w:type="continuationSeparator" w:id="0">
    <w:p w:rsidR="006470DA" w:rsidRDefault="006470DA" w:rsidP="00876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Bold">
    <w:altName w:val="Tahoma"/>
    <w:panose1 w:val="00000000000000000000"/>
    <w:charset w:val="00"/>
    <w:family w:val="auto"/>
    <w:notTrueType/>
    <w:pitch w:val="default"/>
    <w:sig w:usb0="00000003" w:usb1="00000000" w:usb2="00000000" w:usb3="00000000" w:csb0="00000001" w:csb1="00000000"/>
  </w:font>
  <w:font w:name="Adobe Caslo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MyriaMM">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Times New Roman"/>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09857"/>
      <w:docPartObj>
        <w:docPartGallery w:val="Page Numbers (Bottom of Page)"/>
        <w:docPartUnique/>
      </w:docPartObj>
    </w:sdtPr>
    <w:sdtEndPr>
      <w:rPr>
        <w:color w:val="7F7F7F" w:themeColor="background1" w:themeShade="7F"/>
        <w:spacing w:val="60"/>
      </w:rPr>
    </w:sdtEndPr>
    <w:sdtContent>
      <w:p w:rsidR="00061010" w:rsidRDefault="00061010">
        <w:pPr>
          <w:pStyle w:val="Pieddepage"/>
          <w:pBdr>
            <w:top w:val="single" w:sz="4" w:space="1" w:color="D9D9D9" w:themeColor="background1" w:themeShade="D9"/>
          </w:pBdr>
          <w:jc w:val="right"/>
        </w:pPr>
        <w:r>
          <w:fldChar w:fldCharType="begin"/>
        </w:r>
        <w:r>
          <w:instrText>PAGE   \* MERGEFORMAT</w:instrText>
        </w:r>
        <w:r>
          <w:fldChar w:fldCharType="separate"/>
        </w:r>
        <w:r w:rsidR="0052541D">
          <w:rPr>
            <w:noProof/>
          </w:rPr>
          <w:t>1</w:t>
        </w:r>
        <w:r>
          <w:fldChar w:fldCharType="end"/>
        </w:r>
        <w:r>
          <w:t xml:space="preserve"> | </w:t>
        </w:r>
        <w:r>
          <w:rPr>
            <w:color w:val="7F7F7F" w:themeColor="background1" w:themeShade="7F"/>
            <w:spacing w:val="60"/>
          </w:rPr>
          <w:t>Page</w:t>
        </w:r>
      </w:p>
    </w:sdtContent>
  </w:sdt>
  <w:p w:rsidR="00061010" w:rsidRDefault="000610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900448"/>
      <w:docPartObj>
        <w:docPartGallery w:val="Page Numbers (Bottom of Page)"/>
        <w:docPartUnique/>
      </w:docPartObj>
    </w:sdtPr>
    <w:sdtEndPr>
      <w:rPr>
        <w:color w:val="7F7F7F" w:themeColor="background1" w:themeShade="7F"/>
        <w:spacing w:val="60"/>
      </w:rPr>
    </w:sdtEndPr>
    <w:sdtContent>
      <w:p w:rsidR="00061010" w:rsidRDefault="00061010">
        <w:pPr>
          <w:pStyle w:val="Pieddepage"/>
          <w:pBdr>
            <w:top w:val="single" w:sz="4" w:space="1" w:color="D9D9D9" w:themeColor="background1" w:themeShade="D9"/>
          </w:pBdr>
          <w:jc w:val="right"/>
        </w:pPr>
        <w:r>
          <w:fldChar w:fldCharType="begin"/>
        </w:r>
        <w:r>
          <w:instrText>PAGE   \* MERGEFORMAT</w:instrText>
        </w:r>
        <w:r>
          <w:fldChar w:fldCharType="separate"/>
        </w:r>
        <w:r w:rsidR="0052541D">
          <w:rPr>
            <w:noProof/>
          </w:rPr>
          <w:t>61</w:t>
        </w:r>
        <w:r>
          <w:fldChar w:fldCharType="end"/>
        </w:r>
        <w:r>
          <w:t xml:space="preserve"> | </w:t>
        </w:r>
        <w:r>
          <w:rPr>
            <w:color w:val="7F7F7F" w:themeColor="background1" w:themeShade="7F"/>
            <w:spacing w:val="60"/>
          </w:rPr>
          <w:t>Page</w:t>
        </w:r>
      </w:p>
    </w:sdtContent>
  </w:sdt>
  <w:p w:rsidR="00061010" w:rsidRDefault="000610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rsidP="00797888">
    <w:pPr>
      <w:pStyle w:val="Pieddepage"/>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52541D">
      <w:rPr>
        <w:noProof/>
      </w:rPr>
      <w:t>21</w:t>
    </w:r>
    <w:r>
      <w:rPr>
        <w:noProof/>
      </w:rPr>
      <w:fldChar w:fldCharType="end"/>
    </w:r>
    <w:r>
      <w:t xml:space="preserve"> | </w:t>
    </w:r>
    <w:r>
      <w:rPr>
        <w:color w:val="7F7F7F"/>
        <w:spacing w:val="60"/>
      </w:rPr>
      <w:t>Page</w:t>
    </w:r>
  </w:p>
  <w:p w:rsidR="00061010" w:rsidRDefault="000610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pPr>
      <w:pStyle w:val="Pieddepage"/>
      <w:jc w:val="right"/>
    </w:pPr>
  </w:p>
  <w:p w:rsidR="00061010" w:rsidRDefault="00061010">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0DA" w:rsidRDefault="006470DA" w:rsidP="00876F2E">
      <w:pPr>
        <w:spacing w:after="0"/>
      </w:pPr>
      <w:r>
        <w:separator/>
      </w:r>
    </w:p>
  </w:footnote>
  <w:footnote w:type="continuationSeparator" w:id="0">
    <w:p w:rsidR="006470DA" w:rsidRDefault="006470DA" w:rsidP="00876F2E">
      <w:pPr>
        <w:spacing w:after="0"/>
      </w:pPr>
      <w:r>
        <w:continuationSeparator/>
      </w:r>
    </w:p>
  </w:footnote>
  <w:footnote w:id="1">
    <w:p w:rsidR="00061010" w:rsidRPr="00E93874" w:rsidRDefault="00061010" w:rsidP="00075058">
      <w:pPr>
        <w:pStyle w:val="Notedebasdepage"/>
      </w:pPr>
      <w:r>
        <w:rPr>
          <w:rStyle w:val="Appelnotedebasdep"/>
        </w:rPr>
        <w:footnoteRef/>
      </w:r>
      <w:r>
        <w:t xml:space="preserve"> Ministère de l’environnement et de la protection de la nature, Direction des parcs nationaux, (2010), </w:t>
      </w:r>
      <w:r>
        <w:rPr>
          <w:i/>
        </w:rPr>
        <w:t>Quatrième rapport national sur la mise en œuvre de la convention sur la biodiversité biologique</w:t>
      </w:r>
      <w:r>
        <w:t xml:space="preserve">, Dakar. </w:t>
      </w:r>
    </w:p>
  </w:footnote>
  <w:footnote w:id="2">
    <w:p w:rsidR="00061010" w:rsidRPr="00D41531" w:rsidRDefault="00061010" w:rsidP="00075058">
      <w:pPr>
        <w:pStyle w:val="Notedebasdepage"/>
      </w:pPr>
      <w:r>
        <w:rPr>
          <w:rStyle w:val="Appelnotedebasdep"/>
        </w:rPr>
        <w:footnoteRef/>
      </w:r>
      <w:r>
        <w:t xml:space="preserve"> Les six zones écogéographiques identifiées par le Centre de suivi écologique (CSE) sont : (i) l'Écosystème des côtes de Niayes ; (ii) les écosystèmes sylvo-pastoraux  ; (iii) les écosystèmes forestiers (Sénégal oriental) ; le Bassin arachidier ; (iv) le delta et la vallée du fleuve Sénégal ; et la région de la Casamance.</w:t>
      </w:r>
    </w:p>
  </w:footnote>
  <w:footnote w:id="3">
    <w:p w:rsidR="00061010" w:rsidRPr="00D41531" w:rsidRDefault="00061010" w:rsidP="00075058">
      <w:pPr>
        <w:pStyle w:val="Notedebasdepage"/>
      </w:pPr>
      <w:r>
        <w:rPr>
          <w:rStyle w:val="Appelnotedebasdep"/>
        </w:rPr>
        <w:footnoteRef/>
      </w:r>
      <w:r>
        <w:t xml:space="preserve"> </w:t>
      </w:r>
      <w:hyperlink r:id="rId1">
        <w:r>
          <w:rPr>
            <w:rStyle w:val="Lienhypertexte"/>
          </w:rPr>
          <w:t>http://databank.worldbank.org/data/reports.aspx?source=2&amp;country=SEN</w:t>
        </w:r>
      </w:hyperlink>
    </w:p>
  </w:footnote>
  <w:footnote w:id="4">
    <w:p w:rsidR="00061010" w:rsidRPr="00D41531" w:rsidRDefault="00061010" w:rsidP="00075058">
      <w:pPr>
        <w:pStyle w:val="Notedebasdepage"/>
      </w:pPr>
      <w:r>
        <w:rPr>
          <w:rStyle w:val="Appelnotedebasdep"/>
        </w:rPr>
        <w:footnoteRef/>
      </w:r>
      <w:r>
        <w:t xml:space="preserve"> Rapport 2014 du PNUD sur le développement humain</w:t>
      </w:r>
    </w:p>
  </w:footnote>
  <w:footnote w:id="5">
    <w:p w:rsidR="00061010" w:rsidRPr="00D41531" w:rsidRDefault="00061010" w:rsidP="00075058">
      <w:pPr>
        <w:pStyle w:val="Notedebasdepage"/>
      </w:pPr>
      <w:r>
        <w:rPr>
          <w:rStyle w:val="Appelnotedebasdep"/>
        </w:rPr>
        <w:footnoteRef/>
      </w:r>
      <w:r>
        <w:t xml:space="preserve"> Rapport 2014 du PNUD sur le développement humain</w:t>
      </w:r>
    </w:p>
  </w:footnote>
  <w:footnote w:id="6">
    <w:p w:rsidR="00061010" w:rsidRPr="00D41531" w:rsidRDefault="00061010" w:rsidP="00075058">
      <w:pPr>
        <w:pStyle w:val="Notedebasdepage"/>
      </w:pPr>
      <w:r>
        <w:rPr>
          <w:rStyle w:val="Appelnotedebasdep"/>
        </w:rPr>
        <w:footnoteRef/>
      </w:r>
      <w:r>
        <w:t xml:space="preserve"> Le World FactBook, CIA (</w:t>
      </w:r>
      <w:hyperlink r:id="rId2">
        <w:r>
          <w:rPr>
            <w:rStyle w:val="Lienhypertexte"/>
          </w:rPr>
          <w:t>https://www.cia.gov</w:t>
        </w:r>
      </w:hyperlink>
      <w:r>
        <w:t>), consulté le 18 novembre 2016.</w:t>
      </w:r>
    </w:p>
  </w:footnote>
  <w:footnote w:id="7">
    <w:p w:rsidR="00061010" w:rsidRPr="0053016A" w:rsidRDefault="00061010" w:rsidP="00075058">
      <w:pPr>
        <w:pStyle w:val="Notedebasdepage"/>
        <w:rPr>
          <w:b/>
        </w:rPr>
      </w:pPr>
      <w:r>
        <w:rPr>
          <w:rStyle w:val="Appelnotedebasdep"/>
        </w:rPr>
        <w:footnoteRef/>
      </w:r>
      <w:r>
        <w:t xml:space="preserve"> Troisième communication nationale de la CCNUCC, juillet 2015</w:t>
      </w:r>
    </w:p>
  </w:footnote>
  <w:footnote w:id="8">
    <w:p w:rsidR="00061010" w:rsidRPr="00636BCF" w:rsidRDefault="00061010" w:rsidP="00075058">
      <w:pPr>
        <w:pStyle w:val="Notedebasdepage"/>
      </w:pPr>
      <w:r>
        <w:rPr>
          <w:rStyle w:val="Appelnotedebasdep"/>
        </w:rPr>
        <w:footnoteRef/>
      </w:r>
      <w:r>
        <w:t xml:space="preserve"> Ministère de l’environnement et du développement durable (2015), </w:t>
      </w:r>
      <w:r>
        <w:rPr>
          <w:i/>
        </w:rPr>
        <w:t>Contribution prévue déterminée au niveau national</w:t>
      </w:r>
      <w:r>
        <w:t>.</w:t>
      </w:r>
    </w:p>
  </w:footnote>
  <w:footnote w:id="9">
    <w:p w:rsidR="00061010" w:rsidRPr="00731FA1" w:rsidRDefault="00061010" w:rsidP="00075058">
      <w:pPr>
        <w:pStyle w:val="Notedebasdepage"/>
        <w:rPr>
          <w:lang w:val="en-US"/>
        </w:rPr>
      </w:pPr>
      <w:r>
        <w:rPr>
          <w:rStyle w:val="Appelnotedebasdep"/>
        </w:rPr>
        <w:footnoteRef/>
      </w:r>
      <w:r w:rsidRPr="00D41531">
        <w:rPr>
          <w:lang w:val="en-GB"/>
        </w:rPr>
        <w:t xml:space="preserve"> Biasutti, M. 2013. Forced Sahel rainfall trends in the CMIP5 archive.  Journal of Geophysical Research: Atmospheres. 118 (4) : 1613-1623.</w:t>
      </w:r>
    </w:p>
  </w:footnote>
  <w:footnote w:id="10">
    <w:p w:rsidR="00061010" w:rsidRPr="005C0C6C" w:rsidRDefault="00061010" w:rsidP="00075058">
      <w:pPr>
        <w:pStyle w:val="Notedebasdepage"/>
        <w:rPr>
          <w:lang w:val="fr-SN"/>
        </w:rPr>
      </w:pPr>
      <w:r>
        <w:rPr>
          <w:rStyle w:val="Appelnotedebasdep"/>
        </w:rPr>
        <w:footnoteRef/>
      </w:r>
      <w:r w:rsidRPr="00075058">
        <w:rPr>
          <w:lang w:val="en-GB"/>
        </w:rPr>
        <w:t xml:space="preserve"> Park, J.-Y, Bader, J., et Matei, D.  </w:t>
      </w:r>
      <w:r w:rsidRPr="00D41531">
        <w:rPr>
          <w:lang w:val="en-GB"/>
        </w:rPr>
        <w:t xml:space="preserve">2014.  Northern-hemispheric differential warming is the key to understanding the discrepancies in the projected Sahel rainfall. </w:t>
      </w:r>
      <w:r w:rsidRPr="005C0C6C">
        <w:rPr>
          <w:lang w:val="fr-SN"/>
        </w:rPr>
        <w:t>Nature Communications. 5: 5985.</w:t>
      </w:r>
    </w:p>
  </w:footnote>
  <w:footnote w:id="11">
    <w:p w:rsidR="00061010" w:rsidRPr="00F56421" w:rsidRDefault="00061010" w:rsidP="00075058">
      <w:pPr>
        <w:pStyle w:val="Notedebasdepage"/>
      </w:pPr>
      <w:r>
        <w:rPr>
          <w:rStyle w:val="Appelnotedebasdep"/>
        </w:rPr>
        <w:footnoteRef/>
      </w:r>
      <w:r>
        <w:t xml:space="preserve"> UNDP, (2009), Rapport National sur le Développement humain au Sénégal 2009. </w:t>
      </w:r>
      <w:r>
        <w:rPr>
          <w:i/>
        </w:rPr>
        <w:t xml:space="preserve">Changement climatique, sécurité alimentaire et développement humain. </w:t>
      </w:r>
    </w:p>
  </w:footnote>
  <w:footnote w:id="12">
    <w:p w:rsidR="00061010" w:rsidRPr="00E232C0" w:rsidRDefault="00061010" w:rsidP="00075058">
      <w:pPr>
        <w:pStyle w:val="Notedebasdepage"/>
      </w:pPr>
      <w:r>
        <w:rPr>
          <w:rStyle w:val="Appelnotedebasdep"/>
        </w:rPr>
        <w:footnoteRef/>
      </w:r>
      <w:r>
        <w:t xml:space="preserve"> Ngor Ndour, Sara Dieng et Mamadou Fall, « Rôles des mangroves, modes et perspectives de gestion au Delta du Saloum (Sénégal) », VertigO - la revue électronique en sciences de l'environnement [En ligne], Volume 11 Numéro 3 | décembre 2011, mis en ligne le 07 février 2012, consulté le 28 juin 2016. URL : http://vertigo.revues.org/11515 ; DOI :</w:t>
      </w:r>
    </w:p>
    <w:p w:rsidR="00061010" w:rsidRPr="0081122C" w:rsidRDefault="00061010" w:rsidP="00075058">
      <w:pPr>
        <w:pStyle w:val="Notedebasdepage"/>
      </w:pPr>
      <w:r>
        <w:t>10.4000/vertigo.11515</w:t>
      </w:r>
    </w:p>
  </w:footnote>
  <w:footnote w:id="13">
    <w:p w:rsidR="00061010" w:rsidRPr="00D41531" w:rsidRDefault="00061010" w:rsidP="00075058">
      <w:pPr>
        <w:pStyle w:val="Notedebasdepage"/>
        <w:rPr>
          <w:lang w:val="en-GB"/>
        </w:rPr>
      </w:pPr>
      <w:r>
        <w:rPr>
          <w:rStyle w:val="Appelnotedebasdep"/>
        </w:rPr>
        <w:footnoteRef/>
      </w:r>
      <w:r>
        <w:t xml:space="preserve"> EL Hadji Balla Dieye, Amadou Tahirou Diaw, Tidiane Sané et Ngor Ndour, « Dynamique de la mangrove de l’estuaire du Saloum (Sénégal) entre 1972 et 2010 », Cybergeo : European Journal of Geography [En ligne], Environnement, Nature, Paysage, document 629, mis en ligne le 09 janvier 2013, consulté le 29 juin 2016. </w:t>
      </w:r>
      <w:r w:rsidRPr="00D41531">
        <w:rPr>
          <w:lang w:val="en-GB"/>
        </w:rPr>
        <w:t>URL :http://cybergeo.revues.org/25671 ; DOI : 10.4000/cybergeo.25671</w:t>
      </w:r>
    </w:p>
  </w:footnote>
  <w:footnote w:id="14">
    <w:p w:rsidR="00061010" w:rsidRPr="00E232C0" w:rsidRDefault="00061010" w:rsidP="00075058">
      <w:pPr>
        <w:pStyle w:val="Notedebasdepage"/>
        <w:rPr>
          <w:lang w:val="en-US"/>
        </w:rPr>
      </w:pPr>
      <w:r>
        <w:rPr>
          <w:rStyle w:val="Appelnotedebasdep"/>
        </w:rPr>
        <w:footnoteRef/>
      </w:r>
      <w:r w:rsidRPr="00D41531">
        <w:rPr>
          <w:lang w:val="en-GB"/>
        </w:rPr>
        <w:t xml:space="preserve"> National Adaptation Programme of Actions, 2006</w:t>
      </w:r>
    </w:p>
  </w:footnote>
  <w:footnote w:id="15">
    <w:p w:rsidR="00061010" w:rsidRPr="00D41531" w:rsidRDefault="00061010" w:rsidP="00075058">
      <w:pPr>
        <w:pStyle w:val="Notedebasdepage"/>
        <w:rPr>
          <w:lang w:val="en-GB"/>
        </w:rPr>
      </w:pPr>
      <w:r>
        <w:rPr>
          <w:rStyle w:val="Appelnotedebasdep"/>
        </w:rPr>
        <w:footnoteRef/>
      </w:r>
      <w:r w:rsidRPr="00D41531">
        <w:rPr>
          <w:lang w:val="en-GB"/>
        </w:rPr>
        <w:t xml:space="preserve"> Land Degradation Assessment (LADA) project, (2010), </w:t>
      </w:r>
      <w:r w:rsidRPr="00D41531">
        <w:rPr>
          <w:i/>
          <w:lang w:val="en-GB"/>
        </w:rPr>
        <w:t>National Land Degradation Assessment Senegal and review of global socio-economic parameters in the LADA database</w:t>
      </w:r>
      <w:r w:rsidRPr="00D41531">
        <w:rPr>
          <w:lang w:val="en-GB"/>
        </w:rPr>
        <w:t xml:space="preserve">. </w:t>
      </w:r>
    </w:p>
  </w:footnote>
  <w:footnote w:id="16">
    <w:p w:rsidR="00061010" w:rsidRPr="00D41531" w:rsidRDefault="00061010" w:rsidP="00075058">
      <w:pPr>
        <w:pStyle w:val="Notedebasdepage"/>
        <w:rPr>
          <w:lang w:val="en-GB"/>
        </w:rPr>
      </w:pPr>
      <w:r>
        <w:rPr>
          <w:rStyle w:val="Appelnotedebasdep"/>
        </w:rPr>
        <w:footnoteRef/>
      </w:r>
      <w:r w:rsidRPr="00D41531">
        <w:rPr>
          <w:lang w:val="en-GB"/>
        </w:rPr>
        <w:t xml:space="preserve"> Mario Youan (2014), </w:t>
      </w:r>
      <w:r w:rsidRPr="00D41531">
        <w:rPr>
          <w:i/>
          <w:lang w:val="en-GB"/>
        </w:rPr>
        <w:t>Agricultural Adaptation to Climate Change in the Sahel: Expected Impacts on Pests and Diseases Afflicting Livestock</w:t>
      </w:r>
    </w:p>
  </w:footnote>
  <w:footnote w:id="17">
    <w:p w:rsidR="00061010" w:rsidRPr="00D41531" w:rsidRDefault="00061010" w:rsidP="00075058">
      <w:pPr>
        <w:pStyle w:val="Notedebasdepage"/>
        <w:rPr>
          <w:lang w:val="en-GB"/>
        </w:rPr>
      </w:pPr>
      <w:r>
        <w:rPr>
          <w:rStyle w:val="Appelnotedebasdep"/>
        </w:rPr>
        <w:footnoteRef/>
      </w:r>
      <w:r w:rsidRPr="00D41531">
        <w:rPr>
          <w:lang w:val="en-GB"/>
        </w:rPr>
        <w:t xml:space="preserve"> https://eros.usgs.gov/westafrica/mangrove</w:t>
      </w:r>
    </w:p>
  </w:footnote>
  <w:footnote w:id="18">
    <w:p w:rsidR="00061010" w:rsidRPr="00D86190" w:rsidRDefault="00061010" w:rsidP="00075058">
      <w:pPr>
        <w:pStyle w:val="Notedebasdepage"/>
      </w:pPr>
      <w:r>
        <w:rPr>
          <w:rStyle w:val="Appelnotedebasdep"/>
        </w:rPr>
        <w:footnoteRef/>
      </w:r>
      <w:r>
        <w:t xml:space="preserve"> Contribution prévue déterminée au niveau national, 2015</w:t>
      </w:r>
    </w:p>
  </w:footnote>
  <w:footnote w:id="19">
    <w:p w:rsidR="00061010" w:rsidRPr="00D86190" w:rsidRDefault="00061010" w:rsidP="00075058">
      <w:pPr>
        <w:pStyle w:val="Notedebasdepage"/>
      </w:pPr>
      <w:r>
        <w:rPr>
          <w:rStyle w:val="Appelnotedebasdep"/>
        </w:rPr>
        <w:footnoteRef/>
      </w:r>
      <w:r>
        <w:t xml:space="preserve"> FIDA, 2014</w:t>
      </w:r>
    </w:p>
  </w:footnote>
  <w:footnote w:id="20">
    <w:p w:rsidR="00061010" w:rsidRPr="00D86190" w:rsidRDefault="00061010" w:rsidP="00075058">
      <w:pPr>
        <w:spacing w:after="0"/>
        <w:rPr>
          <w:rFonts w:ascii="Times New Roman" w:eastAsia="Times New Roman" w:hAnsi="Times New Roman"/>
          <w:szCs w:val="20"/>
        </w:rPr>
      </w:pPr>
      <w:r>
        <w:rPr>
          <w:rStyle w:val="Appelnotedebasdep"/>
          <w:rFonts w:ascii="Times New Roman" w:hAnsi="Times New Roman"/>
        </w:rPr>
        <w:footnoteRef/>
      </w:r>
      <w:r>
        <w:rPr>
          <w:rFonts w:ascii="Times New Roman" w:hAnsi="Times New Roman"/>
        </w:rPr>
        <w:t xml:space="preserve"> FARM, Changement climatique : un défi de plus pour l’agriculture en Afrique Perspectives 2050 pour la sécurité alimentaire et la productivité agricole, 2015</w:t>
      </w:r>
    </w:p>
  </w:footnote>
  <w:footnote w:id="21">
    <w:p w:rsidR="00061010" w:rsidRPr="00D86190" w:rsidRDefault="00061010" w:rsidP="00075058">
      <w:pPr>
        <w:spacing w:after="0"/>
      </w:pPr>
      <w:r>
        <w:rPr>
          <w:rStyle w:val="Appelnotedebasdep"/>
        </w:rPr>
        <w:footnoteRef/>
      </w:r>
      <w:r>
        <w:t xml:space="preserve"> Rajaud A., (2016), </w:t>
      </w:r>
      <w:r>
        <w:rPr>
          <w:i/>
        </w:rPr>
        <w:t>Reforester les tropiques semi-arides ? Enjeux, contraintes et opportunités climatiques dans la perspective du changement global</w:t>
      </w:r>
      <w:r>
        <w:t>, Thèse de doctorat en météorologie, océanographie, physique de l’environnement, Université Paris-Saclay, Université Versailles Saint-Quentin, 236 p.</w:t>
      </w:r>
      <w:r>
        <w:rPr>
          <w:u w:val="single"/>
        </w:rPr>
        <w:t xml:space="preserve">  </w:t>
      </w:r>
    </w:p>
  </w:footnote>
  <w:footnote w:id="22">
    <w:p w:rsidR="00061010" w:rsidRPr="00D86190" w:rsidRDefault="00061010" w:rsidP="00075058">
      <w:pPr>
        <w:widowControl w:val="0"/>
        <w:autoSpaceDE w:val="0"/>
        <w:autoSpaceDN w:val="0"/>
        <w:adjustRightInd w:val="0"/>
        <w:spacing w:after="0"/>
        <w:rPr>
          <w:rFonts w:ascii="Times" w:hAnsi="Times" w:cs="Times"/>
          <w:sz w:val="26"/>
          <w:szCs w:val="26"/>
          <w:u w:val="single"/>
        </w:rPr>
      </w:pPr>
      <w:r>
        <w:rPr>
          <w:rStyle w:val="Appelnotedebasdep"/>
        </w:rPr>
        <w:footnoteRef/>
      </w:r>
      <w:r>
        <w:t xml:space="preserve"> </w:t>
      </w:r>
      <w:r>
        <w:rPr>
          <w:rFonts w:ascii="Times" w:hAnsi="Times"/>
        </w:rPr>
        <w:t xml:space="preserve">Monnier Y., (1988), </w:t>
      </w:r>
      <w:r>
        <w:rPr>
          <w:rFonts w:ascii="Times" w:hAnsi="Times"/>
          <w:i/>
        </w:rPr>
        <w:t>L’homme et la forêt. Les étapes de la dégradation forestière et les conséquences</w:t>
      </w:r>
      <w:r>
        <w:rPr>
          <w:rFonts w:ascii="Times" w:hAnsi="Times"/>
        </w:rPr>
        <w:t>, Écologie Humaine, Vol. 6/ n°2, pp. 77-96.</w:t>
      </w:r>
    </w:p>
  </w:footnote>
  <w:footnote w:id="23">
    <w:p w:rsidR="00061010" w:rsidRPr="00231D31" w:rsidRDefault="00061010" w:rsidP="00075058">
      <w:pPr>
        <w:spacing w:after="0"/>
      </w:pPr>
      <w:r>
        <w:rPr>
          <w:rFonts w:ascii="Times" w:hAnsi="Times"/>
        </w:rPr>
        <w:t>Écologie Humaine, Vol. 6/ n°2, pp. 77-96.</w:t>
      </w:r>
    </w:p>
    <w:p w:rsidR="00061010" w:rsidRPr="00D41531" w:rsidRDefault="00061010" w:rsidP="00075058">
      <w:pPr>
        <w:spacing w:after="0"/>
        <w:rPr>
          <w:i/>
          <w:lang w:val="en-GB"/>
        </w:rPr>
      </w:pPr>
      <w:r>
        <w:rPr>
          <w:rStyle w:val="Appelnotedebasdep"/>
        </w:rPr>
        <w:footnoteRef/>
      </w:r>
      <w:r w:rsidRPr="00D41531">
        <w:rPr>
          <w:lang w:val="en-GB"/>
        </w:rPr>
        <w:t xml:space="preserve"> </w:t>
      </w:r>
      <w:r w:rsidRPr="00D41531">
        <w:rPr>
          <w:rFonts w:ascii="Times" w:hAnsi="Times"/>
          <w:lang w:val="en-GB"/>
        </w:rPr>
        <w:t xml:space="preserve">Salati E., Nobre C., (1991), </w:t>
      </w:r>
      <w:r w:rsidRPr="00D41531">
        <w:rPr>
          <w:rFonts w:ascii="Times" w:hAnsi="Times"/>
          <w:i/>
          <w:lang w:val="en-GB"/>
        </w:rPr>
        <w:t>Possible climatic impacts of tropical deforestation, Climatic Change</w:t>
      </w:r>
      <w:r w:rsidRPr="00D41531">
        <w:rPr>
          <w:rFonts w:ascii="Times" w:hAnsi="Times"/>
          <w:lang w:val="en-GB"/>
        </w:rPr>
        <w:t>, Vol. 19/n°1, pp. 177-196.</w:t>
      </w:r>
      <w:r w:rsidRPr="00D41531">
        <w:rPr>
          <w:i/>
          <w:lang w:val="en-GB"/>
        </w:rPr>
        <w:t xml:space="preserve"> </w:t>
      </w:r>
    </w:p>
    <w:p w:rsidR="00061010" w:rsidRPr="00D41531" w:rsidRDefault="00061010" w:rsidP="00075058">
      <w:pPr>
        <w:pStyle w:val="Notedebasdepage"/>
        <w:rPr>
          <w:lang w:val="en-GB"/>
        </w:rPr>
      </w:pPr>
    </w:p>
  </w:footnote>
  <w:footnote w:id="24">
    <w:p w:rsidR="00061010" w:rsidRPr="00D86190" w:rsidRDefault="00061010" w:rsidP="00953F4C">
      <w:pPr>
        <w:pStyle w:val="Notedebasdepage"/>
        <w:rPr>
          <w:sz w:val="18"/>
        </w:rPr>
      </w:pPr>
      <w:r>
        <w:rPr>
          <w:rStyle w:val="Appelnotedebasdep"/>
          <w:sz w:val="18"/>
        </w:rPr>
        <w:footnoteRef/>
      </w:r>
      <w:r>
        <w:rPr>
          <w:sz w:val="18"/>
        </w:rPr>
        <w:t xml:space="preserve"> Plan régional de développement intégré (PRDI), 2013</w:t>
      </w:r>
    </w:p>
  </w:footnote>
  <w:footnote w:id="25">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PANA, 2006</w:t>
      </w:r>
    </w:p>
  </w:footnote>
  <w:footnote w:id="26">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Ibid.</w:t>
      </w:r>
    </w:p>
  </w:footnote>
  <w:footnote w:id="27">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Altas ClimTerr, Geres, novembre 2013</w:t>
      </w:r>
    </w:p>
  </w:footnote>
  <w:footnote w:id="28">
    <w:p w:rsidR="00061010" w:rsidRPr="0083108F" w:rsidRDefault="00061010" w:rsidP="00953F4C">
      <w:pPr>
        <w:pStyle w:val="Notedebasdepage"/>
        <w:rPr>
          <w:sz w:val="18"/>
          <w:lang w:val="en-US"/>
        </w:rPr>
      </w:pPr>
      <w:r>
        <w:rPr>
          <w:rStyle w:val="Appelnotedebasdep"/>
          <w:sz w:val="18"/>
        </w:rPr>
        <w:footnoteRef/>
      </w:r>
      <w:r w:rsidRPr="0083108F">
        <w:rPr>
          <w:sz w:val="18"/>
          <w:lang w:val="en-US"/>
        </w:rPr>
        <w:t xml:space="preserve"> Ibid.</w:t>
      </w:r>
    </w:p>
  </w:footnote>
  <w:footnote w:id="29">
    <w:p w:rsidR="00061010" w:rsidRPr="0083108F" w:rsidRDefault="00061010" w:rsidP="00953F4C">
      <w:pPr>
        <w:pStyle w:val="Notedebasdepage"/>
        <w:rPr>
          <w:sz w:val="18"/>
          <w:lang w:val="en-US"/>
        </w:rPr>
      </w:pPr>
      <w:r>
        <w:rPr>
          <w:rStyle w:val="Appelnotedebasdep"/>
          <w:sz w:val="18"/>
        </w:rPr>
        <w:footnoteRef/>
      </w:r>
      <w:r w:rsidRPr="0083108F">
        <w:rPr>
          <w:sz w:val="18"/>
          <w:lang w:val="en-US"/>
        </w:rPr>
        <w:t xml:space="preserve"> Ibid.</w:t>
      </w:r>
    </w:p>
  </w:footnote>
  <w:footnote w:id="30">
    <w:p w:rsidR="00061010" w:rsidRPr="00D86190" w:rsidRDefault="00061010" w:rsidP="00953F4C">
      <w:pPr>
        <w:pStyle w:val="Notedebasdepage"/>
        <w:rPr>
          <w:sz w:val="18"/>
        </w:rPr>
      </w:pPr>
      <w:r>
        <w:rPr>
          <w:rStyle w:val="Appelnotedebasdep"/>
          <w:sz w:val="18"/>
        </w:rPr>
        <w:footnoteRef/>
      </w:r>
      <w:r>
        <w:rPr>
          <w:sz w:val="18"/>
        </w:rPr>
        <w:t xml:space="preserve"> Répertoire des parcs nationaux (RPN), 2010</w:t>
      </w:r>
    </w:p>
  </w:footnote>
  <w:footnote w:id="31">
    <w:p w:rsidR="00061010" w:rsidRPr="00804D4D" w:rsidRDefault="00061010" w:rsidP="00953F4C">
      <w:pPr>
        <w:pStyle w:val="Notedebasdepage"/>
      </w:pPr>
      <w:r>
        <w:rPr>
          <w:rStyle w:val="Appelnotedebasdep"/>
          <w:sz w:val="18"/>
        </w:rPr>
        <w:footnoteRef/>
      </w:r>
      <w:r>
        <w:rPr>
          <w:sz w:val="18"/>
        </w:rPr>
        <w:t xml:space="preserve"> Descroix, 2015</w:t>
      </w:r>
    </w:p>
  </w:footnote>
  <w:footnote w:id="32">
    <w:p w:rsidR="00061010" w:rsidRPr="00953F4C" w:rsidRDefault="00061010" w:rsidP="007471D2">
      <w:pPr>
        <w:pStyle w:val="Notedebasdepage"/>
      </w:pPr>
      <w:r>
        <w:rPr>
          <w:rStyle w:val="Appelnotedebasdep"/>
        </w:rPr>
        <w:footnoteRef/>
      </w:r>
      <w:r w:rsidRPr="00953F4C">
        <w:t xml:space="preserve"> http://igfmining.org/mpf-senegal/</w:t>
      </w:r>
    </w:p>
  </w:footnote>
  <w:footnote w:id="33">
    <w:p w:rsidR="00061010" w:rsidRPr="00833CCC" w:rsidRDefault="00061010" w:rsidP="005634BE">
      <w:pPr>
        <w:pStyle w:val="Notedebasdepage"/>
      </w:pPr>
      <w:r>
        <w:rPr>
          <w:rStyle w:val="Appelnotedebasdep"/>
        </w:rPr>
        <w:footnoteRef/>
      </w:r>
      <w:r>
        <w:t xml:space="preserve"> Fonds monétaire international, (2013), </w:t>
      </w:r>
      <w:r>
        <w:rPr>
          <w:i/>
        </w:rPr>
        <w:t>Sénégal : Document de stratégie pour la réduction de la pauvreté – note consultative conjointe</w:t>
      </w:r>
      <w:r>
        <w:t xml:space="preserve">, n°13/195f, 13p. </w:t>
      </w:r>
    </w:p>
  </w:footnote>
  <w:footnote w:id="34">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5">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6">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7">
    <w:p w:rsidR="00061010" w:rsidRPr="00855160" w:rsidRDefault="00061010" w:rsidP="00876F2E">
      <w:pPr>
        <w:pStyle w:val="Notedebasdepage"/>
      </w:pPr>
      <w:r>
        <w:rPr>
          <w:rStyle w:val="Appelnotedebasdep"/>
        </w:rPr>
        <w:footnoteRef/>
      </w:r>
      <w:r>
        <w:t xml:space="preserve"> L’estimation couramment adoptée pour la gestion des aires protégées en Afrique est de 3 dollars des États-Unis/ha/an.</w:t>
      </w:r>
    </w:p>
  </w:footnote>
  <w:footnote w:id="38">
    <w:p w:rsidR="00061010" w:rsidRPr="00122FAF" w:rsidRDefault="00061010" w:rsidP="00876F2E">
      <w:pPr>
        <w:pStyle w:val="Notedebasdepage"/>
      </w:pPr>
      <w:r>
        <w:rPr>
          <w:rStyle w:val="Appelnotedebasdep"/>
          <w:lang w:val="en-US"/>
        </w:rPr>
        <w:footnoteRef/>
      </w:r>
      <w:r>
        <w:t xml:space="preserve"> Une estimation de 6 dollars des États-Unis/ha/an, selon Kuhn et al, 2011.</w:t>
      </w:r>
    </w:p>
  </w:footnote>
  <w:footnote w:id="39">
    <w:p w:rsidR="00061010" w:rsidRPr="00731FA1" w:rsidRDefault="00061010" w:rsidP="00876F2E">
      <w:pPr>
        <w:pStyle w:val="Notedebasdepage"/>
      </w:pPr>
      <w:r>
        <w:rPr>
          <w:rStyle w:val="Appelnotedebasdep"/>
        </w:rPr>
        <w:footnoteRef/>
      </w:r>
      <w:r>
        <w:t xml:space="preserve"> http://documents.worldbank.org/curated/en/344901481176051661/pdf/110820-WP-BiodiversityOffsetsUserGuideFinalWebRevised-PUBLIC.pdf</w:t>
      </w:r>
    </w:p>
  </w:footnote>
  <w:footnote w:id="40">
    <w:p w:rsidR="00061010" w:rsidRPr="000C759F" w:rsidRDefault="00061010" w:rsidP="00876F2E">
      <w:pPr>
        <w:pStyle w:val="Notedebasdepage"/>
      </w:pPr>
      <w:r>
        <w:rPr>
          <w:rStyle w:val="Appelnotedebasdep"/>
        </w:rPr>
        <w:footnoteRef/>
      </w:r>
      <w:r>
        <w:t xml:space="preserve"> http://igfmining.org/mpf-senegal/</w:t>
      </w:r>
    </w:p>
  </w:footnote>
  <w:footnote w:id="41">
    <w:p w:rsidR="00061010" w:rsidRPr="00731FA1" w:rsidRDefault="00061010" w:rsidP="00F25222">
      <w:pPr>
        <w:pStyle w:val="Notedebasdepage"/>
      </w:pPr>
      <w:r>
        <w:rPr>
          <w:rStyle w:val="Appelnotedebasdep"/>
        </w:rPr>
        <w:footnoteRef/>
      </w:r>
      <w:r>
        <w:t xml:space="preserve"> Comprendre les modèles de développement résilient aux changements climatiques – le cas du Sénégal, DFID, avril 2016.</w:t>
      </w:r>
    </w:p>
  </w:footnote>
  <w:footnote w:id="42">
    <w:p w:rsidR="00061010" w:rsidRPr="00593BA1" w:rsidRDefault="00061010" w:rsidP="00F25222">
      <w:pPr>
        <w:pStyle w:val="Default"/>
      </w:pPr>
      <w:r>
        <w:rPr>
          <w:rStyle w:val="Appelnotedebasdep"/>
          <w:sz w:val="18"/>
          <w:szCs w:val="18"/>
        </w:rPr>
        <w:footnoteRef/>
      </w:r>
      <w:r>
        <w:rPr>
          <w:sz w:val="18"/>
          <w:szCs w:val="18"/>
        </w:rPr>
        <w:t xml:space="preserve"> Smuts, R. (2010).  Les partenariats sont-ils la clé de la conservation de la biodiversité en Afrique ?  </w:t>
      </w:r>
      <w:r w:rsidRPr="00AE3BD3">
        <w:rPr>
          <w:sz w:val="18"/>
          <w:szCs w:val="18"/>
        </w:rPr>
        <w:t xml:space="preserve">Quatre études de cas de partenariat entre les sociétés minières et les ONG de conservation.  </w:t>
      </w:r>
      <w:r>
        <w:rPr>
          <w:sz w:val="18"/>
          <w:szCs w:val="20"/>
        </w:rPr>
        <w:t xml:space="preserve">Conservation internationale. </w:t>
      </w:r>
    </w:p>
  </w:footnote>
  <w:footnote w:id="43">
    <w:p w:rsidR="00061010" w:rsidRPr="0046177D" w:rsidRDefault="00061010" w:rsidP="00876F2E">
      <w:pPr>
        <w:pStyle w:val="Notedebasdepage"/>
        <w:rPr>
          <w:rFonts w:ascii="Calibri" w:hAnsi="Calibri" w:cs="Calibri"/>
          <w:sz w:val="18"/>
          <w:szCs w:val="18"/>
        </w:rPr>
      </w:pPr>
      <w:r>
        <w:rPr>
          <w:rStyle w:val="Appelnotedebasdep"/>
          <w:rFonts w:ascii="Calibri" w:hAnsi="Calibri" w:cs="Calibri"/>
          <w:szCs w:val="18"/>
        </w:rPr>
        <w:footnoteRef/>
      </w:r>
      <w:r>
        <w:t xml:space="preserve"> À l’exclusion du temps de travail du personnel des équipes de projet et du temps de travail et des frais de voyage du personnel du PNUD.</w:t>
      </w:r>
    </w:p>
  </w:footnote>
  <w:footnote w:id="44">
    <w:p w:rsidR="00061010" w:rsidRDefault="00061010" w:rsidP="00743B0B">
      <w:pPr>
        <w:pStyle w:val="Notedebasdepage"/>
      </w:pPr>
      <w:r w:rsidRPr="00EC0A8C">
        <w:rPr>
          <w:rStyle w:val="Appelnotedebasdep"/>
          <w:sz w:val="18"/>
        </w:rPr>
        <w:footnoteRef/>
      </w:r>
      <w:r w:rsidRPr="00EC0A8C">
        <w:rPr>
          <w:sz w:val="18"/>
        </w:rPr>
        <w:t xml:space="preserve"> Code des collectivités locales 2013</w:t>
      </w:r>
    </w:p>
  </w:footnote>
  <w:footnote w:id="45">
    <w:p w:rsidR="00061010" w:rsidRDefault="00061010" w:rsidP="00743B0B">
      <w:pPr>
        <w:pStyle w:val="Notedebasdepage"/>
      </w:pPr>
      <w:r>
        <w:rPr>
          <w:rStyle w:val="Appelnotedebasdep"/>
        </w:rPr>
        <w:footnoteRef/>
      </w:r>
      <w:r>
        <w:t xml:space="preserve">  Les motifs de discrimination proscrits comprennent la race, l’appartenance ethnique, le sexe, l’âge, la langue, le handicap, l’orientation sexuelle, la religion, les convictions politiques ou autres opinions, l’origine nationale, sociale ou géographique, la fortune, la naissance ou une autre condition, y compris celle de personne autochtone ou membre d’une minorité. Toute référence aux « femmes et hommes », ou à un terme similaire, est comprise comme incluant les femmes et les hommes, les garçons et les filles et d’autres groupes discriminés sur la base de leur orientation sexuelle, tels que les personnes transgenres et les transsexuels.</w:t>
      </w:r>
    </w:p>
  </w:footnote>
  <w:footnote w:id="46">
    <w:p w:rsidR="00061010" w:rsidRPr="000319DF" w:rsidRDefault="00061010" w:rsidP="00743B0B">
      <w:pPr>
        <w:spacing w:before="60"/>
        <w:rPr>
          <w:sz w:val="18"/>
          <w:szCs w:val="18"/>
        </w:rPr>
      </w:pPr>
      <w:r>
        <w:rPr>
          <w:vertAlign w:val="superscript"/>
        </w:rPr>
        <w:footnoteRef/>
      </w:r>
      <w:r>
        <w:t xml:space="preserve"> En ce qui concerne le CO</w:t>
      </w:r>
      <w:r>
        <w:rPr>
          <w:vertAlign w:val="subscript"/>
        </w:rPr>
        <w:t>2</w:t>
      </w:r>
      <w:r>
        <w:t>, des « émissions considérables » se réfèrent généralement à plus de 25 000 tonnes par an (provenant de sources directes et indirectes).</w:t>
      </w:r>
      <w:r>
        <w:rPr>
          <w:sz w:val="18"/>
          <w:szCs w:val="18"/>
        </w:rPr>
        <w:t xml:space="preserve"> [La Note d’orientation sur l’atténuation du changement climatique et l’adaptation à ses effets fournit de plus amples informations sur les émissions de GES.]</w:t>
      </w:r>
    </w:p>
  </w:footnote>
  <w:footnote w:id="47">
    <w:p w:rsidR="00061010" w:rsidRDefault="00061010" w:rsidP="00743B0B">
      <w:pPr>
        <w:pStyle w:val="Notedebasdepage"/>
      </w:pPr>
      <w:r>
        <w:rPr>
          <w:rStyle w:val="Appelnotedebasdep"/>
        </w:rPr>
        <w:footnoteRef/>
      </w:r>
      <w:r>
        <w:t xml:space="preserve"> Les expulsions comprennent des actes et/ou omissions impliquant le déplacement forcé ou involontaire de personnes, groupes ou communautés de domiciles et/ou terres et ressources foncières communes qu’ils occupaient ou dont ils dépendaient, éliminant ainsi leur capacité à résider ou à travailler dans un logement, une résidence ou un lieu particulier sans bénéficier ni avoir accès à des formes appropriées de protection juridique ou autre.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10" w:rsidRDefault="000610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9664C29"/>
    <w:multiLevelType w:val="hybridMultilevel"/>
    <w:tmpl w:val="1916A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F097C"/>
    <w:multiLevelType w:val="hybridMultilevel"/>
    <w:tmpl w:val="0E74EEA6"/>
    <w:lvl w:ilvl="0" w:tplc="040C001B">
      <w:start w:val="1"/>
      <w:numFmt w:val="lowerRoman"/>
      <w:lvlText w:val="%1."/>
      <w:lvlJc w:val="righ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 w15:restartNumberingAfterBreak="0">
    <w:nsid w:val="0BC82BFD"/>
    <w:multiLevelType w:val="hybridMultilevel"/>
    <w:tmpl w:val="882A5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B4123"/>
    <w:multiLevelType w:val="hybridMultilevel"/>
    <w:tmpl w:val="46D0E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52F6D"/>
    <w:multiLevelType w:val="hybridMultilevel"/>
    <w:tmpl w:val="6D6434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B97D33"/>
    <w:multiLevelType w:val="hybridMultilevel"/>
    <w:tmpl w:val="E5EAD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0D0C4E"/>
    <w:multiLevelType w:val="hybridMultilevel"/>
    <w:tmpl w:val="B36EF784"/>
    <w:lvl w:ilvl="0" w:tplc="10D03F2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D11DE"/>
    <w:multiLevelType w:val="hybridMultilevel"/>
    <w:tmpl w:val="410AA0A4"/>
    <w:lvl w:ilvl="0" w:tplc="2F7ABEF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7E059A"/>
    <w:multiLevelType w:val="hybridMultilevel"/>
    <w:tmpl w:val="05AAA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26362"/>
    <w:multiLevelType w:val="hybridMultilevel"/>
    <w:tmpl w:val="177C46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61277A5"/>
    <w:multiLevelType w:val="hybridMultilevel"/>
    <w:tmpl w:val="A976AB9A"/>
    <w:lvl w:ilvl="0" w:tplc="9DB00120">
      <w:start w:val="1"/>
      <w:numFmt w:val="upperRoman"/>
      <w:pStyle w:val="Titre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A57A77"/>
    <w:multiLevelType w:val="hybridMultilevel"/>
    <w:tmpl w:val="D5106F8A"/>
    <w:lvl w:ilvl="0" w:tplc="040C0003">
      <w:start w:val="1"/>
      <w:numFmt w:val="bullet"/>
      <w:lvlText w:val="o"/>
      <w:lvlJc w:val="left"/>
      <w:pPr>
        <w:ind w:left="360" w:hanging="360"/>
      </w:pPr>
      <w:rPr>
        <w:rFonts w:ascii="Courier New" w:hAnsi="Courier New"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7193F3B"/>
    <w:multiLevelType w:val="multilevel"/>
    <w:tmpl w:val="EF00568C"/>
    <w:lvl w:ilvl="0">
      <w:start w:val="1"/>
      <w:numFmt w:val="lowerRoman"/>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1F7434"/>
    <w:multiLevelType w:val="hybridMultilevel"/>
    <w:tmpl w:val="CDFCB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562495"/>
    <w:multiLevelType w:val="hybridMultilevel"/>
    <w:tmpl w:val="6AC69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C22D0E"/>
    <w:multiLevelType w:val="hybridMultilevel"/>
    <w:tmpl w:val="37C884F4"/>
    <w:lvl w:ilvl="0" w:tplc="06CC11B8">
      <w:start w:val="1"/>
      <w:numFmt w:val="bullet"/>
      <w:pStyle w:val="Listepuc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BAB2CD3"/>
    <w:multiLevelType w:val="hybridMultilevel"/>
    <w:tmpl w:val="2E223130"/>
    <w:lvl w:ilvl="0" w:tplc="626AEC0C">
      <w:numFmt w:val="bullet"/>
      <w:lvlText w:val="-"/>
      <w:lvlJc w:val="left"/>
      <w:pPr>
        <w:ind w:left="720" w:hanging="360"/>
      </w:pPr>
      <w:rPr>
        <w:rFonts w:ascii="Garamond" w:eastAsia="Calibri"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CAA5C7A"/>
    <w:multiLevelType w:val="hybridMultilevel"/>
    <w:tmpl w:val="19D09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600FE4"/>
    <w:multiLevelType w:val="hybridMultilevel"/>
    <w:tmpl w:val="CE448AD4"/>
    <w:lvl w:ilvl="0" w:tplc="D0A6F410">
      <w:start w:val="16"/>
      <w:numFmt w:val="decimal"/>
      <w:pStyle w:val="NumberedParas"/>
      <w:lvlText w:val="%1."/>
      <w:lvlJc w:val="left"/>
      <w:pPr>
        <w:ind w:left="360" w:hanging="360"/>
      </w:pPr>
      <w:rPr>
        <w:rFonts w:ascii="Times New Roman" w:hAnsi="Times New Roman" w:hint="default"/>
        <w:b w:val="0"/>
        <w:i w:val="0"/>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EDB66DC"/>
    <w:multiLevelType w:val="hybridMultilevel"/>
    <w:tmpl w:val="C5CA7CA8"/>
    <w:lvl w:ilvl="0" w:tplc="FDD0BE30">
      <w:numFmt w:val="bullet"/>
      <w:lvlText w:val="-"/>
      <w:lvlJc w:val="left"/>
      <w:pPr>
        <w:ind w:left="502" w:hanging="360"/>
      </w:pPr>
      <w:rPr>
        <w:rFonts w:ascii="Book Antiqua" w:eastAsia="Times New Roman" w:hAnsi="Book Antiqua"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1F326D4C"/>
    <w:multiLevelType w:val="hybridMultilevel"/>
    <w:tmpl w:val="B238AF20"/>
    <w:lvl w:ilvl="0" w:tplc="F774E6FA">
      <w:start w:val="1"/>
      <w:numFmt w:val="bullet"/>
      <w:lvlText w:val="•"/>
      <w:lvlJc w:val="left"/>
      <w:pPr>
        <w:tabs>
          <w:tab w:val="num" w:pos="720"/>
        </w:tabs>
        <w:ind w:left="720" w:hanging="360"/>
      </w:pPr>
      <w:rPr>
        <w:rFonts w:ascii="Arial" w:hAnsi="Arial" w:hint="default"/>
      </w:rPr>
    </w:lvl>
    <w:lvl w:ilvl="1" w:tplc="AEE2A4F6">
      <w:start w:val="1"/>
      <w:numFmt w:val="bullet"/>
      <w:lvlText w:val="•"/>
      <w:lvlJc w:val="left"/>
      <w:pPr>
        <w:tabs>
          <w:tab w:val="num" w:pos="1440"/>
        </w:tabs>
        <w:ind w:left="1440" w:hanging="360"/>
      </w:pPr>
      <w:rPr>
        <w:rFonts w:ascii="Arial" w:hAnsi="Arial" w:hint="default"/>
      </w:rPr>
    </w:lvl>
    <w:lvl w:ilvl="2" w:tplc="EA704B1A" w:tentative="1">
      <w:start w:val="1"/>
      <w:numFmt w:val="bullet"/>
      <w:lvlText w:val="•"/>
      <w:lvlJc w:val="left"/>
      <w:pPr>
        <w:tabs>
          <w:tab w:val="num" w:pos="2160"/>
        </w:tabs>
        <w:ind w:left="2160" w:hanging="360"/>
      </w:pPr>
      <w:rPr>
        <w:rFonts w:ascii="Arial" w:hAnsi="Arial" w:hint="default"/>
      </w:rPr>
    </w:lvl>
    <w:lvl w:ilvl="3" w:tplc="ADB81ABE" w:tentative="1">
      <w:start w:val="1"/>
      <w:numFmt w:val="bullet"/>
      <w:lvlText w:val="•"/>
      <w:lvlJc w:val="left"/>
      <w:pPr>
        <w:tabs>
          <w:tab w:val="num" w:pos="2880"/>
        </w:tabs>
        <w:ind w:left="2880" w:hanging="360"/>
      </w:pPr>
      <w:rPr>
        <w:rFonts w:ascii="Arial" w:hAnsi="Arial" w:hint="default"/>
      </w:rPr>
    </w:lvl>
    <w:lvl w:ilvl="4" w:tplc="69F2FFAE" w:tentative="1">
      <w:start w:val="1"/>
      <w:numFmt w:val="bullet"/>
      <w:lvlText w:val="•"/>
      <w:lvlJc w:val="left"/>
      <w:pPr>
        <w:tabs>
          <w:tab w:val="num" w:pos="3600"/>
        </w:tabs>
        <w:ind w:left="3600" w:hanging="360"/>
      </w:pPr>
      <w:rPr>
        <w:rFonts w:ascii="Arial" w:hAnsi="Arial" w:hint="default"/>
      </w:rPr>
    </w:lvl>
    <w:lvl w:ilvl="5" w:tplc="474A7422" w:tentative="1">
      <w:start w:val="1"/>
      <w:numFmt w:val="bullet"/>
      <w:lvlText w:val="•"/>
      <w:lvlJc w:val="left"/>
      <w:pPr>
        <w:tabs>
          <w:tab w:val="num" w:pos="4320"/>
        </w:tabs>
        <w:ind w:left="4320" w:hanging="360"/>
      </w:pPr>
      <w:rPr>
        <w:rFonts w:ascii="Arial" w:hAnsi="Arial" w:hint="default"/>
      </w:rPr>
    </w:lvl>
    <w:lvl w:ilvl="6" w:tplc="B1B86866" w:tentative="1">
      <w:start w:val="1"/>
      <w:numFmt w:val="bullet"/>
      <w:lvlText w:val="•"/>
      <w:lvlJc w:val="left"/>
      <w:pPr>
        <w:tabs>
          <w:tab w:val="num" w:pos="5040"/>
        </w:tabs>
        <w:ind w:left="5040" w:hanging="360"/>
      </w:pPr>
      <w:rPr>
        <w:rFonts w:ascii="Arial" w:hAnsi="Arial" w:hint="default"/>
      </w:rPr>
    </w:lvl>
    <w:lvl w:ilvl="7" w:tplc="A8CE6A8A" w:tentative="1">
      <w:start w:val="1"/>
      <w:numFmt w:val="bullet"/>
      <w:lvlText w:val="•"/>
      <w:lvlJc w:val="left"/>
      <w:pPr>
        <w:tabs>
          <w:tab w:val="num" w:pos="5760"/>
        </w:tabs>
        <w:ind w:left="5760" w:hanging="360"/>
      </w:pPr>
      <w:rPr>
        <w:rFonts w:ascii="Arial" w:hAnsi="Arial" w:hint="default"/>
      </w:rPr>
    </w:lvl>
    <w:lvl w:ilvl="8" w:tplc="B4FEF95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F9E1563"/>
    <w:multiLevelType w:val="hybridMultilevel"/>
    <w:tmpl w:val="712C2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FF65575"/>
    <w:multiLevelType w:val="hybridMultilevel"/>
    <w:tmpl w:val="4A1C90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853D30"/>
    <w:multiLevelType w:val="hybridMultilevel"/>
    <w:tmpl w:val="52DE84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22321012"/>
    <w:multiLevelType w:val="multilevel"/>
    <w:tmpl w:val="690EC84E"/>
    <w:lvl w:ilvl="0">
      <w:start w:val="15"/>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2C81BCB"/>
    <w:multiLevelType w:val="hybridMultilevel"/>
    <w:tmpl w:val="D6749850"/>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3262AE7"/>
    <w:multiLevelType w:val="hybridMultilevel"/>
    <w:tmpl w:val="36C20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4300C7"/>
    <w:multiLevelType w:val="hybridMultilevel"/>
    <w:tmpl w:val="F774C20A"/>
    <w:lvl w:ilvl="0" w:tplc="64EA0602">
      <w:start w:val="6"/>
      <w:numFmt w:val="bullet"/>
      <w:lvlText w:val="-"/>
      <w:lvlJc w:val="left"/>
      <w:pPr>
        <w:tabs>
          <w:tab w:val="num" w:pos="372"/>
        </w:tabs>
        <w:ind w:left="372" w:hanging="360"/>
      </w:pPr>
      <w:rPr>
        <w:rFonts w:ascii="Calibri" w:eastAsia="Calibri" w:hAnsi="Calibri" w:cs="Times New Roman" w:hint="default"/>
      </w:rPr>
    </w:lvl>
    <w:lvl w:ilvl="1" w:tplc="FB126DE8">
      <w:start w:val="1"/>
      <w:numFmt w:val="bullet"/>
      <w:lvlText w:val=""/>
      <w:lvlJc w:val="left"/>
      <w:pPr>
        <w:tabs>
          <w:tab w:val="num" w:pos="1092"/>
        </w:tabs>
        <w:ind w:left="1092" w:hanging="360"/>
      </w:pPr>
      <w:rPr>
        <w:rFonts w:ascii="Wingdings" w:hAnsi="Wingdings" w:hint="default"/>
      </w:rPr>
    </w:lvl>
    <w:lvl w:ilvl="2" w:tplc="00DAE7D0" w:tentative="1">
      <w:start w:val="1"/>
      <w:numFmt w:val="bullet"/>
      <w:lvlText w:val=""/>
      <w:lvlJc w:val="left"/>
      <w:pPr>
        <w:tabs>
          <w:tab w:val="num" w:pos="1812"/>
        </w:tabs>
        <w:ind w:left="1812" w:hanging="360"/>
      </w:pPr>
      <w:rPr>
        <w:rFonts w:ascii="Wingdings" w:hAnsi="Wingdings" w:hint="default"/>
      </w:rPr>
    </w:lvl>
    <w:lvl w:ilvl="3" w:tplc="B1EADF4A" w:tentative="1">
      <w:start w:val="1"/>
      <w:numFmt w:val="bullet"/>
      <w:lvlText w:val=""/>
      <w:lvlJc w:val="left"/>
      <w:pPr>
        <w:tabs>
          <w:tab w:val="num" w:pos="2532"/>
        </w:tabs>
        <w:ind w:left="2532" w:hanging="360"/>
      </w:pPr>
      <w:rPr>
        <w:rFonts w:ascii="Wingdings" w:hAnsi="Wingdings" w:hint="default"/>
      </w:rPr>
    </w:lvl>
    <w:lvl w:ilvl="4" w:tplc="B510D696" w:tentative="1">
      <w:start w:val="1"/>
      <w:numFmt w:val="bullet"/>
      <w:lvlText w:val=""/>
      <w:lvlJc w:val="left"/>
      <w:pPr>
        <w:tabs>
          <w:tab w:val="num" w:pos="3252"/>
        </w:tabs>
        <w:ind w:left="3252" w:hanging="360"/>
      </w:pPr>
      <w:rPr>
        <w:rFonts w:ascii="Wingdings" w:hAnsi="Wingdings" w:hint="default"/>
      </w:rPr>
    </w:lvl>
    <w:lvl w:ilvl="5" w:tplc="C0FAC1F4" w:tentative="1">
      <w:start w:val="1"/>
      <w:numFmt w:val="bullet"/>
      <w:lvlText w:val=""/>
      <w:lvlJc w:val="left"/>
      <w:pPr>
        <w:tabs>
          <w:tab w:val="num" w:pos="3972"/>
        </w:tabs>
        <w:ind w:left="3972" w:hanging="360"/>
      </w:pPr>
      <w:rPr>
        <w:rFonts w:ascii="Wingdings" w:hAnsi="Wingdings" w:hint="default"/>
      </w:rPr>
    </w:lvl>
    <w:lvl w:ilvl="6" w:tplc="668A13CC" w:tentative="1">
      <w:start w:val="1"/>
      <w:numFmt w:val="bullet"/>
      <w:lvlText w:val=""/>
      <w:lvlJc w:val="left"/>
      <w:pPr>
        <w:tabs>
          <w:tab w:val="num" w:pos="4692"/>
        </w:tabs>
        <w:ind w:left="4692" w:hanging="360"/>
      </w:pPr>
      <w:rPr>
        <w:rFonts w:ascii="Wingdings" w:hAnsi="Wingdings" w:hint="default"/>
      </w:rPr>
    </w:lvl>
    <w:lvl w:ilvl="7" w:tplc="CB88BE0E" w:tentative="1">
      <w:start w:val="1"/>
      <w:numFmt w:val="bullet"/>
      <w:lvlText w:val=""/>
      <w:lvlJc w:val="left"/>
      <w:pPr>
        <w:tabs>
          <w:tab w:val="num" w:pos="5412"/>
        </w:tabs>
        <w:ind w:left="5412" w:hanging="360"/>
      </w:pPr>
      <w:rPr>
        <w:rFonts w:ascii="Wingdings" w:hAnsi="Wingdings" w:hint="default"/>
      </w:rPr>
    </w:lvl>
    <w:lvl w:ilvl="8" w:tplc="C28A9C72" w:tentative="1">
      <w:start w:val="1"/>
      <w:numFmt w:val="bullet"/>
      <w:lvlText w:val=""/>
      <w:lvlJc w:val="left"/>
      <w:pPr>
        <w:tabs>
          <w:tab w:val="num" w:pos="6132"/>
        </w:tabs>
        <w:ind w:left="6132" w:hanging="360"/>
      </w:pPr>
      <w:rPr>
        <w:rFonts w:ascii="Wingdings" w:hAnsi="Wingdings" w:hint="default"/>
      </w:rPr>
    </w:lvl>
  </w:abstractNum>
  <w:abstractNum w:abstractNumId="33" w15:restartNumberingAfterBreak="0">
    <w:nsid w:val="2347152E"/>
    <w:multiLevelType w:val="multilevel"/>
    <w:tmpl w:val="EF0C4B14"/>
    <w:lvl w:ilvl="0">
      <w:start w:val="1"/>
      <w:numFmt w:val="decimal"/>
      <w:lvlText w:val="%1."/>
      <w:lvlJc w:val="left"/>
      <w:pPr>
        <w:ind w:left="502" w:hanging="360"/>
      </w:pPr>
      <w:rPr>
        <w:rFonts w:ascii="Trebuchet MS" w:eastAsia="Times New Roman" w:hAnsi="Trebuchet MS" w:cs="Arial" w:hint="default"/>
        <w:sz w:val="22"/>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255B47EA"/>
    <w:multiLevelType w:val="hybridMultilevel"/>
    <w:tmpl w:val="289EAF7C"/>
    <w:lvl w:ilvl="0" w:tplc="28F803D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B72A56"/>
    <w:multiLevelType w:val="multilevel"/>
    <w:tmpl w:val="48044EA4"/>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937651A"/>
    <w:multiLevelType w:val="hybridMultilevel"/>
    <w:tmpl w:val="F1C6E704"/>
    <w:lvl w:ilvl="0" w:tplc="A90CBF14">
      <w:start w:val="2"/>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29B82630"/>
    <w:multiLevelType w:val="hybridMultilevel"/>
    <w:tmpl w:val="66AE9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E561C9"/>
    <w:multiLevelType w:val="hybridMultilevel"/>
    <w:tmpl w:val="3F2A9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A362490"/>
    <w:multiLevelType w:val="hybridMultilevel"/>
    <w:tmpl w:val="35AC5596"/>
    <w:lvl w:ilvl="0" w:tplc="F07EB8E2">
      <w:start w:val="31"/>
      <w:numFmt w:val="bullet"/>
      <w:lvlText w:val="-"/>
      <w:lvlJc w:val="left"/>
      <w:pPr>
        <w:ind w:left="720" w:hanging="360"/>
      </w:pPr>
      <w:rPr>
        <w:rFonts w:ascii="Tahoma-Bold" w:eastAsiaTheme="minorHAnsi" w:hAnsi="Tahoma-Bold" w:cs="Tahoma-Bold" w:hint="default"/>
        <w:b/>
        <w:sz w:val="2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AB64898"/>
    <w:multiLevelType w:val="hybridMultilevel"/>
    <w:tmpl w:val="66CAAFF2"/>
    <w:lvl w:ilvl="0" w:tplc="E60C098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3C5E33"/>
    <w:multiLevelType w:val="hybridMultilevel"/>
    <w:tmpl w:val="D0EA49A0"/>
    <w:lvl w:ilvl="0" w:tplc="D1E4A014">
      <w:numFmt w:val="bullet"/>
      <w:lvlText w:val="-"/>
      <w:lvlJc w:val="left"/>
      <w:pPr>
        <w:ind w:left="720" w:hanging="360"/>
      </w:pPr>
      <w:rPr>
        <w:rFonts w:ascii="Garamond" w:eastAsia="Calibri"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D402EA2"/>
    <w:multiLevelType w:val="hybridMultilevel"/>
    <w:tmpl w:val="946A3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E355452"/>
    <w:multiLevelType w:val="hybridMultilevel"/>
    <w:tmpl w:val="0D96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CD1922"/>
    <w:multiLevelType w:val="hybridMultilevel"/>
    <w:tmpl w:val="BC1CF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F5753FB"/>
    <w:multiLevelType w:val="hybridMultilevel"/>
    <w:tmpl w:val="6EDA06DC"/>
    <w:lvl w:ilvl="0" w:tplc="8EC45A3E">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F661BBB"/>
    <w:multiLevelType w:val="hybridMultilevel"/>
    <w:tmpl w:val="0264EED6"/>
    <w:lvl w:ilvl="0" w:tplc="34C6EFBE">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0E87D1D"/>
    <w:multiLevelType w:val="hybridMultilevel"/>
    <w:tmpl w:val="15A84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33C4E22"/>
    <w:multiLevelType w:val="hybridMultilevel"/>
    <w:tmpl w:val="5D5C01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35A23356"/>
    <w:multiLevelType w:val="hybridMultilevel"/>
    <w:tmpl w:val="3BE8A7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5E95E22"/>
    <w:multiLevelType w:val="hybridMultilevel"/>
    <w:tmpl w:val="09DC8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FC31E4"/>
    <w:multiLevelType w:val="hybridMultilevel"/>
    <w:tmpl w:val="47DE7C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69427A"/>
    <w:multiLevelType w:val="hybridMultilevel"/>
    <w:tmpl w:val="C358A6C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A30625"/>
    <w:multiLevelType w:val="hybridMultilevel"/>
    <w:tmpl w:val="B9081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A324297"/>
    <w:multiLevelType w:val="hybridMultilevel"/>
    <w:tmpl w:val="ED3461B0"/>
    <w:lvl w:ilvl="0" w:tplc="FB92A570">
      <w:start w:val="33"/>
      <w:numFmt w:val="bullet"/>
      <w:lvlText w:val="-"/>
      <w:lvlJc w:val="left"/>
      <w:pPr>
        <w:ind w:left="720" w:hanging="360"/>
      </w:pPr>
      <w:rPr>
        <w:rFonts w:ascii="Cambria" w:eastAsia="Times New Roman" w:hAnsi="Cambria" w:cs="Times New Roman"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BC12A14"/>
    <w:multiLevelType w:val="hybridMultilevel"/>
    <w:tmpl w:val="0D6E7C84"/>
    <w:lvl w:ilvl="0" w:tplc="42F05A2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Symbo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Symbol"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3D0352A2"/>
    <w:multiLevelType w:val="hybridMultilevel"/>
    <w:tmpl w:val="C27A47AE"/>
    <w:lvl w:ilvl="0" w:tplc="2F7ABEF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DEC594E"/>
    <w:multiLevelType w:val="hybridMultilevel"/>
    <w:tmpl w:val="BE987A42"/>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9" w15:restartNumberingAfterBreak="0">
    <w:nsid w:val="3E8E1D52"/>
    <w:multiLevelType w:val="hybridMultilevel"/>
    <w:tmpl w:val="D338C89A"/>
    <w:lvl w:ilvl="0" w:tplc="6A78FB6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15:restartNumberingAfterBreak="0">
    <w:nsid w:val="3EE17FDB"/>
    <w:multiLevelType w:val="hybridMultilevel"/>
    <w:tmpl w:val="9FACF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F196C30"/>
    <w:multiLevelType w:val="hybridMultilevel"/>
    <w:tmpl w:val="98848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14961BC"/>
    <w:multiLevelType w:val="hybridMultilevel"/>
    <w:tmpl w:val="C4582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2184E11"/>
    <w:multiLevelType w:val="hybridMultilevel"/>
    <w:tmpl w:val="B92080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43F2504D"/>
    <w:multiLevelType w:val="multilevel"/>
    <w:tmpl w:val="A86CE114"/>
    <w:lvl w:ilvl="0">
      <w:start w:val="1"/>
      <w:numFmt w:val="upperRoman"/>
      <w:lvlText w:val="%1."/>
      <w:lvlJc w:val="left"/>
      <w:pPr>
        <w:ind w:left="1080" w:hanging="720"/>
      </w:pPr>
      <w:rPr>
        <w:rFonts w:ascii="Times New Roman" w:eastAsia="Times New Roman" w:hAnsi="Times New Roman" w:hint="default"/>
        <w:sz w:val="28"/>
      </w:rPr>
    </w:lvl>
    <w:lvl w:ilvl="1">
      <w:start w:val="1"/>
      <w:numFmt w:val="decimal"/>
      <w:isLgl/>
      <w:lvlText w:val="%1.%2."/>
      <w:lvlJc w:val="left"/>
      <w:pPr>
        <w:ind w:left="1080" w:hanging="720"/>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2160" w:hanging="180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520" w:hanging="2160"/>
      </w:pPr>
      <w:rPr>
        <w:rFonts w:eastAsia="Calibri" w:hint="default"/>
        <w:color w:val="auto"/>
      </w:rPr>
    </w:lvl>
  </w:abstractNum>
  <w:abstractNum w:abstractNumId="65" w15:restartNumberingAfterBreak="0">
    <w:nsid w:val="45BF6193"/>
    <w:multiLevelType w:val="hybridMultilevel"/>
    <w:tmpl w:val="19761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6DB0E1F"/>
    <w:multiLevelType w:val="hybridMultilevel"/>
    <w:tmpl w:val="530C55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643FCB"/>
    <w:multiLevelType w:val="hybridMultilevel"/>
    <w:tmpl w:val="01E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2F40BD"/>
    <w:multiLevelType w:val="hybridMultilevel"/>
    <w:tmpl w:val="9B8AA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DAA2E80"/>
    <w:multiLevelType w:val="hybridMultilevel"/>
    <w:tmpl w:val="4BC06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E2656E9"/>
    <w:multiLevelType w:val="hybridMultilevel"/>
    <w:tmpl w:val="8FD2DC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08B2889"/>
    <w:multiLevelType w:val="multilevel"/>
    <w:tmpl w:val="EF00568C"/>
    <w:lvl w:ilvl="0">
      <w:start w:val="1"/>
      <w:numFmt w:val="lowerRoman"/>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2874935"/>
    <w:multiLevelType w:val="hybridMultilevel"/>
    <w:tmpl w:val="9CF02B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544230A9"/>
    <w:multiLevelType w:val="hybridMultilevel"/>
    <w:tmpl w:val="E618E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73C7133"/>
    <w:multiLevelType w:val="hybridMultilevel"/>
    <w:tmpl w:val="06BCB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95317C4"/>
    <w:multiLevelType w:val="hybridMultilevel"/>
    <w:tmpl w:val="AF8C2242"/>
    <w:lvl w:ilvl="0" w:tplc="D9E26680">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9FD7EC0"/>
    <w:multiLevelType w:val="hybridMultilevel"/>
    <w:tmpl w:val="47C0FC0E"/>
    <w:lvl w:ilvl="0" w:tplc="A4CCC7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B8D034C"/>
    <w:multiLevelType w:val="hybridMultilevel"/>
    <w:tmpl w:val="7186A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3765BD"/>
    <w:multiLevelType w:val="hybridMultilevel"/>
    <w:tmpl w:val="AD40E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EA40747"/>
    <w:multiLevelType w:val="hybridMultilevel"/>
    <w:tmpl w:val="DB665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3C54197"/>
    <w:multiLevelType w:val="hybridMultilevel"/>
    <w:tmpl w:val="13062836"/>
    <w:lvl w:ilvl="0" w:tplc="E6C6C270">
      <w:start w:val="1"/>
      <w:numFmt w:val="bullet"/>
      <w:lvlText w:val="•"/>
      <w:lvlJc w:val="left"/>
      <w:pPr>
        <w:tabs>
          <w:tab w:val="num" w:pos="720"/>
        </w:tabs>
        <w:ind w:left="720" w:hanging="360"/>
      </w:pPr>
      <w:rPr>
        <w:rFonts w:ascii="Arial" w:hAnsi="Arial" w:hint="default"/>
      </w:rPr>
    </w:lvl>
    <w:lvl w:ilvl="1" w:tplc="F83A64A0">
      <w:start w:val="1"/>
      <w:numFmt w:val="bullet"/>
      <w:lvlText w:val="•"/>
      <w:lvlJc w:val="left"/>
      <w:pPr>
        <w:tabs>
          <w:tab w:val="num" w:pos="1440"/>
        </w:tabs>
        <w:ind w:left="1440" w:hanging="360"/>
      </w:pPr>
      <w:rPr>
        <w:rFonts w:ascii="Arial" w:hAnsi="Arial" w:hint="default"/>
      </w:rPr>
    </w:lvl>
    <w:lvl w:ilvl="2" w:tplc="A286871A" w:tentative="1">
      <w:start w:val="1"/>
      <w:numFmt w:val="bullet"/>
      <w:lvlText w:val="•"/>
      <w:lvlJc w:val="left"/>
      <w:pPr>
        <w:tabs>
          <w:tab w:val="num" w:pos="2160"/>
        </w:tabs>
        <w:ind w:left="2160" w:hanging="360"/>
      </w:pPr>
      <w:rPr>
        <w:rFonts w:ascii="Arial" w:hAnsi="Arial" w:hint="default"/>
      </w:rPr>
    </w:lvl>
    <w:lvl w:ilvl="3" w:tplc="72965DD0" w:tentative="1">
      <w:start w:val="1"/>
      <w:numFmt w:val="bullet"/>
      <w:lvlText w:val="•"/>
      <w:lvlJc w:val="left"/>
      <w:pPr>
        <w:tabs>
          <w:tab w:val="num" w:pos="2880"/>
        </w:tabs>
        <w:ind w:left="2880" w:hanging="360"/>
      </w:pPr>
      <w:rPr>
        <w:rFonts w:ascii="Arial" w:hAnsi="Arial" w:hint="default"/>
      </w:rPr>
    </w:lvl>
    <w:lvl w:ilvl="4" w:tplc="634CF09C" w:tentative="1">
      <w:start w:val="1"/>
      <w:numFmt w:val="bullet"/>
      <w:lvlText w:val="•"/>
      <w:lvlJc w:val="left"/>
      <w:pPr>
        <w:tabs>
          <w:tab w:val="num" w:pos="3600"/>
        </w:tabs>
        <w:ind w:left="3600" w:hanging="360"/>
      </w:pPr>
      <w:rPr>
        <w:rFonts w:ascii="Arial" w:hAnsi="Arial" w:hint="default"/>
      </w:rPr>
    </w:lvl>
    <w:lvl w:ilvl="5" w:tplc="240433F0" w:tentative="1">
      <w:start w:val="1"/>
      <w:numFmt w:val="bullet"/>
      <w:lvlText w:val="•"/>
      <w:lvlJc w:val="left"/>
      <w:pPr>
        <w:tabs>
          <w:tab w:val="num" w:pos="4320"/>
        </w:tabs>
        <w:ind w:left="4320" w:hanging="360"/>
      </w:pPr>
      <w:rPr>
        <w:rFonts w:ascii="Arial" w:hAnsi="Arial" w:hint="default"/>
      </w:rPr>
    </w:lvl>
    <w:lvl w:ilvl="6" w:tplc="CB5C113A" w:tentative="1">
      <w:start w:val="1"/>
      <w:numFmt w:val="bullet"/>
      <w:lvlText w:val="•"/>
      <w:lvlJc w:val="left"/>
      <w:pPr>
        <w:tabs>
          <w:tab w:val="num" w:pos="5040"/>
        </w:tabs>
        <w:ind w:left="5040" w:hanging="360"/>
      </w:pPr>
      <w:rPr>
        <w:rFonts w:ascii="Arial" w:hAnsi="Arial" w:hint="default"/>
      </w:rPr>
    </w:lvl>
    <w:lvl w:ilvl="7" w:tplc="285EE91E" w:tentative="1">
      <w:start w:val="1"/>
      <w:numFmt w:val="bullet"/>
      <w:lvlText w:val="•"/>
      <w:lvlJc w:val="left"/>
      <w:pPr>
        <w:tabs>
          <w:tab w:val="num" w:pos="5760"/>
        </w:tabs>
        <w:ind w:left="5760" w:hanging="360"/>
      </w:pPr>
      <w:rPr>
        <w:rFonts w:ascii="Arial" w:hAnsi="Arial" w:hint="default"/>
      </w:rPr>
    </w:lvl>
    <w:lvl w:ilvl="8" w:tplc="D27A169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519497E"/>
    <w:multiLevelType w:val="hybridMultilevel"/>
    <w:tmpl w:val="CD28F0F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7CB2645"/>
    <w:multiLevelType w:val="hybridMultilevel"/>
    <w:tmpl w:val="C904193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Adobe Caslo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dobe Caslon"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dobe Caslon"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68781171"/>
    <w:multiLevelType w:val="hybridMultilevel"/>
    <w:tmpl w:val="9DC65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9DC5EE1"/>
    <w:multiLevelType w:val="hybridMultilevel"/>
    <w:tmpl w:val="73D4F38C"/>
    <w:lvl w:ilvl="0" w:tplc="08090001">
      <w:start w:val="1"/>
      <w:numFmt w:val="bullet"/>
      <w:lvlText w:val=""/>
      <w:lvlJc w:val="left"/>
      <w:pPr>
        <w:ind w:left="360" w:hanging="360"/>
      </w:pPr>
      <w:rPr>
        <w:rFonts w:ascii="Symbol" w:hAnsi="Symbol" w:hint="default"/>
        <w:b w:val="0"/>
        <w:i w:val="0"/>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A435ACC"/>
    <w:multiLevelType w:val="hybridMultilevel"/>
    <w:tmpl w:val="E528C3D8"/>
    <w:lvl w:ilvl="0" w:tplc="0FEAD44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6B7C4A8F"/>
    <w:multiLevelType w:val="multilevel"/>
    <w:tmpl w:val="6C0EE060"/>
    <w:lvl w:ilvl="0">
      <w:start w:val="3"/>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90" w15:restartNumberingAfterBreak="0">
    <w:nsid w:val="6D5E711C"/>
    <w:multiLevelType w:val="hybridMultilevel"/>
    <w:tmpl w:val="02A02A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6E8C3014"/>
    <w:multiLevelType w:val="hybridMultilevel"/>
    <w:tmpl w:val="DFD48884"/>
    <w:lvl w:ilvl="0" w:tplc="FCBA32D0">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CF5573"/>
    <w:multiLevelType w:val="hybridMultilevel"/>
    <w:tmpl w:val="DCEA9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0D16518"/>
    <w:multiLevelType w:val="multilevel"/>
    <w:tmpl w:val="3CEC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19955C3"/>
    <w:multiLevelType w:val="hybridMultilevel"/>
    <w:tmpl w:val="CA965216"/>
    <w:lvl w:ilvl="0" w:tplc="24A8A89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6543FE3"/>
    <w:multiLevelType w:val="hybridMultilevel"/>
    <w:tmpl w:val="CF4C2E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C313FB"/>
    <w:multiLevelType w:val="hybridMultilevel"/>
    <w:tmpl w:val="7CD46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9E52031"/>
    <w:multiLevelType w:val="hybridMultilevel"/>
    <w:tmpl w:val="53CA0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AA30534"/>
    <w:multiLevelType w:val="hybridMultilevel"/>
    <w:tmpl w:val="866427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B7C0C35"/>
    <w:multiLevelType w:val="hybridMultilevel"/>
    <w:tmpl w:val="F42AA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97"/>
  </w:num>
  <w:num w:numId="4">
    <w:abstractNumId w:val="23"/>
  </w:num>
  <w:num w:numId="5">
    <w:abstractNumId w:val="30"/>
  </w:num>
  <w:num w:numId="6">
    <w:abstractNumId w:val="69"/>
  </w:num>
  <w:num w:numId="7">
    <w:abstractNumId w:val="38"/>
  </w:num>
  <w:num w:numId="8">
    <w:abstractNumId w:val="65"/>
  </w:num>
  <w:num w:numId="9">
    <w:abstractNumId w:val="27"/>
  </w:num>
  <w:num w:numId="10">
    <w:abstractNumId w:val="99"/>
  </w:num>
  <w:num w:numId="11">
    <w:abstractNumId w:val="50"/>
  </w:num>
  <w:num w:numId="12">
    <w:abstractNumId w:val="4"/>
  </w:num>
  <w:num w:numId="13">
    <w:abstractNumId w:val="73"/>
  </w:num>
  <w:num w:numId="14">
    <w:abstractNumId w:val="90"/>
  </w:num>
  <w:num w:numId="15">
    <w:abstractNumId w:val="41"/>
  </w:num>
  <w:num w:numId="16">
    <w:abstractNumId w:val="21"/>
  </w:num>
  <w:num w:numId="17">
    <w:abstractNumId w:val="42"/>
  </w:num>
  <w:num w:numId="18">
    <w:abstractNumId w:val="80"/>
  </w:num>
  <w:num w:numId="19">
    <w:abstractNumId w:val="81"/>
  </w:num>
  <w:num w:numId="20">
    <w:abstractNumId w:val="17"/>
  </w:num>
  <w:num w:numId="21">
    <w:abstractNumId w:val="51"/>
  </w:num>
  <w:num w:numId="22">
    <w:abstractNumId w:val="10"/>
  </w:num>
  <w:num w:numId="23">
    <w:abstractNumId w:val="95"/>
  </w:num>
  <w:num w:numId="24">
    <w:abstractNumId w:val="100"/>
  </w:num>
  <w:num w:numId="25">
    <w:abstractNumId w:val="6"/>
  </w:num>
  <w:num w:numId="26">
    <w:abstractNumId w:val="26"/>
  </w:num>
  <w:num w:numId="27">
    <w:abstractNumId w:val="77"/>
  </w:num>
  <w:num w:numId="28">
    <w:abstractNumId w:val="98"/>
  </w:num>
  <w:num w:numId="29">
    <w:abstractNumId w:val="71"/>
  </w:num>
  <w:num w:numId="30">
    <w:abstractNumId w:val="37"/>
  </w:num>
  <w:num w:numId="31">
    <w:abstractNumId w:val="70"/>
  </w:num>
  <w:num w:numId="32">
    <w:abstractNumId w:val="68"/>
  </w:num>
  <w:num w:numId="33">
    <w:abstractNumId w:val="43"/>
  </w:num>
  <w:num w:numId="34">
    <w:abstractNumId w:val="3"/>
  </w:num>
  <w:num w:numId="35">
    <w:abstractNumId w:val="47"/>
  </w:num>
  <w:num w:numId="36">
    <w:abstractNumId w:val="86"/>
  </w:num>
  <w:num w:numId="37">
    <w:abstractNumId w:val="101"/>
  </w:num>
  <w:num w:numId="38">
    <w:abstractNumId w:val="72"/>
  </w:num>
  <w:num w:numId="39">
    <w:abstractNumId w:val="18"/>
  </w:num>
  <w:num w:numId="40">
    <w:abstractNumId w:val="92"/>
  </w:num>
  <w:num w:numId="41">
    <w:abstractNumId w:val="1"/>
  </w:num>
  <w:num w:numId="42">
    <w:abstractNumId w:val="22"/>
  </w:num>
  <w:num w:numId="43">
    <w:abstractNumId w:val="60"/>
  </w:num>
  <w:num w:numId="44">
    <w:abstractNumId w:val="67"/>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num>
  <w:num w:numId="47">
    <w:abstractNumId w:val="19"/>
  </w:num>
  <w:num w:numId="48">
    <w:abstractNumId w:val="59"/>
    <w:lvlOverride w:ilvl="0">
      <w:startOverride w:val="1"/>
    </w:lvlOverride>
  </w:num>
  <w:num w:numId="49">
    <w:abstractNumId w:val="52"/>
  </w:num>
  <w:num w:numId="50">
    <w:abstractNumId w:val="12"/>
  </w:num>
  <w:num w:numId="51">
    <w:abstractNumId w:val="29"/>
  </w:num>
  <w:num w:numId="52">
    <w:abstractNumId w:val="13"/>
  </w:num>
  <w:num w:numId="53">
    <w:abstractNumId w:val="63"/>
  </w:num>
  <w:num w:numId="54">
    <w:abstractNumId w:val="96"/>
  </w:num>
  <w:num w:numId="55">
    <w:abstractNumId w:val="62"/>
  </w:num>
  <w:num w:numId="56">
    <w:abstractNumId w:val="34"/>
  </w:num>
  <w:num w:numId="57">
    <w:abstractNumId w:val="88"/>
  </w:num>
  <w:num w:numId="58">
    <w:abstractNumId w:val="7"/>
  </w:num>
  <w:num w:numId="59">
    <w:abstractNumId w:val="20"/>
  </w:num>
  <w:num w:numId="60">
    <w:abstractNumId w:val="87"/>
  </w:num>
  <w:num w:numId="61">
    <w:abstractNumId w:val="0"/>
  </w:num>
  <w:num w:numId="62">
    <w:abstractNumId w:val="85"/>
  </w:num>
  <w:num w:numId="63">
    <w:abstractNumId w:val="56"/>
  </w:num>
  <w:num w:numId="64">
    <w:abstractNumId w:val="54"/>
  </w:num>
  <w:num w:numId="65">
    <w:abstractNumId w:val="11"/>
  </w:num>
  <w:num w:numId="66">
    <w:abstractNumId w:val="84"/>
  </w:num>
  <w:num w:numId="67">
    <w:abstractNumId w:val="75"/>
  </w:num>
  <w:num w:numId="68">
    <w:abstractNumId w:val="15"/>
  </w:num>
  <w:num w:numId="69">
    <w:abstractNumId w:val="2"/>
  </w:num>
  <w:num w:numId="70">
    <w:abstractNumId w:val="61"/>
  </w:num>
  <w:num w:numId="71">
    <w:abstractNumId w:val="66"/>
  </w:num>
  <w:num w:numId="72">
    <w:abstractNumId w:val="93"/>
  </w:num>
  <w:num w:numId="73">
    <w:abstractNumId w:val="55"/>
  </w:num>
  <w:num w:numId="74">
    <w:abstractNumId w:val="24"/>
  </w:num>
  <w:num w:numId="75">
    <w:abstractNumId w:val="25"/>
  </w:num>
  <w:num w:numId="76">
    <w:abstractNumId w:val="83"/>
  </w:num>
  <w:num w:numId="77">
    <w:abstractNumId w:val="32"/>
  </w:num>
  <w:num w:numId="78">
    <w:abstractNumId w:val="28"/>
  </w:num>
  <w:num w:numId="79">
    <w:abstractNumId w:val="5"/>
  </w:num>
  <w:num w:numId="80">
    <w:abstractNumId w:val="9"/>
  </w:num>
  <w:num w:numId="81">
    <w:abstractNumId w:val="78"/>
  </w:num>
  <w:num w:numId="82">
    <w:abstractNumId w:val="46"/>
  </w:num>
  <w:num w:numId="83">
    <w:abstractNumId w:val="8"/>
  </w:num>
  <w:num w:numId="84">
    <w:abstractNumId w:val="57"/>
  </w:num>
  <w:num w:numId="85">
    <w:abstractNumId w:val="49"/>
  </w:num>
  <w:num w:numId="86">
    <w:abstractNumId w:val="76"/>
  </w:num>
  <w:num w:numId="87">
    <w:abstractNumId w:val="40"/>
  </w:num>
  <w:num w:numId="88">
    <w:abstractNumId w:val="45"/>
  </w:num>
  <w:num w:numId="89">
    <w:abstractNumId w:val="36"/>
  </w:num>
  <w:num w:numId="90">
    <w:abstractNumId w:val="48"/>
  </w:num>
  <w:num w:numId="91">
    <w:abstractNumId w:val="44"/>
  </w:num>
  <w:num w:numId="92">
    <w:abstractNumId w:val="89"/>
  </w:num>
  <w:num w:numId="93">
    <w:abstractNumId w:val="33"/>
  </w:num>
  <w:num w:numId="94">
    <w:abstractNumId w:val="39"/>
  </w:num>
  <w:num w:numId="95">
    <w:abstractNumId w:val="64"/>
  </w:num>
  <w:num w:numId="96">
    <w:abstractNumId w:val="31"/>
  </w:num>
  <w:num w:numId="97">
    <w:abstractNumId w:val="35"/>
  </w:num>
  <w:num w:numId="98">
    <w:abstractNumId w:val="16"/>
  </w:num>
  <w:num w:numId="99">
    <w:abstractNumId w:val="74"/>
  </w:num>
  <w:num w:numId="100">
    <w:abstractNumId w:val="79"/>
  </w:num>
  <w:num w:numId="101">
    <w:abstractNumId w:val="94"/>
  </w:num>
  <w:num w:numId="102">
    <w:abstractNumId w:val="23"/>
    <w:lvlOverride w:ilvl="0">
      <w:startOverride w:val="41"/>
    </w:lvlOverride>
  </w:num>
  <w:num w:numId="103">
    <w:abstractNumId w:val="58"/>
  </w:num>
  <w:num w:numId="104">
    <w:abstractNumId w:val="9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F2E"/>
    <w:rsid w:val="000024C7"/>
    <w:rsid w:val="00006CE3"/>
    <w:rsid w:val="00013F42"/>
    <w:rsid w:val="00025799"/>
    <w:rsid w:val="00031FB4"/>
    <w:rsid w:val="00034C50"/>
    <w:rsid w:val="00035E64"/>
    <w:rsid w:val="000450A9"/>
    <w:rsid w:val="000506C6"/>
    <w:rsid w:val="00051749"/>
    <w:rsid w:val="00055F99"/>
    <w:rsid w:val="00061010"/>
    <w:rsid w:val="0006687A"/>
    <w:rsid w:val="00072C1A"/>
    <w:rsid w:val="00075058"/>
    <w:rsid w:val="00084A7B"/>
    <w:rsid w:val="0009163D"/>
    <w:rsid w:val="00095256"/>
    <w:rsid w:val="000A24B5"/>
    <w:rsid w:val="000B6016"/>
    <w:rsid w:val="000C686E"/>
    <w:rsid w:val="00106951"/>
    <w:rsid w:val="00111169"/>
    <w:rsid w:val="001313E6"/>
    <w:rsid w:val="00133314"/>
    <w:rsid w:val="00134D97"/>
    <w:rsid w:val="00137EFB"/>
    <w:rsid w:val="00144F44"/>
    <w:rsid w:val="001476CF"/>
    <w:rsid w:val="00147802"/>
    <w:rsid w:val="00151454"/>
    <w:rsid w:val="001519CC"/>
    <w:rsid w:val="00153889"/>
    <w:rsid w:val="00154868"/>
    <w:rsid w:val="00157C96"/>
    <w:rsid w:val="0016679B"/>
    <w:rsid w:val="00167E42"/>
    <w:rsid w:val="00172459"/>
    <w:rsid w:val="001728AE"/>
    <w:rsid w:val="00177291"/>
    <w:rsid w:val="00180665"/>
    <w:rsid w:val="00182006"/>
    <w:rsid w:val="00183630"/>
    <w:rsid w:val="00192122"/>
    <w:rsid w:val="0019592A"/>
    <w:rsid w:val="001A56FB"/>
    <w:rsid w:val="001A7A3F"/>
    <w:rsid w:val="001B1A0B"/>
    <w:rsid w:val="001B1D26"/>
    <w:rsid w:val="001C7CD3"/>
    <w:rsid w:val="001D470D"/>
    <w:rsid w:val="001D6D81"/>
    <w:rsid w:val="001F31A4"/>
    <w:rsid w:val="001F55C9"/>
    <w:rsid w:val="002272D3"/>
    <w:rsid w:val="00234FC0"/>
    <w:rsid w:val="00250351"/>
    <w:rsid w:val="0025378A"/>
    <w:rsid w:val="00256A5E"/>
    <w:rsid w:val="002575A2"/>
    <w:rsid w:val="00270429"/>
    <w:rsid w:val="0028176C"/>
    <w:rsid w:val="00286E4F"/>
    <w:rsid w:val="002B21FC"/>
    <w:rsid w:val="002B5200"/>
    <w:rsid w:val="002C0AF3"/>
    <w:rsid w:val="002C6446"/>
    <w:rsid w:val="002D1439"/>
    <w:rsid w:val="002D3B62"/>
    <w:rsid w:val="002E4FD1"/>
    <w:rsid w:val="002E5AB3"/>
    <w:rsid w:val="002E6781"/>
    <w:rsid w:val="002E6C8F"/>
    <w:rsid w:val="002E7CA0"/>
    <w:rsid w:val="002F0D8C"/>
    <w:rsid w:val="002F3AB8"/>
    <w:rsid w:val="003011BE"/>
    <w:rsid w:val="00305E03"/>
    <w:rsid w:val="00310916"/>
    <w:rsid w:val="00311A1A"/>
    <w:rsid w:val="00315ACF"/>
    <w:rsid w:val="00332C08"/>
    <w:rsid w:val="00334AC6"/>
    <w:rsid w:val="00343681"/>
    <w:rsid w:val="003531E7"/>
    <w:rsid w:val="003535DC"/>
    <w:rsid w:val="00354A76"/>
    <w:rsid w:val="00381096"/>
    <w:rsid w:val="00384043"/>
    <w:rsid w:val="003907A9"/>
    <w:rsid w:val="0039204D"/>
    <w:rsid w:val="00392FD6"/>
    <w:rsid w:val="0039391E"/>
    <w:rsid w:val="00395E0E"/>
    <w:rsid w:val="003A2C4B"/>
    <w:rsid w:val="003A50A5"/>
    <w:rsid w:val="003A53F3"/>
    <w:rsid w:val="003A66D0"/>
    <w:rsid w:val="003B5CD2"/>
    <w:rsid w:val="003B7D35"/>
    <w:rsid w:val="003F2B50"/>
    <w:rsid w:val="003F4F6D"/>
    <w:rsid w:val="003F6960"/>
    <w:rsid w:val="003F725F"/>
    <w:rsid w:val="00415D1C"/>
    <w:rsid w:val="0042780D"/>
    <w:rsid w:val="00427F10"/>
    <w:rsid w:val="00432EB8"/>
    <w:rsid w:val="00435CBE"/>
    <w:rsid w:val="00437CEE"/>
    <w:rsid w:val="00443344"/>
    <w:rsid w:val="004533D6"/>
    <w:rsid w:val="004628C7"/>
    <w:rsid w:val="00475B05"/>
    <w:rsid w:val="00487F68"/>
    <w:rsid w:val="004917C3"/>
    <w:rsid w:val="00495DF4"/>
    <w:rsid w:val="004A18AF"/>
    <w:rsid w:val="004A36C3"/>
    <w:rsid w:val="004B21A2"/>
    <w:rsid w:val="004B3EDE"/>
    <w:rsid w:val="004C3AB5"/>
    <w:rsid w:val="004C60DC"/>
    <w:rsid w:val="004D6761"/>
    <w:rsid w:val="004D7D6F"/>
    <w:rsid w:val="004F16E4"/>
    <w:rsid w:val="004F2196"/>
    <w:rsid w:val="004F6759"/>
    <w:rsid w:val="005152B7"/>
    <w:rsid w:val="00520D27"/>
    <w:rsid w:val="0052541D"/>
    <w:rsid w:val="00530641"/>
    <w:rsid w:val="00537B55"/>
    <w:rsid w:val="00540F52"/>
    <w:rsid w:val="00550082"/>
    <w:rsid w:val="00553366"/>
    <w:rsid w:val="005634BE"/>
    <w:rsid w:val="005736A0"/>
    <w:rsid w:val="00576C37"/>
    <w:rsid w:val="00576FA0"/>
    <w:rsid w:val="00580BFF"/>
    <w:rsid w:val="00593EA6"/>
    <w:rsid w:val="005A25B5"/>
    <w:rsid w:val="005A2D8E"/>
    <w:rsid w:val="005A37B5"/>
    <w:rsid w:val="005A4040"/>
    <w:rsid w:val="005A43F3"/>
    <w:rsid w:val="005A741B"/>
    <w:rsid w:val="005A7A0A"/>
    <w:rsid w:val="005C0C6C"/>
    <w:rsid w:val="005C1E94"/>
    <w:rsid w:val="005D5C5A"/>
    <w:rsid w:val="005D7183"/>
    <w:rsid w:val="005E2B58"/>
    <w:rsid w:val="005E48EE"/>
    <w:rsid w:val="005E65B2"/>
    <w:rsid w:val="005F116A"/>
    <w:rsid w:val="005F4017"/>
    <w:rsid w:val="005F4291"/>
    <w:rsid w:val="005F48B0"/>
    <w:rsid w:val="005F7849"/>
    <w:rsid w:val="00607510"/>
    <w:rsid w:val="0061152F"/>
    <w:rsid w:val="0061684D"/>
    <w:rsid w:val="00644D00"/>
    <w:rsid w:val="006470DA"/>
    <w:rsid w:val="006602F7"/>
    <w:rsid w:val="00661212"/>
    <w:rsid w:val="00667D8E"/>
    <w:rsid w:val="00680A0D"/>
    <w:rsid w:val="006857AC"/>
    <w:rsid w:val="00693A93"/>
    <w:rsid w:val="00695AC0"/>
    <w:rsid w:val="006A75D0"/>
    <w:rsid w:val="006B6DAC"/>
    <w:rsid w:val="006D5ED3"/>
    <w:rsid w:val="006F1C40"/>
    <w:rsid w:val="006F2A4B"/>
    <w:rsid w:val="0070673A"/>
    <w:rsid w:val="007079EA"/>
    <w:rsid w:val="00707E38"/>
    <w:rsid w:val="00714342"/>
    <w:rsid w:val="00722F62"/>
    <w:rsid w:val="007236BE"/>
    <w:rsid w:val="007364B9"/>
    <w:rsid w:val="00740EB3"/>
    <w:rsid w:val="0074123F"/>
    <w:rsid w:val="00743B0B"/>
    <w:rsid w:val="007471D2"/>
    <w:rsid w:val="007540C1"/>
    <w:rsid w:val="00763C77"/>
    <w:rsid w:val="00765ED6"/>
    <w:rsid w:val="0077068B"/>
    <w:rsid w:val="00771667"/>
    <w:rsid w:val="0077528A"/>
    <w:rsid w:val="00781178"/>
    <w:rsid w:val="00782E09"/>
    <w:rsid w:val="00782FAC"/>
    <w:rsid w:val="00785E03"/>
    <w:rsid w:val="0078703B"/>
    <w:rsid w:val="00796C09"/>
    <w:rsid w:val="00797888"/>
    <w:rsid w:val="007A2D25"/>
    <w:rsid w:val="007C4EEA"/>
    <w:rsid w:val="007D305B"/>
    <w:rsid w:val="007D45EE"/>
    <w:rsid w:val="007F1868"/>
    <w:rsid w:val="00803B55"/>
    <w:rsid w:val="00812D8E"/>
    <w:rsid w:val="00816ED1"/>
    <w:rsid w:val="0083108F"/>
    <w:rsid w:val="00833FA1"/>
    <w:rsid w:val="00843E52"/>
    <w:rsid w:val="00845CF0"/>
    <w:rsid w:val="00847C3E"/>
    <w:rsid w:val="00852033"/>
    <w:rsid w:val="008524E1"/>
    <w:rsid w:val="00866EB6"/>
    <w:rsid w:val="008712CB"/>
    <w:rsid w:val="00876F2E"/>
    <w:rsid w:val="008847D6"/>
    <w:rsid w:val="00893756"/>
    <w:rsid w:val="008937A4"/>
    <w:rsid w:val="00894A87"/>
    <w:rsid w:val="008A02C1"/>
    <w:rsid w:val="008A14B7"/>
    <w:rsid w:val="008A656D"/>
    <w:rsid w:val="008B00C3"/>
    <w:rsid w:val="008B4FC1"/>
    <w:rsid w:val="008B5E2A"/>
    <w:rsid w:val="008B71E3"/>
    <w:rsid w:val="008E7DE9"/>
    <w:rsid w:val="008F70F2"/>
    <w:rsid w:val="00900150"/>
    <w:rsid w:val="009011CA"/>
    <w:rsid w:val="0091172E"/>
    <w:rsid w:val="009121B8"/>
    <w:rsid w:val="00912C59"/>
    <w:rsid w:val="009139A0"/>
    <w:rsid w:val="009172FB"/>
    <w:rsid w:val="009218B8"/>
    <w:rsid w:val="009222EC"/>
    <w:rsid w:val="00922D95"/>
    <w:rsid w:val="009278B0"/>
    <w:rsid w:val="009314CC"/>
    <w:rsid w:val="009343F3"/>
    <w:rsid w:val="009375FA"/>
    <w:rsid w:val="00945424"/>
    <w:rsid w:val="00947501"/>
    <w:rsid w:val="0095214F"/>
    <w:rsid w:val="00953F4C"/>
    <w:rsid w:val="0095414C"/>
    <w:rsid w:val="00960FEF"/>
    <w:rsid w:val="00961D0C"/>
    <w:rsid w:val="00963DD9"/>
    <w:rsid w:val="00965161"/>
    <w:rsid w:val="00970BE8"/>
    <w:rsid w:val="0098190A"/>
    <w:rsid w:val="00984E42"/>
    <w:rsid w:val="00990A25"/>
    <w:rsid w:val="009A05E7"/>
    <w:rsid w:val="009B012E"/>
    <w:rsid w:val="009B3C60"/>
    <w:rsid w:val="009B75FA"/>
    <w:rsid w:val="009C022B"/>
    <w:rsid w:val="009C1238"/>
    <w:rsid w:val="009C315F"/>
    <w:rsid w:val="009C6DA3"/>
    <w:rsid w:val="009D471A"/>
    <w:rsid w:val="009E23E7"/>
    <w:rsid w:val="009E340F"/>
    <w:rsid w:val="009E4BB9"/>
    <w:rsid w:val="009F40B1"/>
    <w:rsid w:val="00A03FE0"/>
    <w:rsid w:val="00A05600"/>
    <w:rsid w:val="00A15BF5"/>
    <w:rsid w:val="00A15F12"/>
    <w:rsid w:val="00A21DC4"/>
    <w:rsid w:val="00A271B3"/>
    <w:rsid w:val="00A30627"/>
    <w:rsid w:val="00A33495"/>
    <w:rsid w:val="00A444DE"/>
    <w:rsid w:val="00A4630B"/>
    <w:rsid w:val="00A503B6"/>
    <w:rsid w:val="00A52EB7"/>
    <w:rsid w:val="00A5434B"/>
    <w:rsid w:val="00A57845"/>
    <w:rsid w:val="00A614D7"/>
    <w:rsid w:val="00A72504"/>
    <w:rsid w:val="00A75811"/>
    <w:rsid w:val="00A76937"/>
    <w:rsid w:val="00AA0797"/>
    <w:rsid w:val="00AB0A31"/>
    <w:rsid w:val="00AB6553"/>
    <w:rsid w:val="00AC1CF9"/>
    <w:rsid w:val="00AE3BD3"/>
    <w:rsid w:val="00AE76CB"/>
    <w:rsid w:val="00AF1011"/>
    <w:rsid w:val="00AF2D0D"/>
    <w:rsid w:val="00AF5116"/>
    <w:rsid w:val="00B002A8"/>
    <w:rsid w:val="00B0195E"/>
    <w:rsid w:val="00B23213"/>
    <w:rsid w:val="00B26A00"/>
    <w:rsid w:val="00B35C92"/>
    <w:rsid w:val="00B4520D"/>
    <w:rsid w:val="00B45422"/>
    <w:rsid w:val="00B52CBC"/>
    <w:rsid w:val="00B53BD8"/>
    <w:rsid w:val="00B57B3C"/>
    <w:rsid w:val="00B74CC8"/>
    <w:rsid w:val="00B81038"/>
    <w:rsid w:val="00B8712C"/>
    <w:rsid w:val="00BA37C9"/>
    <w:rsid w:val="00BB0DD5"/>
    <w:rsid w:val="00BB249B"/>
    <w:rsid w:val="00BB7ABA"/>
    <w:rsid w:val="00BC6E26"/>
    <w:rsid w:val="00BD0111"/>
    <w:rsid w:val="00BD0C63"/>
    <w:rsid w:val="00BD4532"/>
    <w:rsid w:val="00BD58B5"/>
    <w:rsid w:val="00BE13FC"/>
    <w:rsid w:val="00BF5225"/>
    <w:rsid w:val="00BF5E7B"/>
    <w:rsid w:val="00C06227"/>
    <w:rsid w:val="00C24F16"/>
    <w:rsid w:val="00C24F6D"/>
    <w:rsid w:val="00C25F6A"/>
    <w:rsid w:val="00C37975"/>
    <w:rsid w:val="00C4078E"/>
    <w:rsid w:val="00C4155B"/>
    <w:rsid w:val="00C458A8"/>
    <w:rsid w:val="00C50A2D"/>
    <w:rsid w:val="00C614F9"/>
    <w:rsid w:val="00C6474C"/>
    <w:rsid w:val="00C67024"/>
    <w:rsid w:val="00C769B2"/>
    <w:rsid w:val="00C83242"/>
    <w:rsid w:val="00C96028"/>
    <w:rsid w:val="00CA03E8"/>
    <w:rsid w:val="00CA4022"/>
    <w:rsid w:val="00CB0510"/>
    <w:rsid w:val="00CB593C"/>
    <w:rsid w:val="00CC0268"/>
    <w:rsid w:val="00CC1A09"/>
    <w:rsid w:val="00CC26CA"/>
    <w:rsid w:val="00CC7473"/>
    <w:rsid w:val="00CD43D0"/>
    <w:rsid w:val="00CD6E03"/>
    <w:rsid w:val="00CE6D96"/>
    <w:rsid w:val="00D02828"/>
    <w:rsid w:val="00D0666D"/>
    <w:rsid w:val="00D11BF5"/>
    <w:rsid w:val="00D17173"/>
    <w:rsid w:val="00D22B1B"/>
    <w:rsid w:val="00D2405E"/>
    <w:rsid w:val="00D402CC"/>
    <w:rsid w:val="00D4512E"/>
    <w:rsid w:val="00D63B11"/>
    <w:rsid w:val="00D8296A"/>
    <w:rsid w:val="00D87EA2"/>
    <w:rsid w:val="00DA7D20"/>
    <w:rsid w:val="00DB1791"/>
    <w:rsid w:val="00DB4C81"/>
    <w:rsid w:val="00DC572F"/>
    <w:rsid w:val="00DD457B"/>
    <w:rsid w:val="00DD6576"/>
    <w:rsid w:val="00E03496"/>
    <w:rsid w:val="00E06B22"/>
    <w:rsid w:val="00E22425"/>
    <w:rsid w:val="00E23533"/>
    <w:rsid w:val="00E33F60"/>
    <w:rsid w:val="00E404FB"/>
    <w:rsid w:val="00E42C74"/>
    <w:rsid w:val="00E45CCD"/>
    <w:rsid w:val="00E5196E"/>
    <w:rsid w:val="00E52F39"/>
    <w:rsid w:val="00E75543"/>
    <w:rsid w:val="00E80173"/>
    <w:rsid w:val="00E82CB3"/>
    <w:rsid w:val="00E82EC3"/>
    <w:rsid w:val="00E8322C"/>
    <w:rsid w:val="00E83A7C"/>
    <w:rsid w:val="00E85E6E"/>
    <w:rsid w:val="00E87AA0"/>
    <w:rsid w:val="00E87BA1"/>
    <w:rsid w:val="00E93BDD"/>
    <w:rsid w:val="00E942CC"/>
    <w:rsid w:val="00EA25D4"/>
    <w:rsid w:val="00EA695E"/>
    <w:rsid w:val="00EC242A"/>
    <w:rsid w:val="00ED6F33"/>
    <w:rsid w:val="00EE0D24"/>
    <w:rsid w:val="00EE71EC"/>
    <w:rsid w:val="00F06548"/>
    <w:rsid w:val="00F100D6"/>
    <w:rsid w:val="00F12E0C"/>
    <w:rsid w:val="00F14F9C"/>
    <w:rsid w:val="00F22729"/>
    <w:rsid w:val="00F22AF3"/>
    <w:rsid w:val="00F24462"/>
    <w:rsid w:val="00F25222"/>
    <w:rsid w:val="00F3417F"/>
    <w:rsid w:val="00F40E5F"/>
    <w:rsid w:val="00F42462"/>
    <w:rsid w:val="00F66811"/>
    <w:rsid w:val="00F67950"/>
    <w:rsid w:val="00F753B3"/>
    <w:rsid w:val="00F82528"/>
    <w:rsid w:val="00F82FCA"/>
    <w:rsid w:val="00F83FD2"/>
    <w:rsid w:val="00F95C3E"/>
    <w:rsid w:val="00FA15C6"/>
    <w:rsid w:val="00FA2102"/>
    <w:rsid w:val="00FB009B"/>
    <w:rsid w:val="00FB0986"/>
    <w:rsid w:val="00FB1AF6"/>
    <w:rsid w:val="00FB2FBE"/>
    <w:rsid w:val="00FB5176"/>
    <w:rsid w:val="00FB5ADA"/>
    <w:rsid w:val="00FC1D16"/>
    <w:rsid w:val="00FD0F46"/>
    <w:rsid w:val="00FD2EEE"/>
    <w:rsid w:val="00FE1153"/>
    <w:rsid w:val="00FE5B75"/>
    <w:rsid w:val="00FE6611"/>
    <w:rsid w:val="00FE773B"/>
    <w:rsid w:val="00FF6611"/>
    <w:rsid w:val="00FF73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7EBDD-03A4-4B38-8864-114AFF7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F2E"/>
    <w:pPr>
      <w:spacing w:after="60" w:line="240" w:lineRule="auto"/>
      <w:jc w:val="both"/>
    </w:pPr>
    <w:rPr>
      <w:rFonts w:ascii="Calibri" w:eastAsia="SimSun" w:hAnsi="Calibri" w:cs="Times New Roman"/>
      <w:sz w:val="20"/>
      <w:szCs w:val="24"/>
    </w:rPr>
  </w:style>
  <w:style w:type="paragraph" w:styleId="Titre1">
    <w:name w:val="heading 1"/>
    <w:basedOn w:val="Normal"/>
    <w:next w:val="Normal"/>
    <w:link w:val="Titre1Car"/>
    <w:uiPriority w:val="9"/>
    <w:qFormat/>
    <w:rsid w:val="00876F2E"/>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uiPriority w:val="9"/>
    <w:unhideWhenUsed/>
    <w:qFormat/>
    <w:rsid w:val="00876F2E"/>
    <w:pPr>
      <w:keepNext/>
      <w:keepLines/>
      <w:spacing w:before="200" w:after="0"/>
      <w:jc w:val="left"/>
      <w:outlineLvl w:val="1"/>
    </w:pPr>
    <w:rPr>
      <w:rFonts w:asciiTheme="majorHAnsi" w:eastAsiaTheme="majorEastAsia" w:hAnsiTheme="majorHAnsi" w:cstheme="majorBidi"/>
      <w:b/>
      <w:bCs/>
      <w:color w:val="5B9BD5" w:themeColor="accent1"/>
      <w:sz w:val="26"/>
      <w:szCs w:val="26"/>
      <w:lang w:eastAsia="fr-FR"/>
    </w:rPr>
  </w:style>
  <w:style w:type="paragraph" w:styleId="Titre3">
    <w:name w:val="heading 3"/>
    <w:basedOn w:val="Normal"/>
    <w:next w:val="Normal"/>
    <w:link w:val="Titre3Car"/>
    <w:uiPriority w:val="9"/>
    <w:unhideWhenUsed/>
    <w:qFormat/>
    <w:rsid w:val="00876F2E"/>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876F2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6F2E"/>
    <w:rPr>
      <w:rFonts w:ascii="Century Gothic" w:eastAsia="SimSun" w:hAnsi="Century Gothic" w:cs="Times New Roman"/>
      <w:b/>
      <w:smallCaps/>
      <w:spacing w:val="-2"/>
      <w:sz w:val="28"/>
      <w:szCs w:val="20"/>
    </w:rPr>
  </w:style>
  <w:style w:type="character" w:customStyle="1" w:styleId="Titre2Car">
    <w:name w:val="Titre 2 Car"/>
    <w:basedOn w:val="Policepardfaut"/>
    <w:link w:val="Titre2"/>
    <w:uiPriority w:val="9"/>
    <w:rsid w:val="00876F2E"/>
    <w:rPr>
      <w:rFonts w:asciiTheme="majorHAnsi" w:eastAsiaTheme="majorEastAsia" w:hAnsiTheme="majorHAnsi" w:cstheme="majorBidi"/>
      <w:b/>
      <w:bCs/>
      <w:color w:val="5B9BD5" w:themeColor="accent1"/>
      <w:sz w:val="26"/>
      <w:szCs w:val="26"/>
      <w:lang w:eastAsia="fr-FR"/>
    </w:rPr>
  </w:style>
  <w:style w:type="character" w:customStyle="1" w:styleId="Titre3Car">
    <w:name w:val="Titre 3 Car"/>
    <w:basedOn w:val="Policepardfaut"/>
    <w:link w:val="Titre3"/>
    <w:uiPriority w:val="9"/>
    <w:rsid w:val="00876F2E"/>
    <w:rPr>
      <w:rFonts w:asciiTheme="majorHAnsi" w:eastAsiaTheme="majorEastAsia" w:hAnsiTheme="majorHAnsi" w:cstheme="majorBidi"/>
      <w:b/>
      <w:bCs/>
      <w:color w:val="5B9BD5" w:themeColor="accent1"/>
      <w:sz w:val="20"/>
      <w:szCs w:val="24"/>
      <w:lang w:val="fr-FR"/>
    </w:rPr>
  </w:style>
  <w:style w:type="character" w:customStyle="1" w:styleId="Titre4Car">
    <w:name w:val="Titre 4 Car"/>
    <w:basedOn w:val="Policepardfaut"/>
    <w:link w:val="Titre4"/>
    <w:uiPriority w:val="9"/>
    <w:rsid w:val="00876F2E"/>
    <w:rPr>
      <w:rFonts w:asciiTheme="majorHAnsi" w:eastAsiaTheme="majorEastAsia" w:hAnsiTheme="majorHAnsi" w:cstheme="majorBidi"/>
      <w:b/>
      <w:bCs/>
      <w:i/>
      <w:iCs/>
      <w:color w:val="5B9BD5" w:themeColor="accent1"/>
      <w:sz w:val="20"/>
      <w:szCs w:val="24"/>
      <w:lang w:val="fr-FR"/>
    </w:rPr>
  </w:style>
  <w:style w:type="character" w:styleId="Lienhypertexte">
    <w:name w:val="Hyperlink"/>
    <w:uiPriority w:val="99"/>
    <w:rsid w:val="00876F2E"/>
    <w:rPr>
      <w:rFonts w:cs="Times New Roman"/>
      <w:color w:val="0000FF"/>
      <w:u w:val="single"/>
    </w:rPr>
  </w:style>
  <w:style w:type="paragraph" w:styleId="Paragraphedeliste">
    <w:name w:val="List Paragraph"/>
    <w:aliases w:val="List Paragraph1,texte,Bullet List,- List tir,liste 1,Bullets,Bibliographie1,Table/Figure Heading,Yellow Bullet,Normal bullet 2,Paragraph,Graph &amp; Table tite,Paragraphe de liste1,Project Profile name"/>
    <w:basedOn w:val="Normal"/>
    <w:link w:val="ParagraphedelisteCar"/>
    <w:uiPriority w:val="99"/>
    <w:qFormat/>
    <w:rsid w:val="00876F2E"/>
    <w:pPr>
      <w:spacing w:after="0"/>
      <w:ind w:left="720"/>
      <w:jc w:val="left"/>
    </w:pPr>
    <w:rPr>
      <w:rFonts w:ascii="Times New Roman" w:hAnsi="Times New Roman"/>
      <w:sz w:val="24"/>
    </w:rPr>
  </w:style>
  <w:style w:type="character" w:customStyle="1" w:styleId="ParagraphedelisteCar">
    <w:name w:val="Paragraphe de liste Car"/>
    <w:aliases w:val="List Paragraph1 Car,texte Car,Bullet List Car,- List tir Car,liste 1 Car,Bullets Car,Bibliographie1 Car,Table/Figure Heading Car,Yellow Bullet Car,Normal bullet 2 Car,Paragraph Car,Graph &amp; Table tite Car,Paragraphe de liste1 Car"/>
    <w:link w:val="Paragraphedeliste"/>
    <w:uiPriority w:val="34"/>
    <w:rsid w:val="00876F2E"/>
    <w:rPr>
      <w:rFonts w:ascii="Times New Roman" w:eastAsia="SimSun" w:hAnsi="Times New Roman" w:cs="Times New Roman"/>
      <w:sz w:val="24"/>
      <w:szCs w:val="24"/>
      <w:lang w:val="fr-FR"/>
    </w:rPr>
  </w:style>
  <w:style w:type="paragraph" w:styleId="TM1">
    <w:name w:val="toc 1"/>
    <w:basedOn w:val="Normal"/>
    <w:next w:val="Normal"/>
    <w:autoRedefine/>
    <w:uiPriority w:val="39"/>
    <w:rsid w:val="00876F2E"/>
    <w:pPr>
      <w:tabs>
        <w:tab w:val="left" w:pos="540"/>
        <w:tab w:val="right" w:leader="dot" w:pos="9304"/>
      </w:tabs>
    </w:pPr>
  </w:style>
  <w:style w:type="paragraph" w:styleId="Sansinterligne">
    <w:name w:val="No Spacing"/>
    <w:link w:val="SansinterligneCar"/>
    <w:uiPriority w:val="1"/>
    <w:qFormat/>
    <w:rsid w:val="00876F2E"/>
    <w:pPr>
      <w:spacing w:after="0" w:line="240" w:lineRule="auto"/>
    </w:pPr>
    <w:rPr>
      <w:rFonts w:ascii="Times" w:eastAsia="Times" w:hAnsi="Times" w:cs="Times New Roman"/>
      <w:sz w:val="24"/>
      <w:szCs w:val="24"/>
    </w:rPr>
  </w:style>
  <w:style w:type="character" w:customStyle="1" w:styleId="SansinterligneCar">
    <w:name w:val="Sans interligne Car"/>
    <w:link w:val="Sansinterligne"/>
    <w:uiPriority w:val="1"/>
    <w:rsid w:val="00876F2E"/>
    <w:rPr>
      <w:rFonts w:ascii="Times" w:eastAsia="Times" w:hAnsi="Times" w:cs="Times New Roman"/>
      <w:sz w:val="24"/>
      <w:szCs w:val="24"/>
      <w:lang w:val="fr-FR"/>
    </w:rPr>
  </w:style>
  <w:style w:type="paragraph" w:styleId="Textedebulles">
    <w:name w:val="Balloon Text"/>
    <w:basedOn w:val="Normal"/>
    <w:link w:val="TextedebullesCar"/>
    <w:uiPriority w:val="99"/>
    <w:semiHidden/>
    <w:unhideWhenUsed/>
    <w:rsid w:val="00876F2E"/>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76F2E"/>
    <w:rPr>
      <w:rFonts w:ascii="Lucida Grande" w:eastAsia="SimSun" w:hAnsi="Lucida Grande" w:cs="Times New Roman"/>
      <w:sz w:val="18"/>
      <w:szCs w:val="18"/>
      <w:lang w:val="fr-FR"/>
    </w:rPr>
  </w:style>
  <w:style w:type="paragraph" w:customStyle="1" w:styleId="Default">
    <w:name w:val="Default"/>
    <w:rsid w:val="00876F2E"/>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Char Char Char Ch"/>
    <w:basedOn w:val="Normal"/>
    <w:link w:val="NotedebasdepageCar"/>
    <w:qFormat/>
    <w:rsid w:val="00876F2E"/>
    <w:pPr>
      <w:spacing w:after="0"/>
      <w:jc w:val="left"/>
    </w:pPr>
    <w:rPr>
      <w:rFonts w:ascii="Times New Roman" w:eastAsia="Times New Roman" w:hAnsi="Times New Roman"/>
      <w:szCs w:val="20"/>
    </w:rPr>
  </w:style>
  <w:style w:type="character" w:customStyle="1" w:styleId="NotedebasdepageCar">
    <w:name w:val="Note de bas de page Car"/>
    <w:aliases w:val="Geneva 9 Car,Font: Geneva 9 Car,Boston 10 Car,f Car,otnote Text Car,Footnote Car,ft Car,Footnote Text Char2 Car,Footnote Text Char1 Char Car,Footnote Text Char Char Char1 Car,Footnote Text Char1 Char Char Char1 Car"/>
    <w:basedOn w:val="Policepardfaut"/>
    <w:link w:val="Notedebasdepage"/>
    <w:rsid w:val="00876F2E"/>
    <w:rPr>
      <w:rFonts w:ascii="Times New Roman" w:eastAsia="Times New Roman" w:hAnsi="Times New Roman" w:cs="Times New Roman"/>
      <w:sz w:val="20"/>
      <w:szCs w:val="20"/>
      <w:lang w:val="fr-FR"/>
    </w:rPr>
  </w:style>
  <w:style w:type="character" w:styleId="Appelnotedebasdep">
    <w:name w:val="footnote reference"/>
    <w:aliases w:val="16 Point,Superscript 6 Point,ftref,Superscript 6 Point + 11 pt,fr,BVI fnr,Footnote Reference Number,BVI fnr Car Car,BVI fnr Car,BVI fnr Car Car Car Car,Footnote text,Footnote Reference Char Char Char,EN Footnote Reference,Ref"/>
    <w:basedOn w:val="Policepardfaut"/>
    <w:link w:val="CharCharCharCharCarChar"/>
    <w:rsid w:val="00876F2E"/>
    <w:rPr>
      <w:vertAlign w:val="superscript"/>
    </w:rPr>
  </w:style>
  <w:style w:type="paragraph" w:customStyle="1" w:styleId="NumberedParas">
    <w:name w:val="Numbered Paras"/>
    <w:basedOn w:val="Normal"/>
    <w:qFormat/>
    <w:rsid w:val="00876F2E"/>
    <w:pPr>
      <w:numPr>
        <w:numId w:val="4"/>
      </w:numPr>
      <w:spacing w:after="0"/>
    </w:pPr>
    <w:rPr>
      <w:rFonts w:ascii="Times New Roman" w:eastAsia="Times New Roman" w:hAnsi="Times New Roman"/>
      <w:sz w:val="24"/>
      <w:szCs w:val="22"/>
    </w:rPr>
  </w:style>
  <w:style w:type="paragraph" w:styleId="Lgende">
    <w:name w:val="caption"/>
    <w:basedOn w:val="Normal"/>
    <w:next w:val="Normal"/>
    <w:uiPriority w:val="35"/>
    <w:qFormat/>
    <w:rsid w:val="00876F2E"/>
    <w:pPr>
      <w:keepNext/>
      <w:spacing w:after="100"/>
      <w:jc w:val="center"/>
    </w:pPr>
    <w:rPr>
      <w:rFonts w:ascii="Times New Roman" w:eastAsia="Times New Roman" w:hAnsi="Times New Roman"/>
      <w:b/>
      <w:bCs/>
      <w:i/>
      <w:sz w:val="22"/>
    </w:rPr>
  </w:style>
  <w:style w:type="character" w:customStyle="1" w:styleId="FootnoteCharacters">
    <w:name w:val="Footnote Characters"/>
    <w:basedOn w:val="Policepardfaut"/>
    <w:rsid w:val="00876F2E"/>
    <w:rPr>
      <w:vertAlign w:val="superscript"/>
    </w:rPr>
  </w:style>
  <w:style w:type="paragraph" w:customStyle="1" w:styleId="ColorfulList-Accent12">
    <w:name w:val="Colorful List - Accent 12"/>
    <w:basedOn w:val="Normal"/>
    <w:qFormat/>
    <w:rsid w:val="00876F2E"/>
    <w:pPr>
      <w:spacing w:after="0"/>
      <w:ind w:left="720"/>
      <w:contextualSpacing/>
    </w:pPr>
    <w:rPr>
      <w:rFonts w:ascii="Times New Roman" w:eastAsia="Times New Roman" w:hAnsi="Times New Roman"/>
      <w:sz w:val="24"/>
    </w:rPr>
  </w:style>
  <w:style w:type="paragraph" w:styleId="NormalWeb">
    <w:name w:val="Normal (Web)"/>
    <w:aliases w:val=" webb,webb"/>
    <w:basedOn w:val="Normal"/>
    <w:uiPriority w:val="99"/>
    <w:unhideWhenUsed/>
    <w:qFormat/>
    <w:rsid w:val="00876F2E"/>
    <w:pPr>
      <w:spacing w:before="100" w:beforeAutospacing="1" w:after="100" w:afterAutospacing="1"/>
      <w:jc w:val="left"/>
    </w:pPr>
    <w:rPr>
      <w:rFonts w:ascii="Times" w:eastAsiaTheme="minorEastAsia" w:hAnsi="Times"/>
      <w:szCs w:val="20"/>
      <w:lang w:eastAsia="fr-FR"/>
    </w:rPr>
  </w:style>
  <w:style w:type="table" w:styleId="Grilledutableau">
    <w:name w:val="Table Grid"/>
    <w:basedOn w:val="TableauNormal"/>
    <w:uiPriority w:val="59"/>
    <w:rsid w:val="00876F2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76F2E"/>
    <w:rPr>
      <w:sz w:val="18"/>
      <w:szCs w:val="18"/>
    </w:rPr>
  </w:style>
  <w:style w:type="paragraph" w:styleId="Commentaire">
    <w:name w:val="annotation text"/>
    <w:basedOn w:val="Normal"/>
    <w:link w:val="CommentaireCar"/>
    <w:uiPriority w:val="99"/>
    <w:unhideWhenUsed/>
    <w:rsid w:val="00876F2E"/>
    <w:rPr>
      <w:sz w:val="24"/>
    </w:rPr>
  </w:style>
  <w:style w:type="character" w:customStyle="1" w:styleId="CommentaireCar">
    <w:name w:val="Commentaire Car"/>
    <w:basedOn w:val="Policepardfaut"/>
    <w:link w:val="Commentaire"/>
    <w:uiPriority w:val="99"/>
    <w:rsid w:val="00876F2E"/>
    <w:rPr>
      <w:rFonts w:ascii="Calibri" w:eastAsia="SimSun" w:hAnsi="Calibri" w:cs="Times New Roman"/>
      <w:sz w:val="24"/>
      <w:szCs w:val="24"/>
      <w:lang w:val="fr-FR"/>
    </w:rPr>
  </w:style>
  <w:style w:type="paragraph" w:styleId="Objetducommentaire">
    <w:name w:val="annotation subject"/>
    <w:basedOn w:val="Commentaire"/>
    <w:next w:val="Commentaire"/>
    <w:link w:val="ObjetducommentaireCar"/>
    <w:uiPriority w:val="99"/>
    <w:semiHidden/>
    <w:unhideWhenUsed/>
    <w:rsid w:val="00876F2E"/>
    <w:rPr>
      <w:b/>
      <w:bCs/>
      <w:sz w:val="20"/>
      <w:szCs w:val="20"/>
    </w:rPr>
  </w:style>
  <w:style w:type="character" w:customStyle="1" w:styleId="ObjetducommentaireCar">
    <w:name w:val="Objet du commentaire Car"/>
    <w:basedOn w:val="CommentaireCar"/>
    <w:link w:val="Objetducommentaire"/>
    <w:uiPriority w:val="99"/>
    <w:semiHidden/>
    <w:rsid w:val="00876F2E"/>
    <w:rPr>
      <w:rFonts w:ascii="Calibri" w:eastAsia="SimSun" w:hAnsi="Calibri" w:cs="Times New Roman"/>
      <w:b/>
      <w:bCs/>
      <w:sz w:val="20"/>
      <w:szCs w:val="20"/>
      <w:lang w:val="fr-FR"/>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Appelnotedebasdep"/>
    <w:rsid w:val="00876F2E"/>
    <w:pPr>
      <w:spacing w:after="160" w:line="240" w:lineRule="exact"/>
    </w:pPr>
    <w:rPr>
      <w:rFonts w:asciiTheme="minorHAnsi" w:eastAsiaTheme="minorHAnsi" w:hAnsiTheme="minorHAnsi" w:cstheme="minorBidi"/>
      <w:sz w:val="22"/>
      <w:szCs w:val="22"/>
      <w:vertAlign w:val="superscript"/>
    </w:rPr>
  </w:style>
  <w:style w:type="paragraph" w:styleId="En-tte">
    <w:name w:val="header"/>
    <w:basedOn w:val="Normal"/>
    <w:link w:val="En-tteCar"/>
    <w:uiPriority w:val="99"/>
    <w:rsid w:val="00876F2E"/>
    <w:pPr>
      <w:tabs>
        <w:tab w:val="center" w:pos="4153"/>
        <w:tab w:val="right" w:pos="8306"/>
      </w:tabs>
    </w:pPr>
  </w:style>
  <w:style w:type="character" w:customStyle="1" w:styleId="En-tteCar">
    <w:name w:val="En-tête Car"/>
    <w:basedOn w:val="Policepardfaut"/>
    <w:link w:val="En-tte"/>
    <w:uiPriority w:val="99"/>
    <w:rsid w:val="00876F2E"/>
    <w:rPr>
      <w:rFonts w:ascii="Calibri" w:eastAsia="SimSun" w:hAnsi="Calibri" w:cs="Times New Roman"/>
      <w:sz w:val="20"/>
      <w:szCs w:val="24"/>
      <w:lang w:val="fr-FR"/>
    </w:rPr>
  </w:style>
  <w:style w:type="paragraph" w:styleId="Pieddepage">
    <w:name w:val="footer"/>
    <w:basedOn w:val="Normal"/>
    <w:link w:val="PieddepageCar"/>
    <w:uiPriority w:val="99"/>
    <w:rsid w:val="00876F2E"/>
    <w:pPr>
      <w:tabs>
        <w:tab w:val="center" w:pos="4153"/>
        <w:tab w:val="right" w:pos="8306"/>
      </w:tabs>
    </w:pPr>
  </w:style>
  <w:style w:type="character" w:customStyle="1" w:styleId="PieddepageCar">
    <w:name w:val="Pied de page Car"/>
    <w:basedOn w:val="Policepardfaut"/>
    <w:link w:val="Pieddepage"/>
    <w:uiPriority w:val="99"/>
    <w:rsid w:val="00876F2E"/>
    <w:rPr>
      <w:rFonts w:ascii="Calibri" w:eastAsia="SimSun" w:hAnsi="Calibri" w:cs="Times New Roman"/>
      <w:sz w:val="20"/>
      <w:szCs w:val="24"/>
      <w:lang w:val="fr-FR"/>
    </w:rPr>
  </w:style>
  <w:style w:type="paragraph" w:customStyle="1" w:styleId="BodyText23">
    <w:name w:val="Body Text 23"/>
    <w:basedOn w:val="Normal"/>
    <w:rsid w:val="00876F2E"/>
    <w:pPr>
      <w:widowControl w:val="0"/>
      <w:tabs>
        <w:tab w:val="left" w:pos="547"/>
      </w:tabs>
      <w:spacing w:after="0"/>
      <w:jc w:val="left"/>
    </w:pPr>
    <w:rPr>
      <w:rFonts w:ascii="Times New Roman" w:hAnsi="Times New Roman"/>
      <w:snapToGrid w:val="0"/>
      <w:szCs w:val="20"/>
    </w:rPr>
  </w:style>
  <w:style w:type="paragraph" w:styleId="En-ttedetabledesmatires">
    <w:name w:val="TOC Heading"/>
    <w:basedOn w:val="Titre1"/>
    <w:next w:val="Normal"/>
    <w:uiPriority w:val="39"/>
    <w:unhideWhenUsed/>
    <w:qFormat/>
    <w:rsid w:val="00876F2E"/>
    <w:pPr>
      <w:keepLines/>
      <w:numPr>
        <w:numId w:val="0"/>
      </w:numPr>
      <w:pBdr>
        <w:top w:val="none" w:sz="0" w:space="0" w:color="auto"/>
      </w:pBdr>
      <w:suppressAutoHyphens w:val="0"/>
      <w:spacing w:before="480" w:after="0"/>
      <w:outlineLvl w:val="9"/>
    </w:pPr>
    <w:rPr>
      <w:rFonts w:asciiTheme="majorHAnsi" w:eastAsiaTheme="majorEastAsia" w:hAnsiTheme="majorHAnsi" w:cstheme="majorBidi"/>
      <w:bCs/>
      <w:smallCaps w:val="0"/>
      <w:color w:val="2C6EAB" w:themeColor="accent1" w:themeShade="B5"/>
      <w:spacing w:val="0"/>
      <w:sz w:val="32"/>
      <w:szCs w:val="32"/>
    </w:rPr>
  </w:style>
  <w:style w:type="paragraph" w:styleId="TM2">
    <w:name w:val="toc 2"/>
    <w:basedOn w:val="Normal"/>
    <w:next w:val="Normal"/>
    <w:autoRedefine/>
    <w:uiPriority w:val="39"/>
    <w:unhideWhenUsed/>
    <w:rsid w:val="00876F2E"/>
    <w:pPr>
      <w:spacing w:after="100"/>
      <w:ind w:left="200"/>
    </w:pPr>
  </w:style>
  <w:style w:type="paragraph" w:styleId="TM3">
    <w:name w:val="toc 3"/>
    <w:basedOn w:val="Normal"/>
    <w:next w:val="Normal"/>
    <w:autoRedefine/>
    <w:uiPriority w:val="39"/>
    <w:unhideWhenUsed/>
    <w:rsid w:val="00876F2E"/>
    <w:pPr>
      <w:spacing w:after="100"/>
      <w:ind w:left="400"/>
    </w:pPr>
  </w:style>
  <w:style w:type="character" w:customStyle="1" w:styleId="apple-style-span">
    <w:name w:val="apple-style-span"/>
    <w:basedOn w:val="Policepardfaut"/>
    <w:rsid w:val="00876F2E"/>
  </w:style>
  <w:style w:type="table" w:customStyle="1" w:styleId="Grille1">
    <w:name w:val="Grille1"/>
    <w:basedOn w:val="TableauNormal"/>
    <w:next w:val="Grilledutableau"/>
    <w:uiPriority w:val="59"/>
    <w:rsid w:val="00876F2E"/>
    <w:pPr>
      <w:spacing w:after="0" w:line="240" w:lineRule="auto"/>
      <w:ind w:left="221"/>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876F2E"/>
  </w:style>
  <w:style w:type="paragraph" w:customStyle="1" w:styleId="p17">
    <w:name w:val="p17"/>
    <w:basedOn w:val="Normal"/>
    <w:rsid w:val="00876F2E"/>
    <w:pPr>
      <w:spacing w:before="100" w:beforeAutospacing="1" w:after="100" w:afterAutospacing="1"/>
      <w:jc w:val="left"/>
    </w:pPr>
    <w:rPr>
      <w:rFonts w:eastAsia="Times New Roman"/>
      <w:sz w:val="24"/>
      <w:lang w:eastAsia="fr-FR"/>
    </w:rPr>
  </w:style>
  <w:style w:type="paragraph" w:styleId="TM4">
    <w:name w:val="toc 4"/>
    <w:basedOn w:val="Normal"/>
    <w:next w:val="Normal"/>
    <w:autoRedefine/>
    <w:uiPriority w:val="39"/>
    <w:unhideWhenUsed/>
    <w:rsid w:val="00876F2E"/>
    <w:pPr>
      <w:spacing w:after="0"/>
      <w:ind w:left="720"/>
      <w:jc w:val="left"/>
    </w:pPr>
    <w:rPr>
      <w:rFonts w:asciiTheme="minorHAnsi" w:eastAsiaTheme="minorEastAsia" w:hAnsiTheme="minorHAnsi" w:cstheme="minorBidi"/>
      <w:szCs w:val="20"/>
      <w:lang w:eastAsia="fr-FR"/>
    </w:rPr>
  </w:style>
  <w:style w:type="paragraph" w:styleId="TM5">
    <w:name w:val="toc 5"/>
    <w:basedOn w:val="Normal"/>
    <w:next w:val="Normal"/>
    <w:autoRedefine/>
    <w:uiPriority w:val="39"/>
    <w:unhideWhenUsed/>
    <w:rsid w:val="00876F2E"/>
    <w:pPr>
      <w:spacing w:after="0"/>
      <w:ind w:left="960"/>
      <w:jc w:val="left"/>
    </w:pPr>
    <w:rPr>
      <w:rFonts w:asciiTheme="minorHAnsi" w:eastAsiaTheme="minorEastAsia" w:hAnsiTheme="minorHAnsi" w:cstheme="minorBidi"/>
      <w:szCs w:val="20"/>
      <w:lang w:eastAsia="fr-FR"/>
    </w:rPr>
  </w:style>
  <w:style w:type="paragraph" w:styleId="TM6">
    <w:name w:val="toc 6"/>
    <w:basedOn w:val="Normal"/>
    <w:next w:val="Normal"/>
    <w:autoRedefine/>
    <w:uiPriority w:val="39"/>
    <w:unhideWhenUsed/>
    <w:rsid w:val="00876F2E"/>
    <w:pPr>
      <w:spacing w:after="0"/>
      <w:ind w:left="1200"/>
      <w:jc w:val="left"/>
    </w:pPr>
    <w:rPr>
      <w:rFonts w:asciiTheme="minorHAnsi" w:eastAsiaTheme="minorEastAsia" w:hAnsiTheme="minorHAnsi" w:cstheme="minorBidi"/>
      <w:szCs w:val="20"/>
      <w:lang w:eastAsia="fr-FR"/>
    </w:rPr>
  </w:style>
  <w:style w:type="paragraph" w:styleId="TM7">
    <w:name w:val="toc 7"/>
    <w:basedOn w:val="Normal"/>
    <w:next w:val="Normal"/>
    <w:autoRedefine/>
    <w:uiPriority w:val="39"/>
    <w:unhideWhenUsed/>
    <w:rsid w:val="00876F2E"/>
    <w:pPr>
      <w:spacing w:after="0"/>
      <w:ind w:left="1440"/>
      <w:jc w:val="left"/>
    </w:pPr>
    <w:rPr>
      <w:rFonts w:asciiTheme="minorHAnsi" w:eastAsiaTheme="minorEastAsia" w:hAnsiTheme="minorHAnsi" w:cstheme="minorBidi"/>
      <w:szCs w:val="20"/>
      <w:lang w:eastAsia="fr-FR"/>
    </w:rPr>
  </w:style>
  <w:style w:type="paragraph" w:styleId="TM8">
    <w:name w:val="toc 8"/>
    <w:basedOn w:val="Normal"/>
    <w:next w:val="Normal"/>
    <w:autoRedefine/>
    <w:uiPriority w:val="39"/>
    <w:unhideWhenUsed/>
    <w:rsid w:val="00876F2E"/>
    <w:pPr>
      <w:spacing w:after="0"/>
      <w:ind w:left="1680"/>
      <w:jc w:val="left"/>
    </w:pPr>
    <w:rPr>
      <w:rFonts w:asciiTheme="minorHAnsi" w:eastAsiaTheme="minorEastAsia" w:hAnsiTheme="minorHAnsi" w:cstheme="minorBidi"/>
      <w:szCs w:val="20"/>
      <w:lang w:eastAsia="fr-FR"/>
    </w:rPr>
  </w:style>
  <w:style w:type="paragraph" w:styleId="TM9">
    <w:name w:val="toc 9"/>
    <w:basedOn w:val="Normal"/>
    <w:next w:val="Normal"/>
    <w:autoRedefine/>
    <w:uiPriority w:val="39"/>
    <w:unhideWhenUsed/>
    <w:rsid w:val="00876F2E"/>
    <w:pPr>
      <w:spacing w:after="0"/>
      <w:ind w:left="1920"/>
      <w:jc w:val="left"/>
    </w:pPr>
    <w:rPr>
      <w:rFonts w:asciiTheme="minorHAnsi" w:eastAsiaTheme="minorEastAsia" w:hAnsiTheme="minorHAnsi" w:cstheme="minorBidi"/>
      <w:szCs w:val="20"/>
      <w:lang w:eastAsia="fr-FR"/>
    </w:rPr>
  </w:style>
  <w:style w:type="paragraph" w:styleId="Corpsdetexte3">
    <w:name w:val="Body Text 3"/>
    <w:basedOn w:val="Normal"/>
    <w:link w:val="Corpsdetexte3Car"/>
    <w:rsid w:val="00876F2E"/>
    <w:rPr>
      <w:szCs w:val="20"/>
    </w:rPr>
  </w:style>
  <w:style w:type="character" w:customStyle="1" w:styleId="Corpsdetexte3Car">
    <w:name w:val="Corps de texte 3 Car"/>
    <w:basedOn w:val="Policepardfaut"/>
    <w:link w:val="Corpsdetexte3"/>
    <w:rsid w:val="00876F2E"/>
    <w:rPr>
      <w:rFonts w:ascii="Calibri" w:eastAsia="SimSun" w:hAnsi="Calibri" w:cs="Times New Roman"/>
      <w:sz w:val="20"/>
      <w:szCs w:val="20"/>
      <w:lang w:val="fr-FR"/>
    </w:rPr>
  </w:style>
  <w:style w:type="paragraph" w:customStyle="1" w:styleId="Pa21">
    <w:name w:val="Pa21"/>
    <w:basedOn w:val="Default"/>
    <w:next w:val="Default"/>
    <w:uiPriority w:val="99"/>
    <w:rsid w:val="00876F2E"/>
    <w:pPr>
      <w:widowControl/>
      <w:spacing w:line="341" w:lineRule="atLeast"/>
    </w:pPr>
    <w:rPr>
      <w:rFonts w:ascii="MyriaMM" w:hAnsi="MyriaMM" w:cstheme="minorBidi"/>
      <w:color w:val="auto"/>
    </w:rPr>
  </w:style>
  <w:style w:type="paragraph" w:customStyle="1" w:styleId="GEFFieldtoFillout">
    <w:name w:val="GEF Field to Fill out"/>
    <w:basedOn w:val="Normal"/>
    <w:link w:val="GEFFieldtoFilloutChar"/>
    <w:qFormat/>
    <w:rsid w:val="00876F2E"/>
    <w:pPr>
      <w:spacing w:after="0"/>
      <w:ind w:left="-720"/>
      <w:jc w:val="left"/>
    </w:pPr>
    <w:rPr>
      <w:rFonts w:ascii="Times New Roman" w:eastAsia="Times New Roman" w:hAnsi="Times New Roman"/>
      <w:color w:val="000000"/>
      <w:sz w:val="22"/>
      <w:szCs w:val="22"/>
    </w:rPr>
  </w:style>
  <w:style w:type="character" w:customStyle="1" w:styleId="GEFFieldtoFilloutChar">
    <w:name w:val="GEF Field to Fill out Char"/>
    <w:link w:val="GEFFieldtoFillout"/>
    <w:rsid w:val="00876F2E"/>
    <w:rPr>
      <w:rFonts w:ascii="Times New Roman" w:eastAsia="Times New Roman" w:hAnsi="Times New Roman" w:cs="Times New Roman"/>
      <w:color w:val="000000"/>
      <w:lang w:val="fr-FR"/>
    </w:rPr>
  </w:style>
  <w:style w:type="paragraph" w:customStyle="1" w:styleId="SESPbodynumbered">
    <w:name w:val="SESP body numbered"/>
    <w:basedOn w:val="Normal"/>
    <w:qFormat/>
    <w:rsid w:val="00876F2E"/>
    <w:pPr>
      <w:numPr>
        <w:numId w:val="44"/>
      </w:numPr>
      <w:tabs>
        <w:tab w:val="left" w:pos="360"/>
      </w:tabs>
      <w:spacing w:before="120" w:after="120" w:line="264" w:lineRule="auto"/>
      <w:jc w:val="left"/>
    </w:pPr>
    <w:rPr>
      <w:rFonts w:eastAsia="MS Mincho"/>
      <w:szCs w:val="20"/>
      <w:lang w:eastAsia="ja-JP"/>
    </w:rPr>
  </w:style>
  <w:style w:type="paragraph" w:styleId="Corpsdetexte">
    <w:name w:val="Body Text"/>
    <w:basedOn w:val="Normal"/>
    <w:link w:val="CorpsdetexteCar"/>
    <w:uiPriority w:val="99"/>
    <w:unhideWhenUsed/>
    <w:rsid w:val="00876F2E"/>
    <w:pPr>
      <w:spacing w:after="120"/>
    </w:pPr>
  </w:style>
  <w:style w:type="character" w:customStyle="1" w:styleId="CorpsdetexteCar">
    <w:name w:val="Corps de texte Car"/>
    <w:basedOn w:val="Policepardfaut"/>
    <w:link w:val="Corpsdetexte"/>
    <w:uiPriority w:val="99"/>
    <w:rsid w:val="00876F2E"/>
    <w:rPr>
      <w:rFonts w:ascii="Calibri" w:eastAsia="SimSun" w:hAnsi="Calibri" w:cs="Times New Roman"/>
      <w:sz w:val="20"/>
      <w:szCs w:val="24"/>
      <w:lang w:val="fr-FR"/>
    </w:rPr>
  </w:style>
  <w:style w:type="paragraph" w:styleId="Listenumros">
    <w:name w:val="List Number"/>
    <w:basedOn w:val="Normal"/>
    <w:uiPriority w:val="99"/>
    <w:unhideWhenUsed/>
    <w:rsid w:val="00876F2E"/>
    <w:pPr>
      <w:numPr>
        <w:numId w:val="45"/>
      </w:numPr>
      <w:spacing w:after="0"/>
      <w:contextualSpacing/>
      <w:jc w:val="left"/>
    </w:pPr>
    <w:rPr>
      <w:rFonts w:ascii="Calibri Light" w:eastAsiaTheme="minorHAnsi" w:hAnsi="Calibri Light"/>
      <w:bCs/>
      <w:iCs/>
      <w:sz w:val="24"/>
      <w:szCs w:val="20"/>
      <w:lang w:eastAsia="ja-JP"/>
    </w:rPr>
  </w:style>
  <w:style w:type="paragraph" w:styleId="Listepuces">
    <w:name w:val="List Bullet"/>
    <w:basedOn w:val="Normal"/>
    <w:uiPriority w:val="99"/>
    <w:unhideWhenUsed/>
    <w:rsid w:val="00876F2E"/>
    <w:pPr>
      <w:numPr>
        <w:numId w:val="47"/>
      </w:numPr>
      <w:spacing w:after="0"/>
      <w:contextualSpacing/>
      <w:jc w:val="left"/>
    </w:pPr>
    <w:rPr>
      <w:rFonts w:ascii="Calibri Light" w:eastAsiaTheme="minorHAnsi" w:hAnsi="Calibri Light"/>
      <w:sz w:val="24"/>
      <w:szCs w:val="20"/>
      <w:lang w:eastAsia="ja-JP"/>
    </w:rPr>
  </w:style>
  <w:style w:type="character" w:customStyle="1" w:styleId="apple-converted-space">
    <w:name w:val="apple-converted-space"/>
    <w:basedOn w:val="Policepardfaut"/>
    <w:rsid w:val="00876F2E"/>
  </w:style>
  <w:style w:type="paragraph" w:customStyle="1" w:styleId="Lgende1">
    <w:name w:val="Légende1"/>
    <w:basedOn w:val="Listepuces"/>
    <w:qFormat/>
    <w:rsid w:val="00876F2E"/>
    <w:pPr>
      <w:numPr>
        <w:numId w:val="0"/>
      </w:numPr>
      <w:spacing w:before="120" w:after="120"/>
      <w:ind w:left="567" w:right="567"/>
      <w:contextualSpacing w:val="0"/>
      <w:jc w:val="center"/>
    </w:pPr>
    <w:rPr>
      <w:rFonts w:ascii="Cambria" w:hAnsi="Cambria" w:cstheme="minorBidi"/>
      <w:noProof/>
      <w:sz w:val="22"/>
      <w:szCs w:val="24"/>
      <w:lang w:eastAsia="fr-FR"/>
    </w:rPr>
  </w:style>
  <w:style w:type="paragraph" w:styleId="Rvision">
    <w:name w:val="Revision"/>
    <w:hidden/>
    <w:uiPriority w:val="99"/>
    <w:semiHidden/>
    <w:rsid w:val="00876F2E"/>
    <w:pPr>
      <w:spacing w:after="0" w:line="240" w:lineRule="auto"/>
    </w:pPr>
    <w:rPr>
      <w:rFonts w:ascii="Calibri" w:eastAsia="SimSun" w:hAnsi="Calibri" w:cs="Times New Roman"/>
      <w:sz w:val="20"/>
      <w:szCs w:val="24"/>
    </w:rPr>
  </w:style>
  <w:style w:type="character" w:styleId="Lienhypertextesuivivisit">
    <w:name w:val="FollowedHyperlink"/>
    <w:basedOn w:val="Policepardfaut"/>
    <w:uiPriority w:val="99"/>
    <w:semiHidden/>
    <w:unhideWhenUsed/>
    <w:rsid w:val="00CA4022"/>
    <w:rPr>
      <w:color w:val="954F72" w:themeColor="followedHyperlink"/>
      <w:u w:val="single"/>
    </w:rPr>
  </w:style>
  <w:style w:type="paragraph" w:styleId="PrformatHTML">
    <w:name w:val="HTML Preformatted"/>
    <w:basedOn w:val="Normal"/>
    <w:link w:val="PrformatHTMLCar"/>
    <w:uiPriority w:val="99"/>
    <w:semiHidden/>
    <w:unhideWhenUsed/>
    <w:rsid w:val="0084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lang w:val="fr-SN" w:eastAsia="fr-SN"/>
    </w:rPr>
  </w:style>
  <w:style w:type="character" w:customStyle="1" w:styleId="PrformatHTMLCar">
    <w:name w:val="Préformaté HTML Car"/>
    <w:basedOn w:val="Policepardfaut"/>
    <w:link w:val="PrformatHTML"/>
    <w:uiPriority w:val="99"/>
    <w:semiHidden/>
    <w:rsid w:val="00843E52"/>
    <w:rPr>
      <w:rFonts w:ascii="Courier New" w:eastAsia="Times New Roman" w:hAnsi="Courier New" w:cs="Courier New"/>
      <w:sz w:val="20"/>
      <w:szCs w:val="20"/>
      <w:lang w:val="fr-SN" w:eastAsia="fr-SN"/>
    </w:rPr>
  </w:style>
  <w:style w:type="character" w:customStyle="1" w:styleId="fontstyle01">
    <w:name w:val="fontstyle01"/>
    <w:basedOn w:val="Policepardfaut"/>
    <w:rsid w:val="000506C6"/>
    <w:rPr>
      <w:rFonts w:ascii="Calibri" w:hAnsi="Calibri" w:hint="default"/>
      <w:b/>
      <w:bCs/>
      <w:i w:val="0"/>
      <w:iCs w:val="0"/>
      <w:color w:val="000000"/>
      <w:sz w:val="20"/>
      <w:szCs w:val="20"/>
    </w:rPr>
  </w:style>
  <w:style w:type="character" w:customStyle="1" w:styleId="fontstyle21">
    <w:name w:val="fontstyle21"/>
    <w:basedOn w:val="Policepardfaut"/>
    <w:rsid w:val="000506C6"/>
    <w:rPr>
      <w:rFonts w:ascii="Calibri" w:hAnsi="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37935">
      <w:bodyDiv w:val="1"/>
      <w:marLeft w:val="0"/>
      <w:marRight w:val="0"/>
      <w:marTop w:val="0"/>
      <w:marBottom w:val="0"/>
      <w:divBdr>
        <w:top w:val="none" w:sz="0" w:space="0" w:color="auto"/>
        <w:left w:val="none" w:sz="0" w:space="0" w:color="auto"/>
        <w:bottom w:val="none" w:sz="0" w:space="0" w:color="auto"/>
        <w:right w:val="none" w:sz="0" w:space="0" w:color="auto"/>
      </w:divBdr>
    </w:div>
    <w:div w:id="445655834">
      <w:bodyDiv w:val="1"/>
      <w:marLeft w:val="0"/>
      <w:marRight w:val="0"/>
      <w:marTop w:val="0"/>
      <w:marBottom w:val="0"/>
      <w:divBdr>
        <w:top w:val="none" w:sz="0" w:space="0" w:color="auto"/>
        <w:left w:val="none" w:sz="0" w:space="0" w:color="auto"/>
        <w:bottom w:val="none" w:sz="0" w:space="0" w:color="auto"/>
        <w:right w:val="none" w:sz="0" w:space="0" w:color="auto"/>
      </w:divBdr>
    </w:div>
    <w:div w:id="792403130">
      <w:bodyDiv w:val="1"/>
      <w:marLeft w:val="0"/>
      <w:marRight w:val="0"/>
      <w:marTop w:val="0"/>
      <w:marBottom w:val="0"/>
      <w:divBdr>
        <w:top w:val="none" w:sz="0" w:space="0" w:color="auto"/>
        <w:left w:val="none" w:sz="0" w:space="0" w:color="auto"/>
        <w:bottom w:val="none" w:sz="0" w:space="0" w:color="auto"/>
        <w:right w:val="none" w:sz="0" w:space="0" w:color="auto"/>
      </w:divBdr>
    </w:div>
    <w:div w:id="1601597700">
      <w:bodyDiv w:val="1"/>
      <w:marLeft w:val="0"/>
      <w:marRight w:val="0"/>
      <w:marTop w:val="0"/>
      <w:marBottom w:val="0"/>
      <w:divBdr>
        <w:top w:val="none" w:sz="0" w:space="0" w:color="auto"/>
        <w:left w:val="none" w:sz="0" w:space="0" w:color="auto"/>
        <w:bottom w:val="none" w:sz="0" w:space="0" w:color="auto"/>
        <w:right w:val="none" w:sz="0" w:space="0" w:color="auto"/>
      </w:divBdr>
    </w:div>
    <w:div w:id="188587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2.png@01D341D4.08A26910" TargetMode="External"/><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4.emf"/><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thegef.org/gef/Evaluation%20Policy%202010"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eb.undp.org/evaluation/guidance.shtml" TargetMode="External"/><Relationship Id="rId37" Type="http://schemas.openxmlformats.org/officeDocument/2006/relationships/image" Target="media/image14.emf"/><Relationship Id="rId40" Type="http://schemas.openxmlformats.org/officeDocument/2006/relationships/hyperlink" Target="http://bbop.forest-trends.org/pages/bbop_strategy_updated" TargetMode="External"/><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customXml" Target="../customXml/item6.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www.undp.org/content/undp/en/home/operations/accountability/programme_and_operationspoliciesandprocedures.html" TargetMode="External"/><Relationship Id="rId30" Type="http://schemas.openxmlformats.org/officeDocument/2006/relationships/hyperlink" Target="http://www.undp.org/content/undp/en/home/operations/accountability/programme_and_operationspoliciesandprocedures.html" TargetMode="External"/><Relationship Id="rId35" Type="http://schemas.openxmlformats.org/officeDocument/2006/relationships/hyperlink" Target="http://www.leadinggroup.org/rubrique332.html" TargetMode="External"/><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footer" Target="footer4.xml"/><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hyperlink" Target="http://www.leadinggroup.org/rubrique1.html" TargetMode="External"/><Relationship Id="rId38" Type="http://schemas.openxmlformats.org/officeDocument/2006/relationships/hyperlink" Target="http://bbop.forest-trends.org/" TargetMode="External"/><Relationship Id="rId46" Type="http://schemas.openxmlformats.org/officeDocument/2006/relationships/image" Target="media/image20.png"/><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3.emf"/><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www.undp.org/content/undp/en/home/operations/accountability/evaluation/evaluation_policyofundp.html"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www.undp.org/content/undp/en/home/librarypage/operations1/undp-social-and-environmental-screening-procedure.html" TargetMode="External"/><Relationship Id="rId10" Type="http://schemas.openxmlformats.org/officeDocument/2006/relationships/image" Target="media/image3.gif"/><Relationship Id="rId31" Type="http://schemas.openxmlformats.org/officeDocument/2006/relationships/hyperlink" Target="http://web.undp.org/evaluation/guidance.shtml" TargetMode="External"/><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bbop.forest-trends.org/pages/guidelines" TargetMode="External"/><Relationship Id="rId34" Type="http://schemas.openxmlformats.org/officeDocument/2006/relationships/hyperlink" Target="http://www.leadinggroup.org/rubrique136.html" TargetMode="External"/><Relationship Id="rId50" Type="http://schemas.openxmlformats.org/officeDocument/2006/relationships/image" Target="media/image24.png"/><Relationship Id="rId5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ia.gov/" TargetMode="External"/><Relationship Id="rId1" Type="http://schemas.openxmlformats.org/officeDocument/2006/relationships/hyperlink" Target="http://databank.worldbank.org/data/reports.aspx?source=2&amp;country=S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2019-01-14T09:00:00+00:00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233</Value>
      <Value>1625</Value>
      <Value>763</Value>
    </TaxCatchAll>
    <c4e2ab2cc9354bbf9064eeb465a566ea xmlns="1ed4137b-41b2-488b-8250-6d369ec27664">
      <Terms xmlns="http://schemas.microsoft.com/office/infopath/2007/PartnerControls"/>
    </c4e2ab2cc9354bbf9064eeb465a566ea>
    <UndpProjectNo xmlns="1ed4137b-41b2-488b-8250-6d369ec27664">00103749</UndpProjectNo>
    <UndpDocStatus xmlns="1ed4137b-41b2-488b-8250-6d369ec27664">Approved</UndpDocStatus>
    <Outcome1 xmlns="f1161f5b-24a3-4c2d-bc81-44cb9325e8ee">00105641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_dlc_DocId xmlns="f1161f5b-24a3-4c2d-bc81-44cb9325e8ee">ATLASPDC-4-94238</_dlc_DocId>
    <_dlc_DocIdUrl xmlns="f1161f5b-24a3-4c2d-bc81-44cb9325e8ee">
      <Url>https://info.undp.org/docs/pdc/_layouts/DocIdRedir.aspx?ID=ATLASPDC-4-94238</Url>
      <Description>ATLASPDC-4-94238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F8FFCB1-593D-4F05-836D-629A5166A15A}">
  <ds:schemaRefs>
    <ds:schemaRef ds:uri="http://schemas.openxmlformats.org/officeDocument/2006/bibliography"/>
  </ds:schemaRefs>
</ds:datastoreItem>
</file>

<file path=customXml/itemProps2.xml><?xml version="1.0" encoding="utf-8"?>
<ds:datastoreItem xmlns:ds="http://schemas.openxmlformats.org/officeDocument/2006/customXml" ds:itemID="{581C402C-C5B7-4C8C-8C93-7EA094FB9394}"/>
</file>

<file path=customXml/itemProps3.xml><?xml version="1.0" encoding="utf-8"?>
<ds:datastoreItem xmlns:ds="http://schemas.openxmlformats.org/officeDocument/2006/customXml" ds:itemID="{17C87CFE-91D4-4229-B974-D65DF9575582}"/>
</file>

<file path=customXml/itemProps4.xml><?xml version="1.0" encoding="utf-8"?>
<ds:datastoreItem xmlns:ds="http://schemas.openxmlformats.org/officeDocument/2006/customXml" ds:itemID="{B58A90FE-E717-4208-961C-342919580D6F}"/>
</file>

<file path=customXml/itemProps5.xml><?xml version="1.0" encoding="utf-8"?>
<ds:datastoreItem xmlns:ds="http://schemas.openxmlformats.org/officeDocument/2006/customXml" ds:itemID="{B349E0EA-228E-46BE-917F-67E78E72DDFA}"/>
</file>

<file path=customXml/itemProps6.xml><?xml version="1.0" encoding="utf-8"?>
<ds:datastoreItem xmlns:ds="http://schemas.openxmlformats.org/officeDocument/2006/customXml" ds:itemID="{F996DD4C-5D7B-4C22-B5EB-02DC44FF9797}"/>
</file>

<file path=docProps/app.xml><?xml version="1.0" encoding="utf-8"?>
<Properties xmlns="http://schemas.openxmlformats.org/officeDocument/2006/extended-properties" xmlns:vt="http://schemas.openxmlformats.org/officeDocument/2006/docPropsVTypes">
  <Template>Normal</Template>
  <TotalTime>0</TotalTime>
  <Pages>66</Pages>
  <Words>84818</Words>
  <Characters>466499</Characters>
  <Application>Microsoft Office Word</Application>
  <DocSecurity>0</DocSecurity>
  <Lines>3887</Lines>
  <Paragraphs>1100</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houedraogo</dc:creator>
  <cp:lastModifiedBy>Dieynaba Ba Ndiaye</cp:lastModifiedBy>
  <cp:revision>2</cp:revision>
  <cp:lastPrinted>2017-11-17T10:39:00Z</cp:lastPrinted>
  <dcterms:created xsi:type="dcterms:W3CDTF">2019-01-14T09:47:00Z</dcterms:created>
  <dcterms:modified xsi:type="dcterms:W3CDTF">2019-01-14T09:47:00Z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1625;#SEN|df5af9ee-4343-4c78-ae62-4d0faac2d511</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932775b1-a743-4672-81cc-0fa6d480ae57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